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4"/>
        <w:ind w:firstLine="0"/>
        <w:jc w:val="center"/>
        <w:rPr>
          <w:rFonts w:ascii="宋体" w:hAnsi="宋体" w:cs="宋体"/>
          <w:b/>
          <w:bCs/>
          <w:color w:val="auto"/>
          <w:sz w:val="52"/>
          <w:szCs w:val="52"/>
          <w:highlight w:val="none"/>
        </w:rPr>
      </w:pPr>
      <w:r>
        <w:rPr>
          <w:rFonts w:hint="eastAsia" w:ascii="宋体" w:hAnsi="宋体" w:cs="宋体"/>
          <w:b/>
          <w:bCs/>
          <w:color w:val="auto"/>
          <w:sz w:val="52"/>
          <w:szCs w:val="52"/>
          <w:highlight w:val="none"/>
        </w:rPr>
        <w:t>如东县202</w:t>
      </w:r>
      <w:bookmarkStart w:id="44" w:name="_GoBack"/>
      <w:bookmarkEnd w:id="44"/>
      <w:r>
        <w:rPr>
          <w:rFonts w:hint="eastAsia" w:ascii="宋体" w:hAnsi="宋体" w:cs="宋体"/>
          <w:b/>
          <w:bCs/>
          <w:color w:val="auto"/>
          <w:sz w:val="52"/>
          <w:szCs w:val="52"/>
          <w:highlight w:val="none"/>
        </w:rPr>
        <w:t>3年互花米草治理（试点）</w:t>
      </w:r>
    </w:p>
    <w:p>
      <w:pPr>
        <w:pStyle w:val="44"/>
        <w:ind w:firstLine="0"/>
        <w:jc w:val="center"/>
        <w:rPr>
          <w:rFonts w:ascii="宋体" w:hAnsi="宋体" w:cs="宋体"/>
          <w:b/>
          <w:bCs/>
          <w:color w:val="auto"/>
          <w:sz w:val="52"/>
          <w:szCs w:val="52"/>
          <w:highlight w:val="none"/>
        </w:rPr>
      </w:pPr>
      <w:r>
        <w:rPr>
          <w:rFonts w:hint="eastAsia" w:ascii="宋体" w:hAnsi="宋体" w:cs="宋体"/>
          <w:b/>
          <w:bCs/>
          <w:color w:val="auto"/>
          <w:sz w:val="52"/>
          <w:szCs w:val="52"/>
          <w:highlight w:val="none"/>
        </w:rPr>
        <w:t>项目</w:t>
      </w:r>
    </w:p>
    <w:p>
      <w:pPr>
        <w:pStyle w:val="44"/>
        <w:ind w:firstLine="0"/>
        <w:jc w:val="center"/>
        <w:rPr>
          <w:rFonts w:ascii="宋体" w:hAnsi="宋体" w:cs="宋体"/>
          <w:b/>
          <w:bCs/>
          <w:color w:val="auto"/>
          <w:sz w:val="84"/>
          <w:szCs w:val="84"/>
          <w:highlight w:val="none"/>
        </w:rPr>
      </w:pPr>
    </w:p>
    <w:p>
      <w:pPr>
        <w:pStyle w:val="44"/>
        <w:ind w:firstLine="0"/>
        <w:jc w:val="center"/>
        <w:rPr>
          <w:rFonts w:ascii="宋体" w:hAnsi="宋体" w:cs="宋体"/>
          <w:b/>
          <w:bCs/>
          <w:color w:val="auto"/>
          <w:sz w:val="84"/>
          <w:szCs w:val="84"/>
          <w:highlight w:val="none"/>
        </w:rPr>
      </w:pPr>
    </w:p>
    <w:p>
      <w:pPr>
        <w:pStyle w:val="44"/>
        <w:ind w:firstLine="0"/>
        <w:jc w:val="center"/>
        <w:rPr>
          <w:rFonts w:ascii="宋体" w:hAnsi="宋体" w:cs="宋体"/>
          <w:b/>
          <w:bCs/>
          <w:color w:val="auto"/>
          <w:sz w:val="84"/>
          <w:szCs w:val="84"/>
          <w:highlight w:val="none"/>
        </w:rPr>
      </w:pPr>
      <w:r>
        <w:rPr>
          <w:rFonts w:hint="eastAsia" w:ascii="宋体" w:hAnsi="宋体" w:cs="宋体"/>
          <w:b/>
          <w:bCs/>
          <w:color w:val="auto"/>
          <w:sz w:val="84"/>
          <w:szCs w:val="84"/>
          <w:highlight w:val="none"/>
        </w:rPr>
        <w:t>招　标　文　件</w:t>
      </w:r>
    </w:p>
    <w:p>
      <w:pPr>
        <w:pStyle w:val="44"/>
        <w:ind w:firstLine="0"/>
        <w:jc w:val="center"/>
        <w:rPr>
          <w:rFonts w:ascii="宋体" w:hAnsi="宋体" w:cs="宋体"/>
          <w:b/>
          <w:bCs/>
          <w:color w:val="auto"/>
          <w:sz w:val="44"/>
          <w:szCs w:val="44"/>
          <w:highlight w:val="none"/>
        </w:rPr>
      </w:pPr>
    </w:p>
    <w:p>
      <w:pPr>
        <w:pStyle w:val="44"/>
        <w:ind w:firstLine="0"/>
        <w:jc w:val="center"/>
        <w:rPr>
          <w:rFonts w:ascii="宋体" w:hAnsi="宋体" w:cs="宋体"/>
          <w:b/>
          <w:bCs/>
          <w:color w:val="auto"/>
          <w:sz w:val="44"/>
          <w:szCs w:val="44"/>
          <w:highlight w:val="none"/>
        </w:rPr>
      </w:pPr>
    </w:p>
    <w:p>
      <w:pPr>
        <w:pStyle w:val="44"/>
        <w:ind w:firstLine="0"/>
        <w:jc w:val="center"/>
        <w:rPr>
          <w:rFonts w:ascii="宋体" w:hAnsi="宋体" w:cs="宋体"/>
          <w:b/>
          <w:bCs/>
          <w:color w:val="auto"/>
          <w:sz w:val="52"/>
          <w:szCs w:val="52"/>
          <w:highlight w:val="none"/>
        </w:rPr>
      </w:pPr>
    </w:p>
    <w:p>
      <w:pPr>
        <w:pStyle w:val="44"/>
        <w:tabs>
          <w:tab w:val="left" w:pos="2694"/>
        </w:tabs>
        <w:ind w:firstLine="1038" w:firstLineChars="371"/>
        <w:rPr>
          <w:rFonts w:ascii="宋体" w:hAnsi="宋体" w:cs="宋体"/>
          <w:bCs/>
          <w:color w:val="auto"/>
          <w:sz w:val="28"/>
          <w:szCs w:val="28"/>
          <w:highlight w:val="none"/>
        </w:rPr>
      </w:pPr>
    </w:p>
    <w:p>
      <w:pPr>
        <w:pStyle w:val="44"/>
        <w:tabs>
          <w:tab w:val="left" w:pos="2694"/>
        </w:tabs>
        <w:ind w:firstLine="1038" w:firstLineChars="371"/>
        <w:jc w:val="both"/>
        <w:rPr>
          <w:rFonts w:ascii="宋体" w:hAnsi="宋体" w:cs="宋体"/>
          <w:bCs/>
          <w:color w:val="auto"/>
          <w:sz w:val="28"/>
          <w:szCs w:val="28"/>
          <w:highlight w:val="none"/>
        </w:rPr>
      </w:pPr>
    </w:p>
    <w:p>
      <w:pPr>
        <w:pStyle w:val="44"/>
        <w:tabs>
          <w:tab w:val="left" w:pos="2694"/>
        </w:tabs>
        <w:ind w:firstLine="1038" w:firstLineChars="371"/>
        <w:jc w:val="both"/>
        <w:rPr>
          <w:rFonts w:ascii="宋体" w:hAnsi="宋体" w:cs="宋体"/>
          <w:bCs/>
          <w:color w:val="auto"/>
          <w:sz w:val="28"/>
          <w:szCs w:val="28"/>
          <w:highlight w:val="none"/>
        </w:rPr>
      </w:pPr>
    </w:p>
    <w:p>
      <w:pPr>
        <w:pStyle w:val="44"/>
        <w:ind w:firstLine="0"/>
        <w:rPr>
          <w:rFonts w:ascii="宋体" w:hAnsi="宋体" w:cs="宋体"/>
          <w:b/>
          <w:bCs/>
          <w:color w:val="auto"/>
          <w:sz w:val="30"/>
          <w:szCs w:val="30"/>
          <w:highlight w:val="none"/>
          <w:u w:val="single"/>
        </w:rPr>
      </w:pPr>
      <w:r>
        <w:rPr>
          <w:rFonts w:hint="eastAsia" w:ascii="宋体" w:hAnsi="宋体"/>
          <w:b/>
          <w:color w:val="auto"/>
          <w:sz w:val="30"/>
          <w:szCs w:val="30"/>
          <w:highlight w:val="none"/>
        </w:rPr>
        <w:t>采购项目名称：</w:t>
      </w:r>
      <w:r>
        <w:rPr>
          <w:rFonts w:hint="eastAsia" w:ascii="宋体" w:hAnsi="宋体"/>
          <w:b/>
          <w:color w:val="auto"/>
          <w:sz w:val="30"/>
          <w:szCs w:val="30"/>
          <w:highlight w:val="none"/>
          <w:u w:val="single"/>
        </w:rPr>
        <w:t xml:space="preserve">   </w:t>
      </w:r>
      <w:r>
        <w:rPr>
          <w:rFonts w:hint="eastAsia" w:ascii="宋体" w:hAnsi="宋体" w:cs="宋体"/>
          <w:b/>
          <w:bCs/>
          <w:color w:val="auto"/>
          <w:sz w:val="30"/>
          <w:szCs w:val="30"/>
          <w:highlight w:val="none"/>
          <w:u w:val="single"/>
        </w:rPr>
        <w:t xml:space="preserve">如东县2023年互花米草治理（试点）项目      </w:t>
      </w:r>
    </w:p>
    <w:p>
      <w:pPr>
        <w:rPr>
          <w:rFonts w:ascii="宋体" w:hAnsi="宋体"/>
          <w:b/>
          <w:color w:val="auto"/>
          <w:sz w:val="30"/>
          <w:szCs w:val="30"/>
          <w:highlight w:val="none"/>
        </w:rPr>
      </w:pPr>
      <w:r>
        <w:rPr>
          <w:rFonts w:hint="eastAsia" w:ascii="宋体" w:hAnsi="宋体"/>
          <w:b/>
          <w:color w:val="auto"/>
          <w:sz w:val="30"/>
          <w:szCs w:val="30"/>
          <w:highlight w:val="none"/>
        </w:rPr>
        <w:t>采购人名称：</w:t>
      </w:r>
      <w:r>
        <w:rPr>
          <w:rFonts w:hint="eastAsia" w:ascii="宋体" w:hAnsi="宋体"/>
          <w:b/>
          <w:color w:val="auto"/>
          <w:sz w:val="30"/>
          <w:szCs w:val="30"/>
          <w:highlight w:val="none"/>
          <w:u w:val="single"/>
        </w:rPr>
        <w:t xml:space="preserve">    　　        </w:t>
      </w:r>
      <w:r>
        <w:rPr>
          <w:rFonts w:hint="eastAsia" w:asciiTheme="minorEastAsia" w:hAnsiTheme="minorEastAsia"/>
          <w:b/>
          <w:color w:val="auto"/>
          <w:sz w:val="30"/>
          <w:szCs w:val="30"/>
          <w:highlight w:val="none"/>
          <w:u w:val="single"/>
        </w:rPr>
        <w:t>如东县林业服务站</w:t>
      </w:r>
      <w:r>
        <w:rPr>
          <w:rFonts w:hint="eastAsia" w:ascii="宋体" w:hAnsi="宋体"/>
          <w:b/>
          <w:color w:val="auto"/>
          <w:sz w:val="30"/>
          <w:szCs w:val="30"/>
          <w:highlight w:val="none"/>
          <w:u w:val="single"/>
        </w:rPr>
        <w:t xml:space="preserve">                         </w:t>
      </w:r>
    </w:p>
    <w:p>
      <w:pPr>
        <w:pStyle w:val="44"/>
        <w:tabs>
          <w:tab w:val="left" w:pos="2694"/>
        </w:tabs>
        <w:spacing w:before="0" w:after="0" w:line="560" w:lineRule="exact"/>
        <w:ind w:firstLine="0"/>
        <w:jc w:val="both"/>
        <w:rPr>
          <w:rFonts w:ascii="宋体" w:hAnsi="宋体" w:cs="宋体"/>
          <w:b/>
          <w:bCs/>
          <w:color w:val="auto"/>
          <w:sz w:val="30"/>
          <w:szCs w:val="30"/>
          <w:highlight w:val="none"/>
        </w:rPr>
      </w:pPr>
      <w:r>
        <w:rPr>
          <w:rFonts w:hint="eastAsia" w:ascii="宋体" w:hAnsi="宋体" w:cs="宋体"/>
          <w:b/>
          <w:bCs/>
          <w:color w:val="auto"/>
          <w:sz w:val="30"/>
          <w:szCs w:val="30"/>
          <w:highlight w:val="none"/>
        </w:rPr>
        <w:t>采购方式：</w:t>
      </w:r>
      <w:r>
        <w:rPr>
          <w:rFonts w:hint="eastAsia" w:ascii="宋体" w:hAnsi="宋体" w:cs="宋体"/>
          <w:b/>
          <w:bCs/>
          <w:color w:val="auto"/>
          <w:sz w:val="30"/>
          <w:szCs w:val="30"/>
          <w:highlight w:val="none"/>
          <w:u w:val="single"/>
        </w:rPr>
        <w:t xml:space="preserve">                     公开招标                             </w:t>
      </w:r>
    </w:p>
    <w:p>
      <w:pPr>
        <w:pStyle w:val="17"/>
        <w:spacing w:line="560" w:lineRule="exact"/>
        <w:ind w:firstLine="608" w:firstLineChars="202"/>
        <w:jc w:val="center"/>
        <w:rPr>
          <w:rFonts w:ascii="宋体" w:hAnsi="宋体" w:cs="宋体"/>
          <w:b/>
          <w:color w:val="auto"/>
          <w:kern w:val="0"/>
          <w:sz w:val="30"/>
          <w:szCs w:val="30"/>
          <w:highlight w:val="none"/>
        </w:rPr>
      </w:pPr>
      <w:r>
        <w:rPr>
          <w:rFonts w:hint="eastAsia" w:ascii="宋体" w:hAnsi="宋体" w:cs="宋体"/>
          <w:b/>
          <w:color w:val="auto"/>
          <w:kern w:val="0"/>
          <w:sz w:val="30"/>
          <w:szCs w:val="30"/>
          <w:highlight w:val="none"/>
        </w:rPr>
        <w:t xml:space="preserve"> 二</w:t>
      </w:r>
      <w:r>
        <w:rPr>
          <w:rFonts w:hint="eastAsia" w:ascii="宋体" w:hAnsi="宋体" w:cs="宋体"/>
          <w:b/>
          <w:bCs/>
          <w:color w:val="auto"/>
          <w:kern w:val="0"/>
          <w:sz w:val="30"/>
          <w:szCs w:val="30"/>
          <w:highlight w:val="none"/>
        </w:rPr>
        <w:t>〇</w:t>
      </w:r>
      <w:r>
        <w:rPr>
          <w:rFonts w:hint="eastAsia" w:ascii="宋体" w:hAnsi="宋体" w:cs="宋体"/>
          <w:b/>
          <w:color w:val="auto"/>
          <w:kern w:val="0"/>
          <w:sz w:val="30"/>
          <w:szCs w:val="30"/>
          <w:highlight w:val="none"/>
        </w:rPr>
        <w:t>二</w:t>
      </w:r>
      <w:r>
        <w:rPr>
          <w:rFonts w:hint="eastAsia" w:ascii="宋体" w:hAnsi="宋体" w:cs="宋体"/>
          <w:b/>
          <w:bCs/>
          <w:color w:val="auto"/>
          <w:kern w:val="0"/>
          <w:sz w:val="30"/>
          <w:szCs w:val="30"/>
          <w:highlight w:val="none"/>
        </w:rPr>
        <w:t>三</w:t>
      </w:r>
      <w:r>
        <w:rPr>
          <w:rFonts w:hint="eastAsia" w:ascii="宋体" w:hAnsi="宋体" w:cs="宋体"/>
          <w:b/>
          <w:color w:val="auto"/>
          <w:kern w:val="0"/>
          <w:sz w:val="30"/>
          <w:szCs w:val="30"/>
          <w:highlight w:val="none"/>
        </w:rPr>
        <w:t>年</w:t>
      </w:r>
      <w:r>
        <w:rPr>
          <w:rFonts w:hint="eastAsia" w:ascii="宋体" w:hAnsi="宋体" w:cs="宋体"/>
          <w:b/>
          <w:color w:val="auto"/>
          <w:kern w:val="0"/>
          <w:sz w:val="30"/>
          <w:szCs w:val="30"/>
          <w:highlight w:val="none"/>
          <w:lang w:val="en-US" w:eastAsia="zh-CN"/>
        </w:rPr>
        <w:t>九</w:t>
      </w:r>
      <w:r>
        <w:rPr>
          <w:rFonts w:hint="eastAsia" w:ascii="宋体" w:hAnsi="宋体" w:cs="宋体"/>
          <w:b/>
          <w:color w:val="auto"/>
          <w:kern w:val="0"/>
          <w:sz w:val="30"/>
          <w:szCs w:val="30"/>
          <w:highlight w:val="none"/>
        </w:rPr>
        <w:t>月</w:t>
      </w:r>
      <w:r>
        <w:rPr>
          <w:rFonts w:hint="eastAsia" w:ascii="宋体" w:hAnsi="宋体" w:cs="宋体"/>
          <w:b/>
          <w:color w:val="auto"/>
          <w:kern w:val="0"/>
          <w:sz w:val="30"/>
          <w:szCs w:val="30"/>
          <w:highlight w:val="none"/>
          <w:lang w:val="en-US" w:eastAsia="zh-CN"/>
        </w:rPr>
        <w:t>十八</w:t>
      </w:r>
      <w:r>
        <w:rPr>
          <w:rFonts w:hint="eastAsia" w:ascii="宋体" w:hAnsi="宋体" w:cs="宋体"/>
          <w:b/>
          <w:color w:val="auto"/>
          <w:kern w:val="0"/>
          <w:sz w:val="30"/>
          <w:szCs w:val="30"/>
          <w:highlight w:val="none"/>
        </w:rPr>
        <w:t>日</w:t>
      </w:r>
    </w:p>
    <w:p>
      <w:pPr>
        <w:spacing w:line="560" w:lineRule="exact"/>
        <w:rPr>
          <w:rFonts w:ascii="宋体" w:hAnsi="宋体"/>
          <w:color w:val="auto"/>
          <w:highlight w:val="none"/>
        </w:rPr>
      </w:pPr>
    </w:p>
    <w:p>
      <w:pPr>
        <w:pStyle w:val="44"/>
        <w:jc w:val="center"/>
        <w:rPr>
          <w:rFonts w:ascii="宋体" w:hAnsi="宋体" w:cs="宋体"/>
          <w:color w:val="auto"/>
          <w:highlight w:val="none"/>
        </w:rPr>
      </w:pPr>
    </w:p>
    <w:p>
      <w:pPr>
        <w:jc w:val="center"/>
        <w:rPr>
          <w:rFonts w:ascii="宋体" w:hAnsi="宋体"/>
          <w:b/>
          <w:color w:val="auto"/>
          <w:sz w:val="44"/>
          <w:highlight w:val="none"/>
        </w:rPr>
      </w:pPr>
      <w:bookmarkStart w:id="0" w:name="_Toc120614210"/>
      <w:r>
        <w:rPr>
          <w:rFonts w:hint="eastAsia" w:ascii="宋体" w:hAnsi="宋体"/>
          <w:b/>
          <w:color w:val="auto"/>
          <w:sz w:val="44"/>
          <w:highlight w:val="none"/>
        </w:rPr>
        <w:t>总  目  录</w:t>
      </w:r>
    </w:p>
    <w:p>
      <w:pPr>
        <w:jc w:val="center"/>
        <w:rPr>
          <w:rFonts w:ascii="宋体" w:hAnsi="宋体"/>
          <w:b/>
          <w:color w:val="auto"/>
          <w:sz w:val="44"/>
          <w:highlight w:val="none"/>
        </w:rPr>
      </w:pPr>
    </w:p>
    <w:p>
      <w:pPr>
        <w:pStyle w:val="21"/>
        <w:tabs>
          <w:tab w:val="right" w:leader="dot" w:pos="8943"/>
        </w:tabs>
        <w:spacing w:after="290"/>
        <w:jc w:val="center"/>
        <w:rPr>
          <w:rFonts w:ascii="宋体" w:hAnsi="宋体" w:cs="宋体"/>
          <w:b w:val="0"/>
          <w:bCs w:val="0"/>
          <w:caps w:val="0"/>
          <w:color w:val="auto"/>
          <w:sz w:val="24"/>
          <w:szCs w:val="24"/>
          <w:highlight w:val="none"/>
        </w:rPr>
      </w:pPr>
      <w:r>
        <w:rPr>
          <w:rFonts w:hint="eastAsia" w:ascii="宋体" w:hAnsi="宋体" w:cs="宋体"/>
          <w:bCs w:val="0"/>
          <w:caps w:val="0"/>
          <w:color w:val="auto"/>
          <w:sz w:val="24"/>
          <w:szCs w:val="24"/>
          <w:highlight w:val="none"/>
        </w:rPr>
        <w:fldChar w:fldCharType="begin"/>
      </w:r>
      <w:r>
        <w:rPr>
          <w:rFonts w:hint="eastAsia" w:ascii="宋体" w:hAnsi="宋体" w:cs="宋体"/>
          <w:bCs w:val="0"/>
          <w:caps w:val="0"/>
          <w:color w:val="auto"/>
          <w:sz w:val="24"/>
          <w:szCs w:val="24"/>
          <w:highlight w:val="none"/>
        </w:rPr>
        <w:instrText xml:space="preserve"> TOC \o "1-1" \h \z \u </w:instrText>
      </w:r>
      <w:r>
        <w:rPr>
          <w:rFonts w:hint="eastAsia" w:ascii="宋体" w:hAnsi="宋体" w:cs="宋体"/>
          <w:bCs w:val="0"/>
          <w:caps w:val="0"/>
          <w:color w:val="auto"/>
          <w:sz w:val="24"/>
          <w:szCs w:val="24"/>
          <w:highlight w:val="none"/>
        </w:rPr>
        <w:fldChar w:fldCharType="separate"/>
      </w:r>
      <w:r>
        <w:rPr>
          <w:color w:val="auto"/>
          <w:highlight w:val="none"/>
        </w:rPr>
        <w:fldChar w:fldCharType="begin"/>
      </w:r>
      <w:r>
        <w:rPr>
          <w:color w:val="auto"/>
          <w:highlight w:val="none"/>
        </w:rPr>
        <w:instrText xml:space="preserve"> HYPERLINK \l "_Toc335124678" </w:instrText>
      </w:r>
      <w:r>
        <w:rPr>
          <w:color w:val="auto"/>
          <w:highlight w:val="none"/>
        </w:rPr>
        <w:fldChar w:fldCharType="separate"/>
      </w:r>
      <w:r>
        <w:rPr>
          <w:rStyle w:val="27"/>
          <w:rFonts w:hint="eastAsia" w:ascii="宋体" w:hAnsi="宋体" w:cs="宋体"/>
          <w:color w:val="auto"/>
          <w:sz w:val="24"/>
          <w:szCs w:val="24"/>
          <w:highlight w:val="none"/>
        </w:rPr>
        <w:t>第一章  招标公告</w:t>
      </w:r>
      <w:r>
        <w:rPr>
          <w:rFonts w:hint="eastAsia" w:ascii="宋体" w:hAnsi="宋体" w:cs="宋体"/>
          <w:color w:val="auto"/>
          <w:sz w:val="24"/>
          <w:szCs w:val="24"/>
          <w:highlight w:val="none"/>
        </w:rPr>
        <w:tab/>
      </w:r>
      <w:r>
        <w:rPr>
          <w:rFonts w:hint="eastAsia" w:ascii="宋体" w:hAnsi="宋体" w:cs="宋体"/>
          <w:color w:val="auto"/>
          <w:sz w:val="24"/>
          <w:szCs w:val="24"/>
          <w:highlight w:val="none"/>
        </w:rPr>
        <w:t>3</w:t>
      </w:r>
      <w:r>
        <w:rPr>
          <w:rFonts w:hint="eastAsia" w:ascii="宋体" w:hAnsi="宋体" w:cs="宋体"/>
          <w:color w:val="auto"/>
          <w:sz w:val="24"/>
          <w:szCs w:val="24"/>
          <w:highlight w:val="none"/>
        </w:rPr>
        <w:fldChar w:fldCharType="end"/>
      </w:r>
    </w:p>
    <w:p>
      <w:pPr>
        <w:pStyle w:val="21"/>
        <w:tabs>
          <w:tab w:val="right" w:leader="dot" w:pos="8943"/>
        </w:tabs>
        <w:spacing w:after="290"/>
        <w:jc w:val="center"/>
        <w:rPr>
          <w:rStyle w:val="27"/>
          <w:rFonts w:ascii="宋体" w:hAnsi="宋体" w:cs="宋体"/>
          <w:b w:val="0"/>
          <w:bCs w:val="0"/>
          <w:caps w:val="0"/>
          <w:color w:val="auto"/>
          <w:sz w:val="24"/>
          <w:szCs w:val="24"/>
          <w:highlight w:val="none"/>
        </w:rPr>
      </w:pPr>
      <w:r>
        <w:rPr>
          <w:rFonts w:hint="eastAsia" w:ascii="宋体" w:hAnsi="宋体" w:cs="宋体"/>
          <w:color w:val="auto"/>
          <w:sz w:val="24"/>
          <w:szCs w:val="24"/>
          <w:highlight w:val="none"/>
        </w:rPr>
        <w:fldChar w:fldCharType="begin"/>
      </w:r>
      <w:r>
        <w:rPr>
          <w:rStyle w:val="27"/>
          <w:rFonts w:hint="eastAsia" w:ascii="宋体" w:hAnsi="宋体" w:cs="宋体"/>
          <w:color w:val="auto"/>
          <w:sz w:val="24"/>
          <w:szCs w:val="24"/>
          <w:highlight w:val="none"/>
        </w:rPr>
        <w:instrText xml:space="preserve"> HYPERLINK  \l "_1．招标方式"</w:instrText>
      </w:r>
      <w:r>
        <w:rPr>
          <w:rFonts w:hint="eastAsia" w:ascii="宋体" w:hAnsi="宋体" w:cs="宋体"/>
          <w:color w:val="auto"/>
          <w:sz w:val="24"/>
          <w:szCs w:val="24"/>
          <w:highlight w:val="none"/>
        </w:rPr>
        <w:fldChar w:fldCharType="separate"/>
      </w:r>
      <w:r>
        <w:rPr>
          <w:rStyle w:val="27"/>
          <w:rFonts w:hint="eastAsia" w:ascii="宋体" w:hAnsi="宋体" w:cs="宋体"/>
          <w:color w:val="auto"/>
          <w:sz w:val="24"/>
          <w:szCs w:val="24"/>
          <w:highlight w:val="none"/>
        </w:rPr>
        <w:t>第二章  投</w:t>
      </w:r>
      <w:bookmarkStart w:id="1" w:name="_Hlt358830030"/>
      <w:r>
        <w:rPr>
          <w:rStyle w:val="27"/>
          <w:rFonts w:hint="eastAsia" w:ascii="宋体" w:hAnsi="宋体" w:cs="宋体"/>
          <w:color w:val="auto"/>
          <w:sz w:val="24"/>
          <w:szCs w:val="24"/>
          <w:highlight w:val="none"/>
        </w:rPr>
        <w:t>标</w:t>
      </w:r>
      <w:bookmarkEnd w:id="1"/>
      <w:bookmarkStart w:id="2" w:name="_Hlt358830243"/>
      <w:r>
        <w:rPr>
          <w:rStyle w:val="27"/>
          <w:rFonts w:hint="eastAsia" w:ascii="宋体" w:hAnsi="宋体" w:cs="宋体"/>
          <w:color w:val="auto"/>
          <w:sz w:val="24"/>
          <w:szCs w:val="24"/>
          <w:highlight w:val="none"/>
        </w:rPr>
        <w:t>人</w:t>
      </w:r>
      <w:bookmarkEnd w:id="2"/>
      <w:bookmarkStart w:id="3" w:name="_Hlt358830017"/>
      <w:bookmarkStart w:id="4" w:name="_Hlt358830016"/>
      <w:bookmarkStart w:id="5" w:name="_Hlt379122886"/>
      <w:r>
        <w:rPr>
          <w:rStyle w:val="27"/>
          <w:rFonts w:hint="eastAsia" w:ascii="宋体" w:hAnsi="宋体" w:cs="宋体"/>
          <w:color w:val="auto"/>
          <w:sz w:val="24"/>
          <w:szCs w:val="24"/>
          <w:highlight w:val="none"/>
        </w:rPr>
        <w:t>须</w:t>
      </w:r>
      <w:bookmarkEnd w:id="3"/>
      <w:bookmarkEnd w:id="4"/>
      <w:bookmarkEnd w:id="5"/>
      <w:r>
        <w:rPr>
          <w:rStyle w:val="27"/>
          <w:rFonts w:hint="eastAsia" w:ascii="宋体" w:hAnsi="宋体" w:cs="宋体"/>
          <w:color w:val="auto"/>
          <w:sz w:val="24"/>
          <w:szCs w:val="24"/>
          <w:highlight w:val="none"/>
        </w:rPr>
        <w:t>知</w:t>
      </w:r>
      <w:bookmarkStart w:id="6" w:name="_Hlt358830201"/>
      <w:r>
        <w:rPr>
          <w:rStyle w:val="27"/>
          <w:rFonts w:hint="eastAsia" w:ascii="宋体" w:hAnsi="宋体" w:cs="宋体"/>
          <w:color w:val="auto"/>
          <w:sz w:val="24"/>
          <w:szCs w:val="24"/>
          <w:highlight w:val="none"/>
        </w:rPr>
        <w:tab/>
      </w:r>
      <w:bookmarkEnd w:id="6"/>
      <w:r>
        <w:rPr>
          <w:rStyle w:val="27"/>
          <w:rFonts w:hint="eastAsia" w:ascii="宋体" w:hAnsi="宋体" w:cs="宋体"/>
          <w:color w:val="auto"/>
          <w:sz w:val="24"/>
          <w:szCs w:val="24"/>
          <w:highlight w:val="none"/>
        </w:rPr>
        <w:t>6</w:t>
      </w:r>
    </w:p>
    <w:p>
      <w:pPr>
        <w:pStyle w:val="21"/>
        <w:tabs>
          <w:tab w:val="right" w:leader="dot" w:pos="8943"/>
        </w:tabs>
        <w:spacing w:after="290"/>
        <w:jc w:val="center"/>
        <w:rPr>
          <w:rFonts w:hint="eastAsia" w:ascii="宋体" w:hAnsi="宋体" w:eastAsia="宋体" w:cs="宋体"/>
          <w:b w:val="0"/>
          <w:bCs w:val="0"/>
          <w:caps w:val="0"/>
          <w:color w:val="auto"/>
          <w:sz w:val="24"/>
          <w:szCs w:val="24"/>
          <w:highlight w:val="none"/>
          <w:lang w:eastAsia="zh-CN"/>
        </w:rPr>
      </w:pPr>
      <w:r>
        <w:rPr>
          <w:rFonts w:hint="eastAsia" w:ascii="宋体" w:hAnsi="宋体" w:cs="宋体"/>
          <w:color w:val="auto"/>
          <w:sz w:val="24"/>
          <w:szCs w:val="24"/>
          <w:highlight w:val="none"/>
        </w:rPr>
        <w:fldChar w:fldCharType="end"/>
      </w:r>
      <w:r>
        <w:rPr>
          <w:color w:val="auto"/>
          <w:highlight w:val="none"/>
        </w:rPr>
        <w:fldChar w:fldCharType="begin"/>
      </w:r>
      <w:r>
        <w:rPr>
          <w:color w:val="auto"/>
          <w:highlight w:val="none"/>
        </w:rPr>
        <w:instrText xml:space="preserve"> HYPERLINK \l "_Toc335124681" </w:instrText>
      </w:r>
      <w:r>
        <w:rPr>
          <w:color w:val="auto"/>
          <w:highlight w:val="none"/>
        </w:rPr>
        <w:fldChar w:fldCharType="separate"/>
      </w:r>
      <w:r>
        <w:rPr>
          <w:rStyle w:val="27"/>
          <w:rFonts w:hint="eastAsia" w:ascii="宋体" w:hAnsi="宋体" w:cs="宋体"/>
          <w:color w:val="auto"/>
          <w:sz w:val="24"/>
          <w:szCs w:val="24"/>
          <w:highlight w:val="none"/>
        </w:rPr>
        <w:t>第三章  项目技术需求</w:t>
      </w:r>
      <w:r>
        <w:rPr>
          <w:rFonts w:hint="eastAsia" w:ascii="宋体" w:hAnsi="宋体" w:cs="宋体"/>
          <w:color w:val="auto"/>
          <w:sz w:val="24"/>
          <w:szCs w:val="24"/>
          <w:highlight w:val="none"/>
        </w:rPr>
        <w:tab/>
      </w:r>
      <w:r>
        <w:rPr>
          <w:rFonts w:hint="eastAsia" w:ascii="宋体" w:hAnsi="宋体" w:cs="宋体"/>
          <w:color w:val="auto"/>
          <w:sz w:val="24"/>
          <w:szCs w:val="24"/>
          <w:highlight w:val="none"/>
        </w:rPr>
        <w:fldChar w:fldCharType="end"/>
      </w:r>
      <w:r>
        <w:rPr>
          <w:rFonts w:hint="eastAsia" w:ascii="宋体" w:hAnsi="宋体" w:cs="宋体"/>
          <w:color w:val="auto"/>
          <w:sz w:val="24"/>
          <w:szCs w:val="24"/>
          <w:highlight w:val="none"/>
        </w:rPr>
        <w:t>1</w:t>
      </w:r>
      <w:r>
        <w:rPr>
          <w:rFonts w:hint="eastAsia" w:ascii="宋体" w:hAnsi="宋体" w:cs="宋体"/>
          <w:color w:val="auto"/>
          <w:sz w:val="24"/>
          <w:szCs w:val="24"/>
          <w:highlight w:val="none"/>
          <w:lang w:val="en-US" w:eastAsia="zh-CN"/>
        </w:rPr>
        <w:t>9</w:t>
      </w:r>
    </w:p>
    <w:p>
      <w:pPr>
        <w:pStyle w:val="21"/>
        <w:tabs>
          <w:tab w:val="right" w:leader="dot" w:pos="8943"/>
        </w:tabs>
        <w:spacing w:after="290"/>
        <w:jc w:val="center"/>
        <w:rPr>
          <w:rFonts w:hint="eastAsia" w:ascii="宋体" w:hAnsi="宋体" w:eastAsia="宋体" w:cs="宋体"/>
          <w:b w:val="0"/>
          <w:bCs w:val="0"/>
          <w:caps w:val="0"/>
          <w:color w:val="auto"/>
          <w:sz w:val="24"/>
          <w:szCs w:val="24"/>
          <w:highlight w:val="none"/>
          <w:lang w:eastAsia="zh-CN"/>
        </w:rPr>
      </w:pPr>
      <w:r>
        <w:rPr>
          <w:color w:val="auto"/>
          <w:highlight w:val="none"/>
        </w:rPr>
        <w:fldChar w:fldCharType="begin"/>
      </w:r>
      <w:r>
        <w:rPr>
          <w:color w:val="auto"/>
          <w:highlight w:val="none"/>
        </w:rPr>
        <w:instrText xml:space="preserve"> HYPERLINK \l "_Toc335124682" </w:instrText>
      </w:r>
      <w:r>
        <w:rPr>
          <w:color w:val="auto"/>
          <w:highlight w:val="none"/>
        </w:rPr>
        <w:fldChar w:fldCharType="separate"/>
      </w:r>
      <w:r>
        <w:rPr>
          <w:rStyle w:val="27"/>
          <w:rFonts w:hint="eastAsia" w:ascii="宋体" w:hAnsi="宋体" w:cs="宋体"/>
          <w:color w:val="auto"/>
          <w:sz w:val="24"/>
          <w:szCs w:val="24"/>
          <w:highlight w:val="none"/>
        </w:rPr>
        <w:t>第四</w:t>
      </w:r>
      <w:bookmarkStart w:id="7" w:name="_Hlt356406557"/>
      <w:r>
        <w:rPr>
          <w:rStyle w:val="27"/>
          <w:rFonts w:hint="eastAsia" w:ascii="宋体" w:hAnsi="宋体" w:cs="宋体"/>
          <w:color w:val="auto"/>
          <w:sz w:val="24"/>
          <w:szCs w:val="24"/>
          <w:highlight w:val="none"/>
        </w:rPr>
        <w:t>章</w:t>
      </w:r>
      <w:bookmarkEnd w:id="7"/>
      <w:r>
        <w:rPr>
          <w:rStyle w:val="27"/>
          <w:rFonts w:hint="eastAsia" w:ascii="宋体" w:hAnsi="宋体" w:cs="宋体"/>
          <w:color w:val="auto"/>
          <w:sz w:val="24"/>
          <w:szCs w:val="24"/>
          <w:highlight w:val="none"/>
        </w:rPr>
        <w:t xml:space="preserve">  评标方法</w:t>
      </w:r>
      <w:bookmarkStart w:id="8" w:name="_Hlt365380761"/>
      <w:r>
        <w:rPr>
          <w:rStyle w:val="27"/>
          <w:rFonts w:hint="eastAsia" w:ascii="宋体" w:hAnsi="宋体" w:cs="宋体"/>
          <w:color w:val="auto"/>
          <w:sz w:val="24"/>
          <w:szCs w:val="24"/>
          <w:highlight w:val="none"/>
        </w:rPr>
        <w:t>与</w:t>
      </w:r>
      <w:bookmarkEnd w:id="8"/>
      <w:bookmarkStart w:id="9" w:name="_Hlt380502802"/>
      <w:r>
        <w:rPr>
          <w:rStyle w:val="27"/>
          <w:rFonts w:hint="eastAsia" w:ascii="宋体" w:hAnsi="宋体" w:cs="宋体"/>
          <w:color w:val="auto"/>
          <w:sz w:val="24"/>
          <w:szCs w:val="24"/>
          <w:highlight w:val="none"/>
        </w:rPr>
        <w:t>评</w:t>
      </w:r>
      <w:bookmarkEnd w:id="9"/>
      <w:bookmarkStart w:id="10" w:name="_Hlt379122865"/>
      <w:r>
        <w:rPr>
          <w:rStyle w:val="27"/>
          <w:rFonts w:hint="eastAsia" w:ascii="宋体" w:hAnsi="宋体" w:cs="宋体"/>
          <w:color w:val="auto"/>
          <w:sz w:val="24"/>
          <w:szCs w:val="24"/>
          <w:highlight w:val="none"/>
        </w:rPr>
        <w:t>标</w:t>
      </w:r>
      <w:bookmarkEnd w:id="10"/>
      <w:bookmarkStart w:id="11" w:name="_Hlt428890717"/>
      <w:bookmarkStart w:id="12" w:name="_Hlt428890716"/>
      <w:r>
        <w:rPr>
          <w:rStyle w:val="27"/>
          <w:rFonts w:hint="eastAsia" w:ascii="宋体" w:hAnsi="宋体" w:cs="宋体"/>
          <w:color w:val="auto"/>
          <w:sz w:val="24"/>
          <w:szCs w:val="24"/>
          <w:highlight w:val="none"/>
        </w:rPr>
        <w:t>标</w:t>
      </w:r>
      <w:bookmarkEnd w:id="11"/>
      <w:bookmarkEnd w:id="12"/>
      <w:bookmarkStart w:id="13" w:name="_Hlt365380781"/>
      <w:r>
        <w:rPr>
          <w:rStyle w:val="27"/>
          <w:rFonts w:hint="eastAsia" w:ascii="宋体" w:hAnsi="宋体" w:cs="宋体"/>
          <w:color w:val="auto"/>
          <w:sz w:val="24"/>
          <w:szCs w:val="24"/>
          <w:highlight w:val="none"/>
        </w:rPr>
        <w:t>准</w:t>
      </w:r>
      <w:bookmarkEnd w:id="13"/>
      <w:bookmarkStart w:id="14" w:name="_Hlt363208564"/>
      <w:bookmarkStart w:id="15" w:name="_Hlt356291596"/>
      <w:r>
        <w:rPr>
          <w:rFonts w:hint="eastAsia" w:ascii="宋体" w:hAnsi="宋体" w:cs="宋体"/>
          <w:color w:val="auto"/>
          <w:sz w:val="24"/>
          <w:szCs w:val="24"/>
          <w:highlight w:val="none"/>
        </w:rPr>
        <w:tab/>
      </w:r>
      <w:bookmarkEnd w:id="14"/>
      <w:bookmarkEnd w:id="15"/>
      <w:r>
        <w:rPr>
          <w:rFonts w:hint="eastAsia" w:ascii="宋体" w:hAnsi="宋体" w:cs="宋体"/>
          <w:color w:val="auto"/>
          <w:sz w:val="24"/>
          <w:szCs w:val="24"/>
          <w:highlight w:val="none"/>
        </w:rPr>
        <w:fldChar w:fldCharType="end"/>
      </w:r>
      <w:r>
        <w:rPr>
          <w:rStyle w:val="27"/>
          <w:rFonts w:hint="eastAsia" w:ascii="宋体" w:hAnsi="宋体" w:cs="宋体"/>
          <w:color w:val="auto"/>
          <w:sz w:val="24"/>
          <w:szCs w:val="24"/>
          <w:highlight w:val="none"/>
        </w:rPr>
        <w:t>2</w:t>
      </w:r>
      <w:r>
        <w:rPr>
          <w:rStyle w:val="27"/>
          <w:rFonts w:hint="eastAsia" w:ascii="宋体" w:hAnsi="宋体" w:cs="宋体"/>
          <w:color w:val="auto"/>
          <w:sz w:val="24"/>
          <w:szCs w:val="24"/>
          <w:highlight w:val="none"/>
          <w:lang w:val="en-US" w:eastAsia="zh-CN"/>
        </w:rPr>
        <w:t>2</w:t>
      </w:r>
    </w:p>
    <w:p>
      <w:pPr>
        <w:pStyle w:val="21"/>
        <w:tabs>
          <w:tab w:val="right" w:leader="dot" w:pos="8943"/>
        </w:tabs>
        <w:spacing w:after="290"/>
        <w:jc w:val="center"/>
        <w:rPr>
          <w:rFonts w:hint="eastAsia" w:ascii="宋体" w:hAnsi="宋体" w:eastAsia="宋体" w:cs="宋体"/>
          <w:b w:val="0"/>
          <w:bCs w:val="0"/>
          <w:caps w:val="0"/>
          <w:color w:val="auto"/>
          <w:sz w:val="24"/>
          <w:szCs w:val="24"/>
          <w:highlight w:val="none"/>
          <w:lang w:eastAsia="zh-CN"/>
        </w:rPr>
      </w:pPr>
      <w:r>
        <w:rPr>
          <w:color w:val="auto"/>
          <w:highlight w:val="none"/>
        </w:rPr>
        <w:fldChar w:fldCharType="begin"/>
      </w:r>
      <w:r>
        <w:rPr>
          <w:color w:val="auto"/>
          <w:highlight w:val="none"/>
        </w:rPr>
        <w:instrText xml:space="preserve"> HYPERLINK \l "_Toc335124683" </w:instrText>
      </w:r>
      <w:r>
        <w:rPr>
          <w:color w:val="auto"/>
          <w:highlight w:val="none"/>
        </w:rPr>
        <w:fldChar w:fldCharType="separate"/>
      </w:r>
      <w:r>
        <w:rPr>
          <w:rStyle w:val="27"/>
          <w:rFonts w:hint="eastAsia" w:ascii="宋体" w:hAnsi="宋体" w:cs="宋体"/>
          <w:color w:val="auto"/>
          <w:sz w:val="24"/>
          <w:szCs w:val="24"/>
          <w:highlight w:val="none"/>
        </w:rPr>
        <w:t>第五章  投标文</w:t>
      </w:r>
      <w:bookmarkStart w:id="16" w:name="_Hlt365380788"/>
      <w:r>
        <w:rPr>
          <w:rStyle w:val="27"/>
          <w:rFonts w:hint="eastAsia" w:ascii="宋体" w:hAnsi="宋体" w:cs="宋体"/>
          <w:color w:val="auto"/>
          <w:sz w:val="24"/>
          <w:szCs w:val="24"/>
          <w:highlight w:val="none"/>
        </w:rPr>
        <w:t>件</w:t>
      </w:r>
      <w:bookmarkEnd w:id="16"/>
      <w:bookmarkStart w:id="17" w:name="_Hlt379122848"/>
      <w:bookmarkStart w:id="18" w:name="_Hlt379122847"/>
      <w:bookmarkStart w:id="19" w:name="_Hlt380654210"/>
      <w:r>
        <w:rPr>
          <w:rStyle w:val="27"/>
          <w:rFonts w:hint="eastAsia" w:ascii="宋体" w:hAnsi="宋体" w:cs="宋体"/>
          <w:color w:val="auto"/>
          <w:sz w:val="24"/>
          <w:szCs w:val="24"/>
          <w:highlight w:val="none"/>
        </w:rPr>
        <w:t>格</w:t>
      </w:r>
      <w:bookmarkEnd w:id="17"/>
      <w:bookmarkEnd w:id="18"/>
      <w:bookmarkEnd w:id="19"/>
      <w:bookmarkStart w:id="20" w:name="_Hlt365999235"/>
      <w:r>
        <w:rPr>
          <w:rStyle w:val="27"/>
          <w:rFonts w:hint="eastAsia" w:ascii="宋体" w:hAnsi="宋体" w:cs="宋体"/>
          <w:color w:val="auto"/>
          <w:sz w:val="24"/>
          <w:szCs w:val="24"/>
          <w:highlight w:val="none"/>
        </w:rPr>
        <w:t>式</w:t>
      </w:r>
      <w:bookmarkEnd w:id="20"/>
      <w:bookmarkStart w:id="21" w:name="_Hlt363208613"/>
      <w:bookmarkStart w:id="22" w:name="_Hlt365821433"/>
      <w:bookmarkStart w:id="23" w:name="_Hlt363208590"/>
      <w:bookmarkStart w:id="24" w:name="_Hlt365821434"/>
      <w:r>
        <w:rPr>
          <w:rFonts w:hint="eastAsia" w:ascii="宋体" w:hAnsi="宋体" w:cs="宋体"/>
          <w:color w:val="auto"/>
          <w:sz w:val="24"/>
          <w:szCs w:val="24"/>
          <w:highlight w:val="none"/>
        </w:rPr>
        <w:tab/>
      </w:r>
      <w:bookmarkEnd w:id="21"/>
      <w:bookmarkEnd w:id="22"/>
      <w:bookmarkEnd w:id="23"/>
      <w:bookmarkEnd w:id="24"/>
      <w:r>
        <w:rPr>
          <w:rFonts w:hint="eastAsia" w:ascii="宋体" w:hAnsi="宋体" w:cs="宋体"/>
          <w:color w:val="auto"/>
          <w:sz w:val="24"/>
          <w:szCs w:val="24"/>
          <w:highlight w:val="none"/>
        </w:rPr>
        <w:fldChar w:fldCharType="end"/>
      </w:r>
      <w:r>
        <w:rPr>
          <w:rStyle w:val="27"/>
          <w:rFonts w:hint="eastAsia" w:ascii="宋体" w:hAnsi="宋体" w:cs="宋体"/>
          <w:color w:val="auto"/>
          <w:sz w:val="24"/>
          <w:szCs w:val="24"/>
          <w:highlight w:val="none"/>
        </w:rPr>
        <w:t>2</w:t>
      </w:r>
      <w:r>
        <w:rPr>
          <w:rStyle w:val="27"/>
          <w:rFonts w:hint="eastAsia" w:ascii="宋体" w:hAnsi="宋体" w:cs="宋体"/>
          <w:color w:val="auto"/>
          <w:sz w:val="24"/>
          <w:szCs w:val="24"/>
          <w:highlight w:val="none"/>
          <w:lang w:val="en-US" w:eastAsia="zh-CN"/>
        </w:rPr>
        <w:t>6</w:t>
      </w:r>
    </w:p>
    <w:p>
      <w:pPr>
        <w:rPr>
          <w:rFonts w:ascii="宋体" w:hAnsi="宋体"/>
          <w:color w:val="auto"/>
          <w:highlight w:val="none"/>
        </w:rPr>
      </w:pPr>
      <w:r>
        <w:rPr>
          <w:rFonts w:hint="eastAsia" w:ascii="宋体" w:hAnsi="宋体"/>
          <w:bCs/>
          <w:caps/>
          <w:color w:val="auto"/>
          <w:sz w:val="24"/>
          <w:szCs w:val="24"/>
          <w:highlight w:val="none"/>
        </w:rPr>
        <w:fldChar w:fldCharType="end"/>
      </w:r>
    </w:p>
    <w:bookmarkEnd w:id="0"/>
    <w:p>
      <w:pPr>
        <w:pStyle w:val="43"/>
        <w:spacing w:after="290" w:line="460" w:lineRule="exact"/>
        <w:ind w:firstLine="480"/>
        <w:rPr>
          <w:rFonts w:ascii="宋体" w:hAnsi="宋体" w:eastAsia="宋体" w:cs="宋体"/>
          <w:color w:val="auto"/>
          <w:highlight w:val="none"/>
        </w:rPr>
        <w:sectPr>
          <w:headerReference r:id="rId4" w:type="first"/>
          <w:footerReference r:id="rId7" w:type="first"/>
          <w:headerReference r:id="rId3" w:type="default"/>
          <w:footerReference r:id="rId5" w:type="default"/>
          <w:footerReference r:id="rId6" w:type="even"/>
          <w:pgSz w:w="11906" w:h="16838"/>
          <w:pgMar w:top="1440" w:right="1440" w:bottom="1440" w:left="1440" w:header="851" w:footer="1134" w:gutter="0"/>
          <w:cols w:space="720" w:num="1"/>
          <w:titlePg/>
          <w:docGrid w:type="lines" w:linePitch="290" w:charSpace="0"/>
        </w:sectPr>
      </w:pPr>
      <w:bookmarkStart w:id="25" w:name="_Toc335123850"/>
      <w:bookmarkStart w:id="26" w:name="_Toc335124678"/>
      <w:bookmarkStart w:id="27" w:name="_Toc307561707"/>
    </w:p>
    <w:bookmarkEnd w:id="25"/>
    <w:bookmarkEnd w:id="26"/>
    <w:bookmarkEnd w:id="27"/>
    <w:p>
      <w:pPr>
        <w:pStyle w:val="43"/>
        <w:spacing w:after="240" w:line="460" w:lineRule="exact"/>
        <w:rPr>
          <w:rFonts w:ascii="宋体" w:hAnsi="宋体" w:eastAsia="宋体" w:cs="宋体"/>
          <w:color w:val="auto"/>
          <w:highlight w:val="none"/>
        </w:rPr>
      </w:pPr>
      <w:r>
        <w:rPr>
          <w:rFonts w:hint="eastAsia" w:ascii="宋体" w:hAnsi="宋体" w:eastAsia="宋体" w:cs="宋体"/>
          <w:color w:val="auto"/>
          <w:highlight w:val="none"/>
        </w:rPr>
        <w:t>第一章  招标公告</w:t>
      </w:r>
    </w:p>
    <w:p>
      <w:pPr>
        <w:snapToGrid w:val="0"/>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项目概况</w:t>
      </w:r>
    </w:p>
    <w:p>
      <w:pPr>
        <w:snapToGrid w:val="0"/>
        <w:spacing w:line="480" w:lineRule="exact"/>
        <w:ind w:firstLine="560" w:firstLineChars="200"/>
        <w:rPr>
          <w:rFonts w:ascii="宋体" w:hAnsi="宋体"/>
          <w:color w:val="auto"/>
          <w:sz w:val="28"/>
          <w:szCs w:val="28"/>
          <w:highlight w:val="none"/>
        </w:rPr>
      </w:pPr>
      <w:r>
        <w:rPr>
          <w:rFonts w:hint="eastAsia" w:ascii="宋体" w:hAnsi="宋体"/>
          <w:bCs/>
          <w:color w:val="auto"/>
          <w:sz w:val="28"/>
          <w:szCs w:val="28"/>
          <w:highlight w:val="none"/>
        </w:rPr>
        <w:t>如东县2023年互花米草治理（试点）项目</w:t>
      </w:r>
      <w:r>
        <w:rPr>
          <w:rFonts w:hint="eastAsia" w:ascii="宋体" w:hAnsi="宋体"/>
          <w:color w:val="auto"/>
          <w:sz w:val="28"/>
          <w:szCs w:val="28"/>
          <w:highlight w:val="none"/>
        </w:rPr>
        <w:t>的潜在投标人应在“江苏政府采购网”和“中国政府采购网”获取招标文件，并于2023年</w:t>
      </w:r>
      <w:r>
        <w:rPr>
          <w:rFonts w:hint="eastAsia" w:ascii="宋体" w:hAnsi="宋体"/>
          <w:color w:val="auto"/>
          <w:sz w:val="28"/>
          <w:szCs w:val="28"/>
          <w:highlight w:val="none"/>
          <w:lang w:val="en-US" w:eastAsia="zh-CN"/>
        </w:rPr>
        <w:t>10</w:t>
      </w:r>
      <w:r>
        <w:rPr>
          <w:rFonts w:hint="eastAsia" w:ascii="宋体" w:hAnsi="宋体"/>
          <w:color w:val="auto"/>
          <w:sz w:val="28"/>
          <w:szCs w:val="28"/>
          <w:highlight w:val="none"/>
        </w:rPr>
        <w:t>月</w:t>
      </w:r>
      <w:r>
        <w:rPr>
          <w:rFonts w:hint="eastAsia" w:ascii="宋体" w:hAnsi="宋体"/>
          <w:color w:val="auto"/>
          <w:sz w:val="28"/>
          <w:szCs w:val="28"/>
          <w:highlight w:val="none"/>
          <w:lang w:val="en-US" w:eastAsia="zh-CN"/>
        </w:rPr>
        <w:t>9</w:t>
      </w:r>
      <w:r>
        <w:rPr>
          <w:rFonts w:hint="eastAsia" w:ascii="宋体" w:hAnsi="宋体"/>
          <w:color w:val="auto"/>
          <w:sz w:val="28"/>
          <w:szCs w:val="28"/>
          <w:highlight w:val="none"/>
        </w:rPr>
        <w:t>日</w:t>
      </w:r>
      <w:r>
        <w:rPr>
          <w:rFonts w:hint="eastAsia" w:ascii="宋体" w:hAnsi="宋体"/>
          <w:color w:val="auto"/>
          <w:sz w:val="28"/>
          <w:szCs w:val="28"/>
          <w:highlight w:val="none"/>
          <w:lang w:val="en-US" w:eastAsia="zh-CN"/>
        </w:rPr>
        <w:t>上</w:t>
      </w:r>
      <w:r>
        <w:rPr>
          <w:rFonts w:hint="eastAsia" w:ascii="宋体" w:hAnsi="宋体"/>
          <w:color w:val="auto"/>
          <w:sz w:val="28"/>
          <w:szCs w:val="28"/>
          <w:highlight w:val="none"/>
        </w:rPr>
        <w:t>午</w:t>
      </w:r>
      <w:r>
        <w:rPr>
          <w:rFonts w:hint="eastAsia" w:ascii="宋体" w:hAnsi="宋体"/>
          <w:color w:val="auto"/>
          <w:sz w:val="28"/>
          <w:szCs w:val="28"/>
          <w:highlight w:val="none"/>
          <w:lang w:val="en-US" w:eastAsia="zh-CN"/>
        </w:rPr>
        <w:t>9</w:t>
      </w:r>
      <w:r>
        <w:rPr>
          <w:rFonts w:hint="eastAsia" w:ascii="宋体" w:hAnsi="宋体"/>
          <w:color w:val="auto"/>
          <w:sz w:val="28"/>
          <w:szCs w:val="28"/>
          <w:highlight w:val="none"/>
        </w:rPr>
        <w:t>时（北京时间）前递交投标文件。</w:t>
      </w:r>
    </w:p>
    <w:p>
      <w:pPr>
        <w:snapToGrid w:val="0"/>
        <w:spacing w:line="480" w:lineRule="exact"/>
        <w:ind w:firstLine="562" w:firstLineChars="200"/>
        <w:rPr>
          <w:rFonts w:ascii="宋体" w:hAnsi="宋体"/>
          <w:color w:val="auto"/>
          <w:sz w:val="28"/>
          <w:szCs w:val="28"/>
          <w:highlight w:val="none"/>
        </w:rPr>
      </w:pPr>
      <w:r>
        <w:rPr>
          <w:rFonts w:hint="eastAsia" w:ascii="宋体" w:hAnsi="宋体"/>
          <w:b/>
          <w:color w:val="auto"/>
          <w:sz w:val="28"/>
          <w:szCs w:val="28"/>
          <w:highlight w:val="none"/>
        </w:rPr>
        <w:t>一、项目基本情况</w:t>
      </w:r>
    </w:p>
    <w:p>
      <w:pPr>
        <w:snapToGrid w:val="0"/>
        <w:spacing w:line="480" w:lineRule="exact"/>
        <w:ind w:firstLine="560" w:firstLineChars="200"/>
        <w:rPr>
          <w:rFonts w:ascii="宋体" w:hAnsi="宋体"/>
          <w:bCs/>
          <w:color w:val="auto"/>
          <w:sz w:val="28"/>
          <w:szCs w:val="28"/>
          <w:highlight w:val="none"/>
          <w:u w:val="single"/>
        </w:rPr>
      </w:pPr>
      <w:r>
        <w:rPr>
          <w:rFonts w:hint="eastAsia" w:ascii="宋体" w:hAnsi="宋体"/>
          <w:color w:val="auto"/>
          <w:sz w:val="28"/>
          <w:szCs w:val="28"/>
          <w:highlight w:val="none"/>
        </w:rPr>
        <w:t>项目名称：</w:t>
      </w:r>
      <w:bookmarkStart w:id="28" w:name="_Hlk76656052"/>
      <w:r>
        <w:rPr>
          <w:rFonts w:hint="eastAsia" w:ascii="宋体" w:hAnsi="宋体"/>
          <w:bCs/>
          <w:color w:val="auto"/>
          <w:sz w:val="28"/>
          <w:szCs w:val="28"/>
          <w:highlight w:val="none"/>
          <w:u w:val="single"/>
        </w:rPr>
        <w:t>如东县2023年互花米草治理（试点）项目</w:t>
      </w:r>
    </w:p>
    <w:p>
      <w:pPr>
        <w:snapToGrid w:val="0"/>
        <w:spacing w:line="480" w:lineRule="exact"/>
        <w:ind w:firstLine="560" w:firstLineChars="200"/>
        <w:rPr>
          <w:rFonts w:ascii="宋体" w:hAnsi="宋体"/>
          <w:color w:val="auto"/>
          <w:sz w:val="28"/>
          <w:szCs w:val="28"/>
          <w:highlight w:val="none"/>
          <w:u w:val="single"/>
        </w:rPr>
      </w:pPr>
      <w:r>
        <w:rPr>
          <w:rFonts w:hint="eastAsia" w:ascii="宋体" w:hAnsi="宋体"/>
          <w:color w:val="auto"/>
          <w:sz w:val="28"/>
          <w:szCs w:val="28"/>
          <w:highlight w:val="none"/>
        </w:rPr>
        <w:t>项目类型：</w:t>
      </w:r>
      <w:r>
        <w:rPr>
          <w:rFonts w:hint="eastAsia" w:ascii="宋体" w:hAnsi="宋体"/>
          <w:color w:val="auto"/>
          <w:sz w:val="28"/>
          <w:szCs w:val="28"/>
          <w:highlight w:val="none"/>
          <w:u w:val="single"/>
        </w:rPr>
        <w:t>服务</w:t>
      </w:r>
    </w:p>
    <w:p>
      <w:pPr>
        <w:snapToGrid w:val="0"/>
        <w:spacing w:line="480" w:lineRule="exact"/>
        <w:ind w:firstLine="560" w:firstLineChars="200"/>
        <w:rPr>
          <w:rFonts w:ascii="宋体" w:hAnsi="宋体"/>
          <w:color w:val="auto"/>
          <w:sz w:val="28"/>
          <w:szCs w:val="28"/>
          <w:highlight w:val="none"/>
          <w:u w:val="single"/>
        </w:rPr>
      </w:pPr>
      <w:r>
        <w:rPr>
          <w:rFonts w:hint="eastAsia" w:ascii="宋体" w:hAnsi="宋体"/>
          <w:color w:val="auto"/>
          <w:sz w:val="28"/>
          <w:szCs w:val="28"/>
          <w:highlight w:val="none"/>
        </w:rPr>
        <w:t>所属行业：</w:t>
      </w:r>
      <w:r>
        <w:rPr>
          <w:rFonts w:hint="eastAsia" w:ascii="宋体" w:hAnsi="宋体"/>
          <w:color w:val="auto"/>
          <w:sz w:val="28"/>
          <w:szCs w:val="28"/>
          <w:highlight w:val="none"/>
          <w:u w:val="single"/>
        </w:rPr>
        <w:t>其他未列明行业</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预算金额：</w:t>
      </w:r>
      <w:r>
        <w:rPr>
          <w:rFonts w:hint="eastAsia" w:ascii="宋体" w:hAnsi="宋体"/>
          <w:bCs/>
          <w:color w:val="auto"/>
          <w:sz w:val="28"/>
          <w:szCs w:val="28"/>
          <w:highlight w:val="none"/>
          <w:u w:val="single"/>
        </w:rPr>
        <w:t>1800万元</w:t>
      </w:r>
      <w:r>
        <w:rPr>
          <w:rFonts w:hint="eastAsia" w:ascii="宋体" w:hAnsi="宋体"/>
          <w:color w:val="auto"/>
          <w:sz w:val="28"/>
          <w:szCs w:val="28"/>
          <w:highlight w:val="none"/>
        </w:rPr>
        <w:t>，最终报价超过采购预算的</w:t>
      </w:r>
      <w:r>
        <w:rPr>
          <w:rFonts w:ascii="宋体" w:hAnsi="宋体"/>
          <w:color w:val="auto"/>
          <w:sz w:val="28"/>
          <w:szCs w:val="28"/>
          <w:highlight w:val="none"/>
        </w:rPr>
        <w:t>为无效投标。</w:t>
      </w:r>
    </w:p>
    <w:bookmarkEnd w:id="28"/>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采购需求：如东县本次试点除治区治理面积 473.4337公顷 (含1个新增图斑面积 21.1817 公顷)。根据除治区互花米草分布特征及地形地貌条件，共划分为 5个不同治理技术手段除治区，分别采用</w:t>
      </w:r>
      <w:r>
        <w:rPr>
          <w:rFonts w:hint="eastAsia" w:cs="仿宋" w:asciiTheme="minorEastAsia" w:hAnsiTheme="minorEastAsia" w:eastAsiaTheme="minorEastAsia"/>
          <w:color w:val="auto"/>
          <w:sz w:val="28"/>
          <w:szCs w:val="28"/>
          <w:highlight w:val="none"/>
        </w:rPr>
        <w:t>刈</w:t>
      </w:r>
      <w:r>
        <w:rPr>
          <w:rFonts w:hint="eastAsia" w:ascii="宋体" w:hAnsi="宋体"/>
          <w:color w:val="auto"/>
          <w:sz w:val="28"/>
          <w:szCs w:val="28"/>
          <w:highlight w:val="none"/>
        </w:rPr>
        <w:t>割+围淹 (272.2917 公顷占57.51%)、翻根深埋 (58.9745 公顷，占12.46%)、人工清除43.5900公顷，占9.21%)、生物药剂(39.5192公顷，占8.35%)和生物药剂+人工清除(59.0583 公顷，占12.47%)等除治方式进行治理。</w:t>
      </w:r>
      <w:r>
        <w:rPr>
          <w:rFonts w:hint="eastAsia" w:ascii="宋体" w:hAnsi="宋体"/>
          <w:b/>
          <w:color w:val="auto"/>
          <w:sz w:val="28"/>
          <w:szCs w:val="28"/>
          <w:highlight w:val="none"/>
        </w:rPr>
        <w:t>试点除治区当年实际除杀率必须在90％以上，次年对残存和新生草体连续除杀，同样达90％以上，并持续保持至2025年12月31日。</w:t>
      </w:r>
      <w:r>
        <w:rPr>
          <w:rFonts w:hint="eastAsia" w:ascii="宋体" w:hAnsi="宋体"/>
          <w:b/>
          <w:bCs/>
          <w:color w:val="auto"/>
          <w:sz w:val="28"/>
          <w:szCs w:val="28"/>
          <w:highlight w:val="none"/>
        </w:rPr>
        <w:t>具体内容详见招标文件，请仔细研究。</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合同履行期限：</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2023年10月为前期阶段，开展现状调查、补充调查、实施方案评审及报批；</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2023年10月- 12月31日为除治阶段，全面完成除治任务(涉及到生物药剂的安排在10月份前完成)；</w:t>
      </w:r>
    </w:p>
    <w:p>
      <w:pPr>
        <w:snapToGrid w:val="0"/>
        <w:spacing w:line="480" w:lineRule="exact"/>
        <w:ind w:firstLine="560" w:firstLineChars="200"/>
        <w:jc w:val="left"/>
        <w:rPr>
          <w:rFonts w:ascii="宋体" w:hAnsi="宋体"/>
          <w:b/>
          <w:bCs/>
          <w:color w:val="auto"/>
          <w:sz w:val="28"/>
          <w:szCs w:val="28"/>
          <w:highlight w:val="none"/>
        </w:rPr>
      </w:pPr>
      <w:r>
        <w:rPr>
          <w:rFonts w:hint="eastAsia" w:ascii="宋体" w:hAnsi="宋体"/>
          <w:color w:val="auto"/>
          <w:sz w:val="28"/>
          <w:szCs w:val="28"/>
          <w:highlight w:val="none"/>
        </w:rPr>
        <w:t>2024年1月1日至2025年12月为后期管护阶段，巩固除治成果进行监测评估。</w:t>
      </w:r>
    </w:p>
    <w:p>
      <w:pPr>
        <w:keepNext w:val="0"/>
        <w:keepLines w:val="0"/>
        <w:pageBreakBefore w:val="0"/>
        <w:kinsoku/>
        <w:wordWrap/>
        <w:overflowPunct/>
        <w:topLinePunct w:val="0"/>
        <w:autoSpaceDE/>
        <w:autoSpaceDN/>
        <w:bidi w:val="0"/>
        <w:adjustRightInd w:val="0"/>
        <w:snapToGrid w:val="0"/>
        <w:spacing w:line="380" w:lineRule="exact"/>
        <w:ind w:firstLine="560" w:firstLineChars="200"/>
        <w:textAlignment w:val="auto"/>
        <w:rPr>
          <w:rFonts w:hint="default"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rPr>
        <w:t>本项目（是/否）接受联合体投标</w:t>
      </w:r>
      <w:r>
        <w:rPr>
          <w:rFonts w:hint="eastAsia" w:ascii="宋体" w:hAnsi="宋体" w:eastAsia="宋体" w:cs="宋体"/>
          <w:color w:val="auto"/>
          <w:sz w:val="28"/>
          <w:szCs w:val="28"/>
          <w:highlight w:val="none"/>
          <w:lang w:eastAsia="zh-CN"/>
        </w:rPr>
        <w:t>：</w:t>
      </w:r>
      <w:r>
        <w:rPr>
          <w:rFonts w:hint="eastAsia" w:ascii="宋体" w:hAnsi="宋体" w:eastAsia="宋体" w:cs="宋体"/>
          <w:b/>
          <w:bCs/>
          <w:color w:val="auto"/>
          <w:sz w:val="28"/>
          <w:szCs w:val="28"/>
          <w:highlight w:val="none"/>
          <w:u w:val="single"/>
          <w:lang w:val="en-US" w:eastAsia="zh-CN"/>
        </w:rPr>
        <w:t>是。</w:t>
      </w:r>
    </w:p>
    <w:p>
      <w:pPr>
        <w:keepNext w:val="0"/>
        <w:keepLines w:val="0"/>
        <w:pageBreakBefore w:val="0"/>
        <w:kinsoku/>
        <w:wordWrap/>
        <w:overflowPunct/>
        <w:topLinePunct w:val="0"/>
        <w:autoSpaceDE/>
        <w:autoSpaceDN/>
        <w:bidi w:val="0"/>
        <w:adjustRightInd w:val="0"/>
        <w:snapToGrid w:val="0"/>
        <w:spacing w:line="380" w:lineRule="exact"/>
        <w:ind w:firstLine="560" w:firstLineChars="200"/>
        <w:textAlignment w:val="auto"/>
        <w:rPr>
          <w:rFonts w:hint="default"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本项目</w:t>
      </w:r>
      <w:r>
        <w:rPr>
          <w:rFonts w:hint="eastAsia" w:ascii="宋体" w:hAnsi="宋体" w:eastAsia="宋体" w:cs="宋体"/>
          <w:color w:val="auto"/>
          <w:sz w:val="28"/>
          <w:szCs w:val="28"/>
          <w:highlight w:val="none"/>
        </w:rPr>
        <w:t>（是/否）</w:t>
      </w:r>
      <w:r>
        <w:rPr>
          <w:rFonts w:hint="eastAsia" w:ascii="宋体" w:hAnsi="宋体" w:eastAsia="宋体" w:cs="宋体"/>
          <w:b w:val="0"/>
          <w:bCs w:val="0"/>
          <w:color w:val="auto"/>
          <w:sz w:val="28"/>
          <w:szCs w:val="28"/>
          <w:highlight w:val="none"/>
          <w:lang w:val="en-US" w:eastAsia="zh-CN"/>
        </w:rPr>
        <w:t>专门面向中小企业采购：</w:t>
      </w:r>
      <w:r>
        <w:rPr>
          <w:rFonts w:hint="eastAsia" w:ascii="宋体" w:hAnsi="宋体" w:eastAsia="宋体" w:cs="宋体"/>
          <w:color w:val="auto"/>
          <w:sz w:val="28"/>
          <w:szCs w:val="28"/>
          <w:highlight w:val="none"/>
          <w:u w:val="single"/>
          <w:lang w:val="en-US" w:eastAsia="zh-CN"/>
        </w:rPr>
        <w:t>否</w:t>
      </w:r>
      <w:r>
        <w:rPr>
          <w:rFonts w:hint="eastAsia" w:ascii="宋体" w:hAnsi="宋体" w:eastAsia="宋体" w:cs="宋体"/>
          <w:b w:val="0"/>
          <w:bCs w:val="0"/>
          <w:color w:val="auto"/>
          <w:sz w:val="28"/>
          <w:szCs w:val="28"/>
          <w:highlight w:val="none"/>
          <w:u w:val="single"/>
          <w:lang w:val="en-US" w:eastAsia="zh-CN"/>
        </w:rPr>
        <w:t>。</w:t>
      </w:r>
    </w:p>
    <w:p>
      <w:pPr>
        <w:spacing w:line="480" w:lineRule="exact"/>
        <w:ind w:firstLine="560" w:firstLineChars="200"/>
        <w:rPr>
          <w:rFonts w:hint="eastAsia" w:ascii="宋体" w:hAnsi="宋体"/>
          <w:b/>
          <w:color w:val="auto"/>
          <w:sz w:val="28"/>
          <w:szCs w:val="28"/>
          <w:highlight w:val="none"/>
        </w:rPr>
      </w:pPr>
      <w:r>
        <w:rPr>
          <w:rFonts w:hint="eastAsia" w:ascii="宋体" w:hAnsi="宋体" w:eastAsia="宋体" w:cs="宋体"/>
          <w:b w:val="0"/>
          <w:bCs w:val="0"/>
          <w:color w:val="auto"/>
          <w:sz w:val="28"/>
          <w:szCs w:val="28"/>
          <w:highlight w:val="none"/>
        </w:rPr>
        <w:t>本项目（是/否）接受分包</w:t>
      </w:r>
      <w:r>
        <w:rPr>
          <w:rFonts w:hint="eastAsia" w:ascii="宋体" w:hAnsi="宋体" w:eastAsia="宋体" w:cs="宋体"/>
          <w:b w:val="0"/>
          <w:bCs w:val="0"/>
          <w:color w:val="auto"/>
          <w:sz w:val="28"/>
          <w:szCs w:val="28"/>
          <w:highlight w:val="none"/>
          <w:lang w:eastAsia="zh-CN"/>
        </w:rPr>
        <w:t>：</w:t>
      </w:r>
      <w:r>
        <w:rPr>
          <w:rFonts w:hint="eastAsia" w:ascii="宋体" w:hAnsi="宋体" w:eastAsia="宋体" w:cs="宋体"/>
          <w:color w:val="auto"/>
          <w:sz w:val="28"/>
          <w:szCs w:val="28"/>
          <w:highlight w:val="none"/>
          <w:u w:val="single"/>
          <w:lang w:val="en-US" w:eastAsia="zh-CN"/>
        </w:rPr>
        <w:t>否。</w:t>
      </w:r>
    </w:p>
    <w:p>
      <w:pPr>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二、申请人的资格要求：</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1.满足《中华人民共和国政府采购法》第二十二条规定；</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2.未被“信用中国”网站列入失信被执行人、重大税收违法案件当事人名单、政府采购严重失信行为记录名单；</w:t>
      </w:r>
    </w:p>
    <w:p>
      <w:pPr>
        <w:snapToGrid w:val="0"/>
        <w:spacing w:line="480" w:lineRule="exact"/>
        <w:ind w:firstLine="560" w:firstLineChars="200"/>
        <w:rPr>
          <w:rFonts w:ascii="宋体" w:hAnsi="宋体"/>
          <w:i/>
          <w:color w:val="auto"/>
          <w:sz w:val="28"/>
          <w:szCs w:val="28"/>
          <w:highlight w:val="none"/>
        </w:rPr>
      </w:pPr>
      <w:r>
        <w:rPr>
          <w:rFonts w:hint="eastAsia" w:ascii="宋体" w:hAnsi="宋体"/>
          <w:color w:val="auto"/>
          <w:sz w:val="28"/>
          <w:szCs w:val="28"/>
          <w:highlight w:val="none"/>
        </w:rPr>
        <w:t>3.本项目的特定资格要求：</w:t>
      </w:r>
    </w:p>
    <w:p>
      <w:pPr>
        <w:spacing w:line="480" w:lineRule="exact"/>
        <w:ind w:firstLine="638" w:firstLineChars="227"/>
        <w:rPr>
          <w:rFonts w:ascii="宋体" w:hAnsi="宋体"/>
          <w:b/>
          <w:color w:val="auto"/>
          <w:sz w:val="28"/>
          <w:szCs w:val="28"/>
          <w:highlight w:val="none"/>
        </w:rPr>
      </w:pPr>
      <w:r>
        <w:rPr>
          <w:rFonts w:hint="eastAsia" w:ascii="宋体" w:hAnsi="宋体"/>
          <w:b/>
          <w:color w:val="auto"/>
          <w:sz w:val="28"/>
          <w:szCs w:val="28"/>
          <w:highlight w:val="none"/>
        </w:rPr>
        <w:t>⑴投标人必须独立法人资格和同时具有水利水电工程施工总承包二级以上（含二级）资质和环保工程专业承包三级以上（含三级）资质（并在有效期内）及企业安全生产许可证并在人员、设备、资金等方面具有相应的施工能力。</w:t>
      </w:r>
    </w:p>
    <w:p>
      <w:pPr>
        <w:snapToGrid w:val="0"/>
        <w:spacing w:line="480" w:lineRule="exact"/>
        <w:ind w:firstLine="562" w:firstLineChars="200"/>
        <w:rPr>
          <w:rFonts w:ascii="宋体" w:hAnsi="宋体"/>
          <w:b/>
          <w:bCs/>
          <w:color w:val="auto"/>
          <w:sz w:val="28"/>
          <w:szCs w:val="28"/>
          <w:highlight w:val="none"/>
        </w:rPr>
      </w:pPr>
      <w:r>
        <w:rPr>
          <w:rFonts w:hint="eastAsia" w:ascii="宋体" w:hAnsi="宋体"/>
          <w:b/>
          <w:color w:val="auto"/>
          <w:sz w:val="28"/>
          <w:szCs w:val="28"/>
          <w:highlight w:val="none"/>
        </w:rPr>
        <w:t>⑵投标人拟派项目负责人须具备市政公用工程或水利水电工程二级以上（含二级）注册建造师，且持有行政主管部门颁发的安全生产培训合格证B证。</w:t>
      </w:r>
    </w:p>
    <w:p>
      <w:pPr>
        <w:spacing w:line="480" w:lineRule="exact"/>
        <w:ind w:firstLine="562" w:firstLineChars="200"/>
        <w:jc w:val="left"/>
        <w:rPr>
          <w:rFonts w:asciiTheme="minorEastAsia" w:hAnsiTheme="minorEastAsia" w:eastAsiaTheme="minorEastAsia"/>
          <w:color w:val="auto"/>
          <w:sz w:val="28"/>
          <w:szCs w:val="28"/>
          <w:highlight w:val="none"/>
        </w:rPr>
      </w:pPr>
      <w:r>
        <w:rPr>
          <w:rFonts w:hint="eastAsia" w:asciiTheme="minorEastAsia" w:hAnsiTheme="minorEastAsia" w:eastAsiaTheme="minorEastAsia"/>
          <w:b/>
          <w:bCs/>
          <w:color w:val="auto"/>
          <w:sz w:val="28"/>
          <w:szCs w:val="28"/>
          <w:highlight w:val="none"/>
        </w:rPr>
        <w:t>4.</w:t>
      </w:r>
      <w:r>
        <w:rPr>
          <w:rFonts w:hint="eastAsia" w:asciiTheme="minorEastAsia" w:hAnsiTheme="minorEastAsia" w:eastAsiaTheme="minorEastAsia"/>
          <w:color w:val="auto"/>
          <w:sz w:val="28"/>
          <w:szCs w:val="28"/>
          <w:highlight w:val="none"/>
        </w:rPr>
        <w:t>本项目接受联合体参与投标，采用联合体投标的，构成联合体成员总数不超过两家，联合体牵头单位必须为具有环保工程专业承包资质的单位。联合体各成员不得再单独或参加其他联合体参与本项目的投标。联合体各方必须签订联合体协议，明确联合体牵头人和其他成员的主要权利和义务</w:t>
      </w:r>
      <w:r>
        <w:rPr>
          <w:rFonts w:hint="eastAsia" w:asciiTheme="minorEastAsia" w:hAnsiTheme="minorEastAsia" w:eastAsiaTheme="minorEastAsia"/>
          <w:color w:val="auto"/>
          <w:sz w:val="28"/>
          <w:szCs w:val="28"/>
          <w:highlight w:val="none"/>
          <w:lang w:eastAsia="zh-CN"/>
        </w:rPr>
        <w:t>，联合体各方应共同与采购人签订合同协议书，联合体协议经采购人确认后作为合同附件。在履行合同过程中，未经采购人同意，不得修改联合体协议，投标文件由联合体牵头人编制并盖章，对联合体各成员具有约束力</w:t>
      </w:r>
      <w:r>
        <w:rPr>
          <w:rFonts w:hint="eastAsia" w:asciiTheme="minorEastAsia" w:hAnsiTheme="minorEastAsia" w:eastAsiaTheme="minorEastAsia"/>
          <w:color w:val="auto"/>
          <w:sz w:val="28"/>
          <w:szCs w:val="28"/>
          <w:highlight w:val="none"/>
        </w:rPr>
        <w:t>。</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三、获取招标文件</w:t>
      </w:r>
    </w:p>
    <w:p>
      <w:pPr>
        <w:adjustRightInd w:val="0"/>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时间：2023年</w:t>
      </w:r>
      <w:r>
        <w:rPr>
          <w:rFonts w:hint="eastAsia" w:ascii="宋体" w:hAnsi="宋体"/>
          <w:color w:val="auto"/>
          <w:sz w:val="28"/>
          <w:szCs w:val="28"/>
          <w:highlight w:val="none"/>
          <w:lang w:val="en-US" w:eastAsia="zh-CN"/>
        </w:rPr>
        <w:t>9</w:t>
      </w:r>
      <w:r>
        <w:rPr>
          <w:rFonts w:hint="eastAsia" w:ascii="宋体" w:hAnsi="宋体"/>
          <w:color w:val="auto"/>
          <w:sz w:val="28"/>
          <w:szCs w:val="28"/>
          <w:highlight w:val="none"/>
        </w:rPr>
        <w:t>月</w:t>
      </w:r>
      <w:r>
        <w:rPr>
          <w:rFonts w:hint="eastAsia" w:ascii="宋体" w:hAnsi="宋体"/>
          <w:color w:val="auto"/>
          <w:sz w:val="28"/>
          <w:szCs w:val="28"/>
          <w:highlight w:val="none"/>
          <w:lang w:val="en-US" w:eastAsia="zh-CN"/>
        </w:rPr>
        <w:t>18</w:t>
      </w:r>
      <w:r>
        <w:rPr>
          <w:rFonts w:hint="eastAsia" w:ascii="宋体" w:hAnsi="宋体"/>
          <w:color w:val="auto"/>
          <w:sz w:val="28"/>
          <w:szCs w:val="28"/>
          <w:highlight w:val="none"/>
        </w:rPr>
        <w:t>日至2023年</w:t>
      </w:r>
      <w:r>
        <w:rPr>
          <w:rFonts w:hint="eastAsia" w:ascii="宋体" w:hAnsi="宋体"/>
          <w:color w:val="auto"/>
          <w:sz w:val="28"/>
          <w:szCs w:val="28"/>
          <w:highlight w:val="none"/>
          <w:lang w:val="en-US" w:eastAsia="zh-CN"/>
        </w:rPr>
        <w:t>10</w:t>
      </w:r>
      <w:r>
        <w:rPr>
          <w:rFonts w:hint="eastAsia" w:ascii="宋体" w:hAnsi="宋体"/>
          <w:color w:val="auto"/>
          <w:sz w:val="28"/>
          <w:szCs w:val="28"/>
          <w:highlight w:val="none"/>
        </w:rPr>
        <w:t>月</w:t>
      </w:r>
      <w:r>
        <w:rPr>
          <w:rFonts w:hint="eastAsia" w:ascii="宋体" w:hAnsi="宋体"/>
          <w:color w:val="auto"/>
          <w:sz w:val="28"/>
          <w:szCs w:val="28"/>
          <w:highlight w:val="none"/>
          <w:lang w:val="en-US" w:eastAsia="zh-CN"/>
        </w:rPr>
        <w:t>9</w:t>
      </w:r>
      <w:r>
        <w:rPr>
          <w:rFonts w:hint="eastAsia" w:ascii="宋体" w:hAnsi="宋体"/>
          <w:color w:val="auto"/>
          <w:sz w:val="28"/>
          <w:szCs w:val="28"/>
          <w:highlight w:val="none"/>
        </w:rPr>
        <w:t>日。</w:t>
      </w:r>
    </w:p>
    <w:p>
      <w:pPr>
        <w:adjustRightInd w:val="0"/>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地点：“江苏政府采购网”和“中国政府采购网”</w:t>
      </w:r>
    </w:p>
    <w:p>
      <w:pPr>
        <w:adjustRightInd w:val="0"/>
        <w:snapToGrid w:val="0"/>
        <w:spacing w:line="480" w:lineRule="exact"/>
        <w:ind w:firstLine="560" w:firstLineChars="200"/>
        <w:rPr>
          <w:rFonts w:ascii="宋体" w:hAnsi="宋体"/>
          <w:b/>
          <w:bCs/>
          <w:color w:val="auto"/>
          <w:sz w:val="28"/>
          <w:szCs w:val="28"/>
          <w:highlight w:val="none"/>
        </w:rPr>
      </w:pPr>
      <w:r>
        <w:rPr>
          <w:rFonts w:hint="eastAsia" w:ascii="宋体" w:hAnsi="宋体"/>
          <w:color w:val="auto"/>
          <w:sz w:val="28"/>
          <w:szCs w:val="28"/>
          <w:highlight w:val="none"/>
        </w:rPr>
        <w:t>方式：</w:t>
      </w:r>
      <w:r>
        <w:rPr>
          <w:rFonts w:hint="eastAsia" w:ascii="宋体" w:hAnsi="宋体"/>
          <w:b/>
          <w:color w:val="auto"/>
          <w:sz w:val="28"/>
          <w:szCs w:val="28"/>
          <w:highlight w:val="none"/>
        </w:rPr>
        <w:t>自行免费下载招标文件。</w:t>
      </w:r>
    </w:p>
    <w:p>
      <w:pPr>
        <w:snapToGrid w:val="0"/>
        <w:spacing w:line="480" w:lineRule="exact"/>
        <w:ind w:firstLine="562" w:firstLineChars="200"/>
        <w:rPr>
          <w:rFonts w:ascii="宋体" w:hAnsi="宋体"/>
          <w:b/>
          <w:bCs/>
          <w:color w:val="auto"/>
          <w:sz w:val="28"/>
          <w:szCs w:val="28"/>
          <w:highlight w:val="none"/>
        </w:rPr>
      </w:pPr>
      <w:r>
        <w:rPr>
          <w:rFonts w:hint="eastAsia" w:ascii="宋体" w:hAnsi="宋体"/>
          <w:b/>
          <w:bCs/>
          <w:color w:val="auto"/>
          <w:sz w:val="28"/>
          <w:szCs w:val="28"/>
          <w:highlight w:val="none"/>
        </w:rPr>
        <w:t>四、提交投标文件截止时间、开标时间和地点</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提交投标文件截止时间、开标时间</w:t>
      </w:r>
      <w:r>
        <w:rPr>
          <w:rFonts w:hint="eastAsia" w:ascii="宋体" w:hAnsi="宋体"/>
          <w:b/>
          <w:color w:val="auto"/>
          <w:sz w:val="28"/>
          <w:szCs w:val="28"/>
          <w:highlight w:val="none"/>
        </w:rPr>
        <w:t>：2023年</w:t>
      </w:r>
      <w:r>
        <w:rPr>
          <w:rFonts w:hint="eastAsia" w:ascii="宋体" w:hAnsi="宋体"/>
          <w:b/>
          <w:color w:val="auto"/>
          <w:sz w:val="28"/>
          <w:szCs w:val="28"/>
          <w:highlight w:val="none"/>
          <w:lang w:val="en-US" w:eastAsia="zh-CN"/>
        </w:rPr>
        <w:t>10</w:t>
      </w:r>
      <w:r>
        <w:rPr>
          <w:rFonts w:hint="eastAsia" w:ascii="宋体" w:hAnsi="宋体"/>
          <w:b/>
          <w:color w:val="auto"/>
          <w:sz w:val="28"/>
          <w:szCs w:val="28"/>
          <w:highlight w:val="none"/>
        </w:rPr>
        <w:t>月</w:t>
      </w:r>
      <w:r>
        <w:rPr>
          <w:rFonts w:hint="eastAsia" w:ascii="宋体" w:hAnsi="宋体"/>
          <w:b/>
          <w:color w:val="auto"/>
          <w:sz w:val="28"/>
          <w:szCs w:val="28"/>
          <w:highlight w:val="none"/>
          <w:lang w:val="en-US" w:eastAsia="zh-CN"/>
        </w:rPr>
        <w:t>9</w:t>
      </w:r>
      <w:r>
        <w:rPr>
          <w:rFonts w:hint="eastAsia" w:ascii="宋体" w:hAnsi="宋体"/>
          <w:b/>
          <w:color w:val="auto"/>
          <w:sz w:val="28"/>
          <w:szCs w:val="28"/>
          <w:highlight w:val="none"/>
        </w:rPr>
        <w:t>日</w:t>
      </w:r>
      <w:r>
        <w:rPr>
          <w:rFonts w:hint="eastAsia" w:ascii="宋体" w:hAnsi="宋体"/>
          <w:b/>
          <w:color w:val="auto"/>
          <w:sz w:val="28"/>
          <w:szCs w:val="28"/>
          <w:highlight w:val="none"/>
          <w:lang w:val="en-US" w:eastAsia="zh-CN"/>
        </w:rPr>
        <w:t>上</w:t>
      </w:r>
      <w:r>
        <w:rPr>
          <w:rFonts w:hint="eastAsia" w:ascii="宋体" w:hAnsi="宋体"/>
          <w:b/>
          <w:color w:val="auto"/>
          <w:sz w:val="28"/>
          <w:szCs w:val="28"/>
          <w:highlight w:val="none"/>
        </w:rPr>
        <w:t>午</w:t>
      </w:r>
      <w:r>
        <w:rPr>
          <w:rFonts w:hint="eastAsia" w:ascii="宋体" w:hAnsi="宋体"/>
          <w:b/>
          <w:color w:val="auto"/>
          <w:sz w:val="28"/>
          <w:szCs w:val="28"/>
          <w:highlight w:val="none"/>
          <w:lang w:val="en-US" w:eastAsia="zh-CN"/>
        </w:rPr>
        <w:t>9</w:t>
      </w:r>
      <w:r>
        <w:rPr>
          <w:rFonts w:hint="eastAsia" w:ascii="宋体" w:hAnsi="宋体"/>
          <w:b/>
          <w:color w:val="auto"/>
          <w:sz w:val="28"/>
          <w:szCs w:val="28"/>
          <w:highlight w:val="none"/>
        </w:rPr>
        <w:t>时</w:t>
      </w:r>
      <w:r>
        <w:rPr>
          <w:rFonts w:hint="eastAsia" w:ascii="宋体" w:hAnsi="宋体"/>
          <w:color w:val="auto"/>
          <w:sz w:val="28"/>
          <w:szCs w:val="28"/>
          <w:highlight w:val="none"/>
        </w:rPr>
        <w:t>（北京时间）。</w:t>
      </w:r>
    </w:p>
    <w:p>
      <w:pPr>
        <w:snapToGrid w:val="0"/>
        <w:spacing w:line="480" w:lineRule="exact"/>
        <w:ind w:firstLine="560" w:firstLineChars="200"/>
        <w:rPr>
          <w:rFonts w:ascii="宋体" w:hAnsi="宋体"/>
          <w:i/>
          <w:color w:val="auto"/>
          <w:sz w:val="28"/>
          <w:szCs w:val="28"/>
          <w:highlight w:val="none"/>
        </w:rPr>
      </w:pPr>
      <w:r>
        <w:rPr>
          <w:rFonts w:hint="eastAsia" w:ascii="宋体" w:hAnsi="宋体"/>
          <w:color w:val="auto"/>
          <w:sz w:val="28"/>
          <w:szCs w:val="28"/>
          <w:highlight w:val="none"/>
        </w:rPr>
        <w:t>地点：如东县公共资源交易中心（如东县掘港镇泰山路东侧建设大厦</w:t>
      </w:r>
      <w:r>
        <w:rPr>
          <w:rFonts w:hint="eastAsia" w:ascii="宋体" w:hAnsi="宋体"/>
          <w:color w:val="auto"/>
          <w:sz w:val="28"/>
          <w:szCs w:val="28"/>
          <w:highlight w:val="none"/>
          <w:lang w:val="en-US" w:eastAsia="zh-CN"/>
        </w:rPr>
        <w:t>一楼大厅</w:t>
      </w:r>
      <w:r>
        <w:rPr>
          <w:rFonts w:hint="eastAsia" w:ascii="宋体" w:hAnsi="宋体"/>
          <w:color w:val="auto"/>
          <w:sz w:val="28"/>
          <w:szCs w:val="28"/>
          <w:highlight w:val="none"/>
        </w:rPr>
        <w:t xml:space="preserve">）。           </w:t>
      </w:r>
    </w:p>
    <w:p>
      <w:pPr>
        <w:snapToGrid w:val="0"/>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五、公告期限</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自本公告发布之日起20天。</w:t>
      </w:r>
    </w:p>
    <w:p>
      <w:pPr>
        <w:snapToGrid w:val="0"/>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六、其他补充事宜</w:t>
      </w:r>
    </w:p>
    <w:p>
      <w:pPr>
        <w:snapToGrid w:val="0"/>
        <w:spacing w:line="480" w:lineRule="exact"/>
        <w:ind w:firstLine="562" w:firstLineChars="200"/>
        <w:rPr>
          <w:rFonts w:ascii="宋体" w:hAnsi="宋体"/>
          <w:color w:val="auto"/>
          <w:sz w:val="28"/>
          <w:szCs w:val="28"/>
          <w:highlight w:val="none"/>
        </w:rPr>
      </w:pPr>
      <w:r>
        <w:rPr>
          <w:rFonts w:hint="eastAsia" w:ascii="宋体" w:hAnsi="宋体"/>
          <w:b/>
          <w:bCs/>
          <w:color w:val="auto"/>
          <w:sz w:val="28"/>
          <w:szCs w:val="28"/>
          <w:highlight w:val="none"/>
        </w:rPr>
        <w:t>1、投标保证金：</w:t>
      </w:r>
      <w:r>
        <w:rPr>
          <w:rFonts w:hint="eastAsia" w:ascii="宋体" w:hAnsi="宋体"/>
          <w:bCs/>
          <w:color w:val="auto"/>
          <w:sz w:val="28"/>
          <w:szCs w:val="28"/>
          <w:highlight w:val="none"/>
        </w:rPr>
        <w:t>本项目不收取投标保证金。招标文件中涉及投标保证金的事项，均按免收投标保证金执行</w:t>
      </w:r>
      <w:r>
        <w:rPr>
          <w:rFonts w:hint="eastAsia" w:ascii="宋体" w:hAnsi="宋体"/>
          <w:color w:val="auto"/>
          <w:sz w:val="28"/>
          <w:szCs w:val="28"/>
          <w:highlight w:val="none"/>
        </w:rPr>
        <w:t>。</w:t>
      </w:r>
    </w:p>
    <w:p>
      <w:pPr>
        <w:snapToGrid w:val="0"/>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2、投标文件制作份数要求：正本份数：1份 ，副本份数：</w:t>
      </w:r>
      <w:r>
        <w:rPr>
          <w:rFonts w:hint="eastAsia" w:ascii="宋体" w:hAnsi="宋体"/>
          <w:b/>
          <w:color w:val="auto"/>
          <w:sz w:val="28"/>
          <w:szCs w:val="28"/>
          <w:highlight w:val="none"/>
          <w:lang w:val="en-US" w:eastAsia="zh-CN"/>
        </w:rPr>
        <w:t>4</w:t>
      </w:r>
      <w:r>
        <w:rPr>
          <w:rFonts w:hint="eastAsia" w:ascii="宋体" w:hAnsi="宋体"/>
          <w:b/>
          <w:color w:val="auto"/>
          <w:sz w:val="28"/>
          <w:szCs w:val="28"/>
          <w:highlight w:val="none"/>
        </w:rPr>
        <w:t>份。</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3、对项目部分（供应商资格要求、项目要求、评分标准）的询问、质疑向采购人指出，由采购人答复；对项目投标文件的其他部分询问、质疑向代理机构指出或采购人指出。</w:t>
      </w:r>
    </w:p>
    <w:p>
      <w:pPr>
        <w:snapToGrid w:val="0"/>
        <w:spacing w:line="480" w:lineRule="exact"/>
        <w:ind w:firstLine="562" w:firstLineChars="200"/>
        <w:rPr>
          <w:rFonts w:ascii="宋体" w:hAnsi="宋体"/>
          <w:b/>
          <w:color w:val="auto"/>
          <w:sz w:val="28"/>
          <w:szCs w:val="28"/>
          <w:highlight w:val="none"/>
        </w:rPr>
      </w:pPr>
      <w:r>
        <w:rPr>
          <w:rFonts w:hint="eastAsia" w:ascii="宋体" w:hAnsi="宋体"/>
          <w:b/>
          <w:color w:val="auto"/>
          <w:sz w:val="28"/>
          <w:szCs w:val="28"/>
          <w:highlight w:val="none"/>
        </w:rPr>
        <w:t>七、对本次招标提出询问，请按以下方式联系。</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 xml:space="preserve"> 1.采购人信息</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名 称：</w:t>
      </w:r>
      <w:r>
        <w:rPr>
          <w:rFonts w:hint="eastAsia" w:asciiTheme="minorEastAsia" w:hAnsiTheme="minorEastAsia"/>
          <w:color w:val="auto"/>
          <w:sz w:val="28"/>
          <w:szCs w:val="28"/>
          <w:highlight w:val="none"/>
        </w:rPr>
        <w:t>如东县林业服务站</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 xml:space="preserve">地址：如东县掘港镇 </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 xml:space="preserve">联系人：张雷      </w:t>
      </w:r>
    </w:p>
    <w:p>
      <w:pPr>
        <w:adjustRightInd w:val="0"/>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 xml:space="preserve">联系方式：18068108087  </w:t>
      </w:r>
    </w:p>
    <w:p>
      <w:pPr>
        <w:adjustRightInd w:val="0"/>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2.代理机构信息</w:t>
      </w:r>
    </w:p>
    <w:p>
      <w:pPr>
        <w:widowControl/>
        <w:shd w:val="clear" w:color="auto" w:fill="FFFFFF"/>
        <w:adjustRightInd w:val="0"/>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名 称：江苏衡源项目管理有限公司</w:t>
      </w:r>
    </w:p>
    <w:p>
      <w:pPr>
        <w:widowControl/>
        <w:shd w:val="clear" w:color="auto" w:fill="FFFFFF"/>
        <w:adjustRightInd w:val="0"/>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地址：如东县掘港镇爱民路9</w:t>
      </w:r>
      <w:r>
        <w:rPr>
          <w:rFonts w:ascii="宋体" w:hAnsi="宋体"/>
          <w:color w:val="auto"/>
          <w:sz w:val="28"/>
          <w:szCs w:val="28"/>
          <w:highlight w:val="none"/>
        </w:rPr>
        <w:t>9</w:t>
      </w:r>
      <w:r>
        <w:rPr>
          <w:rFonts w:hint="eastAsia" w:ascii="宋体" w:hAnsi="宋体"/>
          <w:color w:val="auto"/>
          <w:sz w:val="28"/>
          <w:szCs w:val="28"/>
          <w:highlight w:val="none"/>
        </w:rPr>
        <w:t>号</w:t>
      </w:r>
    </w:p>
    <w:p>
      <w:pPr>
        <w:widowControl/>
        <w:shd w:val="clear" w:color="auto" w:fill="FFFFFF"/>
        <w:adjustRightInd w:val="0"/>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联系人：张家劲</w:t>
      </w:r>
    </w:p>
    <w:p>
      <w:pPr>
        <w:widowControl/>
        <w:shd w:val="clear" w:color="auto" w:fill="FFFFFF"/>
        <w:adjustRightInd w:val="0"/>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联系方式：15906291850</w:t>
      </w:r>
    </w:p>
    <w:p>
      <w:pPr>
        <w:adjustRightInd w:val="0"/>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3.项目联系方式</w:t>
      </w:r>
    </w:p>
    <w:p>
      <w:pPr>
        <w:snapToGrid w:val="0"/>
        <w:spacing w:line="480"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 xml:space="preserve">项目联系人: 张雷    </w:t>
      </w:r>
    </w:p>
    <w:p>
      <w:pPr>
        <w:snapToGrid w:val="0"/>
        <w:spacing w:line="480" w:lineRule="exact"/>
        <w:ind w:firstLine="560" w:firstLineChars="200"/>
        <w:rPr>
          <w:b/>
          <w:color w:val="auto"/>
          <w:sz w:val="24"/>
          <w:szCs w:val="24"/>
          <w:highlight w:val="none"/>
        </w:rPr>
      </w:pPr>
      <w:r>
        <w:rPr>
          <w:rFonts w:hint="eastAsia" w:ascii="宋体" w:hAnsi="宋体"/>
          <w:color w:val="auto"/>
          <w:sz w:val="28"/>
          <w:szCs w:val="28"/>
          <w:highlight w:val="none"/>
        </w:rPr>
        <w:t xml:space="preserve">联系电话：18068108087 </w:t>
      </w:r>
    </w:p>
    <w:p>
      <w:pPr>
        <w:rPr>
          <w:rFonts w:ascii="宋体" w:hAnsi="宋体"/>
          <w:color w:val="auto"/>
          <w:highlight w:val="none"/>
        </w:rPr>
      </w:pPr>
    </w:p>
    <w:p>
      <w:pPr>
        <w:rPr>
          <w:rFonts w:hint="eastAsia" w:ascii="宋体" w:hAnsi="宋体"/>
          <w:color w:val="auto"/>
          <w:sz w:val="28"/>
          <w:szCs w:val="28"/>
          <w:highlight w:val="none"/>
        </w:rPr>
      </w:pPr>
    </w:p>
    <w:p>
      <w:pPr>
        <w:rPr>
          <w:rFonts w:hint="eastAsia" w:ascii="宋体" w:hAnsi="宋体"/>
          <w:color w:val="auto"/>
          <w:sz w:val="28"/>
          <w:szCs w:val="28"/>
          <w:highlight w:val="none"/>
        </w:rPr>
      </w:pPr>
    </w:p>
    <w:p>
      <w:pPr>
        <w:rPr>
          <w:rFonts w:hint="eastAsia" w:ascii="宋体" w:hAnsi="宋体"/>
          <w:color w:val="auto"/>
          <w:sz w:val="28"/>
          <w:szCs w:val="28"/>
          <w:highlight w:val="none"/>
        </w:rPr>
      </w:pPr>
      <w:r>
        <w:rPr>
          <w:rFonts w:hint="eastAsia" w:ascii="宋体" w:hAnsi="宋体"/>
          <w:color w:val="auto"/>
          <w:sz w:val="28"/>
          <w:szCs w:val="28"/>
          <w:highlight w:val="none"/>
        </w:rPr>
        <w:t>附件：</w:t>
      </w:r>
      <w:r>
        <w:rPr>
          <w:rFonts w:hint="eastAsia" w:ascii="宋体" w:hAnsi="宋体"/>
          <w:color w:val="auto"/>
          <w:sz w:val="28"/>
          <w:szCs w:val="28"/>
          <w:highlight w:val="none"/>
          <w:lang w:val="en-US" w:eastAsia="zh-CN"/>
        </w:rPr>
        <w:t xml:space="preserve">  </w:t>
      </w:r>
      <w:r>
        <w:rPr>
          <w:rFonts w:hint="eastAsia" w:ascii="宋体" w:hAnsi="宋体"/>
          <w:color w:val="auto"/>
          <w:sz w:val="28"/>
          <w:szCs w:val="28"/>
          <w:highlight w:val="none"/>
        </w:rPr>
        <w:t>1.项目</w:t>
      </w:r>
      <w:r>
        <w:rPr>
          <w:rFonts w:hint="eastAsia" w:ascii="宋体" w:hAnsi="宋体"/>
          <w:color w:val="auto"/>
          <w:sz w:val="28"/>
          <w:szCs w:val="28"/>
          <w:highlight w:val="none"/>
          <w:lang w:val="en-US" w:eastAsia="zh-CN"/>
        </w:rPr>
        <w:t>招标</w:t>
      </w:r>
      <w:r>
        <w:rPr>
          <w:rFonts w:hint="eastAsia" w:ascii="宋体" w:hAnsi="宋体"/>
          <w:color w:val="auto"/>
          <w:sz w:val="28"/>
          <w:szCs w:val="28"/>
          <w:highlight w:val="none"/>
        </w:rPr>
        <w:t>文件</w:t>
      </w:r>
    </w:p>
    <w:p>
      <w:pPr>
        <w:rPr>
          <w:rFonts w:ascii="宋体" w:hAnsi="宋体"/>
          <w:color w:val="auto"/>
          <w:highlight w:val="none"/>
        </w:rPr>
      </w:pPr>
      <w:r>
        <w:rPr>
          <w:rFonts w:hint="eastAsia" w:ascii="宋体" w:hAnsi="宋体"/>
          <w:color w:val="auto"/>
          <w:sz w:val="28"/>
          <w:szCs w:val="28"/>
          <w:highlight w:val="none"/>
        </w:rPr>
        <w:t xml:space="preserve">        2.采购人信用承诺书</w:t>
      </w:r>
      <w:r>
        <w:rPr>
          <w:rFonts w:ascii="宋体" w:hAnsi="宋体"/>
          <w:color w:val="auto"/>
          <w:highlight w:val="none"/>
        </w:rPr>
        <w:br w:type="page"/>
      </w:r>
    </w:p>
    <w:p>
      <w:pPr>
        <w:pStyle w:val="43"/>
        <w:spacing w:after="240" w:line="500" w:lineRule="exact"/>
        <w:rPr>
          <w:rFonts w:ascii="宋体" w:hAnsi="宋体" w:eastAsia="宋体" w:cs="宋体"/>
          <w:color w:val="auto"/>
          <w:highlight w:val="none"/>
        </w:rPr>
      </w:pPr>
      <w:r>
        <w:rPr>
          <w:rFonts w:hint="eastAsia" w:ascii="宋体" w:hAnsi="宋体" w:eastAsia="宋体" w:cs="宋体"/>
          <w:color w:val="auto"/>
          <w:highlight w:val="none"/>
        </w:rPr>
        <w:t xml:space="preserve">第二章  </w:t>
      </w:r>
      <w:bookmarkStart w:id="29" w:name="_Toc513029202"/>
      <w:bookmarkStart w:id="30" w:name="_Toc20823274"/>
      <w:bookmarkStart w:id="31" w:name="_Toc16938518"/>
      <w:bookmarkStart w:id="32" w:name="_Toc120614213"/>
      <w:r>
        <w:rPr>
          <w:rFonts w:hint="eastAsia" w:ascii="宋体" w:hAnsi="宋体" w:eastAsia="宋体" w:cs="宋体"/>
          <w:color w:val="auto"/>
          <w:highlight w:val="none"/>
        </w:rPr>
        <w:t>投标人须知</w:t>
      </w:r>
      <w:bookmarkEnd w:id="29"/>
      <w:bookmarkEnd w:id="30"/>
      <w:bookmarkEnd w:id="31"/>
      <w:bookmarkEnd w:id="32"/>
    </w:p>
    <w:p>
      <w:pPr>
        <w:spacing w:line="400" w:lineRule="exact"/>
        <w:ind w:firstLine="643" w:firstLineChars="200"/>
        <w:jc w:val="left"/>
        <w:rPr>
          <w:b/>
          <w:color w:val="auto"/>
          <w:sz w:val="32"/>
          <w:szCs w:val="32"/>
          <w:highlight w:val="none"/>
        </w:rPr>
      </w:pPr>
      <w:r>
        <w:rPr>
          <w:rFonts w:hint="eastAsia"/>
          <w:b/>
          <w:color w:val="auto"/>
          <w:sz w:val="32"/>
          <w:szCs w:val="32"/>
          <w:highlight w:val="none"/>
        </w:rPr>
        <w:t>一、总则</w:t>
      </w:r>
    </w:p>
    <w:p>
      <w:pPr>
        <w:spacing w:line="400" w:lineRule="exact"/>
        <w:ind w:firstLine="560" w:firstLineChars="200"/>
        <w:jc w:val="left"/>
        <w:rPr>
          <w:color w:val="auto"/>
          <w:sz w:val="28"/>
          <w:szCs w:val="28"/>
          <w:highlight w:val="none"/>
        </w:rPr>
      </w:pPr>
      <w:r>
        <w:rPr>
          <w:rFonts w:hint="eastAsia"/>
          <w:color w:val="auto"/>
          <w:sz w:val="28"/>
          <w:szCs w:val="28"/>
          <w:highlight w:val="none"/>
        </w:rPr>
        <w:t>1．采购方式</w:t>
      </w:r>
    </w:p>
    <w:p>
      <w:pPr>
        <w:spacing w:line="400" w:lineRule="exact"/>
        <w:ind w:firstLine="480" w:firstLineChars="200"/>
        <w:jc w:val="left"/>
        <w:rPr>
          <w:color w:val="auto"/>
          <w:sz w:val="24"/>
          <w:szCs w:val="24"/>
          <w:highlight w:val="none"/>
        </w:rPr>
      </w:pPr>
      <w:r>
        <w:rPr>
          <w:rFonts w:hint="eastAsia"/>
          <w:color w:val="auto"/>
          <w:sz w:val="24"/>
          <w:szCs w:val="24"/>
          <w:highlight w:val="none"/>
        </w:rPr>
        <w:t>1.1 本次采购采取公开招标方式，本招标文件仅适用于第一章“招标公告”中所述项目。</w:t>
      </w:r>
    </w:p>
    <w:p>
      <w:pPr>
        <w:spacing w:line="400" w:lineRule="exact"/>
        <w:ind w:firstLine="560" w:firstLineChars="200"/>
        <w:jc w:val="left"/>
        <w:rPr>
          <w:color w:val="auto"/>
          <w:sz w:val="28"/>
          <w:szCs w:val="28"/>
          <w:highlight w:val="none"/>
        </w:rPr>
      </w:pPr>
      <w:r>
        <w:rPr>
          <w:rFonts w:hint="eastAsia"/>
          <w:color w:val="auto"/>
          <w:sz w:val="28"/>
          <w:szCs w:val="28"/>
          <w:highlight w:val="none"/>
        </w:rPr>
        <w:t>2．合格的投标人</w:t>
      </w:r>
    </w:p>
    <w:p>
      <w:pPr>
        <w:spacing w:line="400" w:lineRule="exact"/>
        <w:ind w:firstLine="480" w:firstLineChars="200"/>
        <w:jc w:val="left"/>
        <w:rPr>
          <w:color w:val="auto"/>
          <w:sz w:val="24"/>
          <w:szCs w:val="24"/>
          <w:highlight w:val="none"/>
        </w:rPr>
      </w:pPr>
      <w:r>
        <w:rPr>
          <w:rFonts w:hint="eastAsia"/>
          <w:color w:val="auto"/>
          <w:sz w:val="24"/>
          <w:szCs w:val="24"/>
          <w:highlight w:val="none"/>
        </w:rPr>
        <w:t>2.1满足招标公告中投标人的资格要求的规定。</w:t>
      </w:r>
    </w:p>
    <w:p>
      <w:pPr>
        <w:spacing w:line="400" w:lineRule="exact"/>
        <w:ind w:firstLine="480" w:firstLineChars="200"/>
        <w:jc w:val="left"/>
        <w:rPr>
          <w:color w:val="auto"/>
          <w:sz w:val="24"/>
          <w:szCs w:val="24"/>
          <w:highlight w:val="none"/>
        </w:rPr>
      </w:pPr>
      <w:r>
        <w:rPr>
          <w:rFonts w:hint="eastAsia"/>
          <w:color w:val="auto"/>
          <w:sz w:val="24"/>
          <w:szCs w:val="24"/>
          <w:highlight w:val="none"/>
        </w:rPr>
        <w:t>2.2 满足本文件实质性条款的规定。</w:t>
      </w:r>
    </w:p>
    <w:p>
      <w:pPr>
        <w:spacing w:line="400" w:lineRule="exact"/>
        <w:ind w:firstLine="560" w:firstLineChars="200"/>
        <w:jc w:val="left"/>
        <w:rPr>
          <w:color w:val="auto"/>
          <w:sz w:val="28"/>
          <w:szCs w:val="28"/>
          <w:highlight w:val="none"/>
        </w:rPr>
      </w:pPr>
      <w:r>
        <w:rPr>
          <w:rFonts w:hint="eastAsia"/>
          <w:color w:val="auto"/>
          <w:sz w:val="28"/>
          <w:szCs w:val="28"/>
          <w:highlight w:val="none"/>
        </w:rPr>
        <w:t>3．适用法律</w:t>
      </w:r>
    </w:p>
    <w:p>
      <w:pPr>
        <w:spacing w:line="400" w:lineRule="exact"/>
        <w:ind w:firstLine="480" w:firstLineChars="200"/>
        <w:jc w:val="left"/>
        <w:rPr>
          <w:color w:val="auto"/>
          <w:sz w:val="24"/>
          <w:szCs w:val="24"/>
          <w:highlight w:val="none"/>
        </w:rPr>
      </w:pPr>
      <w:r>
        <w:rPr>
          <w:rFonts w:hint="eastAsia"/>
          <w:color w:val="auto"/>
          <w:sz w:val="24"/>
          <w:szCs w:val="24"/>
          <w:highlight w:val="none"/>
        </w:rPr>
        <w:t>3.1 本次招标及由此产生的合同受中华人民共和国有关的法律法规制约和保护。</w:t>
      </w:r>
    </w:p>
    <w:p>
      <w:pPr>
        <w:spacing w:line="400" w:lineRule="exact"/>
        <w:ind w:firstLine="560" w:firstLineChars="200"/>
        <w:jc w:val="left"/>
        <w:rPr>
          <w:color w:val="auto"/>
          <w:sz w:val="28"/>
          <w:szCs w:val="28"/>
          <w:highlight w:val="none"/>
        </w:rPr>
      </w:pPr>
      <w:r>
        <w:rPr>
          <w:rFonts w:hint="eastAsia"/>
          <w:color w:val="auto"/>
          <w:sz w:val="28"/>
          <w:szCs w:val="28"/>
          <w:highlight w:val="none"/>
        </w:rPr>
        <w:t>4．投标费用</w:t>
      </w:r>
    </w:p>
    <w:p>
      <w:pPr>
        <w:spacing w:line="400" w:lineRule="exact"/>
        <w:ind w:firstLine="480" w:firstLineChars="200"/>
        <w:jc w:val="left"/>
        <w:rPr>
          <w:color w:val="auto"/>
          <w:sz w:val="24"/>
          <w:szCs w:val="24"/>
          <w:highlight w:val="none"/>
        </w:rPr>
      </w:pPr>
      <w:r>
        <w:rPr>
          <w:rFonts w:hint="eastAsia"/>
          <w:color w:val="auto"/>
          <w:sz w:val="24"/>
          <w:szCs w:val="24"/>
          <w:highlight w:val="none"/>
        </w:rPr>
        <w:t>4.1 投标人应自行承担所有与参加投标有关的费用，无论投标过程中的做法和结果如何，采购人在任何情况下均无义务和责任承担这些费用。</w:t>
      </w:r>
    </w:p>
    <w:p>
      <w:pPr>
        <w:spacing w:line="400" w:lineRule="exact"/>
        <w:ind w:firstLine="480" w:firstLineChars="200"/>
        <w:jc w:val="left"/>
        <w:rPr>
          <w:color w:val="auto"/>
          <w:sz w:val="24"/>
          <w:szCs w:val="24"/>
          <w:highlight w:val="none"/>
        </w:rPr>
      </w:pPr>
      <w:r>
        <w:rPr>
          <w:rFonts w:hint="eastAsia"/>
          <w:color w:val="auto"/>
          <w:sz w:val="24"/>
          <w:szCs w:val="24"/>
          <w:highlight w:val="none"/>
        </w:rPr>
        <w:t>4.2根据财政部关于《政府采购代理机构管理暂行办法》的通知精神，本项目招标代理费由中标供应商支付，</w:t>
      </w:r>
      <w:r>
        <w:rPr>
          <w:rFonts w:hint="eastAsia"/>
          <w:bCs/>
          <w:color w:val="auto"/>
          <w:sz w:val="24"/>
          <w:szCs w:val="24"/>
          <w:highlight w:val="none"/>
        </w:rPr>
        <w:t>金额为：</w:t>
      </w:r>
      <w:r>
        <w:rPr>
          <w:rFonts w:hint="eastAsia"/>
          <w:bCs/>
          <w:color w:val="auto"/>
          <w:sz w:val="24"/>
          <w:szCs w:val="24"/>
          <w:highlight w:val="none"/>
          <w:u w:val="single"/>
          <w:lang w:val="en-US" w:eastAsia="zh-CN"/>
        </w:rPr>
        <w:t>柒万</w:t>
      </w:r>
      <w:r>
        <w:rPr>
          <w:rFonts w:hint="eastAsia"/>
          <w:bCs/>
          <w:color w:val="auto"/>
          <w:sz w:val="24"/>
          <w:szCs w:val="24"/>
          <w:highlight w:val="none"/>
          <w:u w:val="single"/>
        </w:rPr>
        <w:t>元整</w:t>
      </w:r>
      <w:r>
        <w:rPr>
          <w:rFonts w:hint="eastAsia"/>
          <w:bCs/>
          <w:color w:val="auto"/>
          <w:sz w:val="24"/>
          <w:szCs w:val="24"/>
          <w:highlight w:val="none"/>
          <w:u w:val="single"/>
          <w:lang w:eastAsia="zh-CN"/>
        </w:rPr>
        <w:t>（￥</w:t>
      </w:r>
      <w:r>
        <w:rPr>
          <w:rFonts w:hint="eastAsia"/>
          <w:bCs/>
          <w:color w:val="auto"/>
          <w:sz w:val="24"/>
          <w:szCs w:val="24"/>
          <w:highlight w:val="none"/>
          <w:u w:val="single"/>
          <w:lang w:val="en-US" w:eastAsia="zh-CN"/>
        </w:rPr>
        <w:t>70000.00元</w:t>
      </w:r>
      <w:r>
        <w:rPr>
          <w:rFonts w:hint="eastAsia"/>
          <w:bCs/>
          <w:color w:val="auto"/>
          <w:sz w:val="24"/>
          <w:szCs w:val="24"/>
          <w:highlight w:val="none"/>
          <w:u w:val="single"/>
          <w:lang w:eastAsia="zh-CN"/>
        </w:rPr>
        <w:t>）</w:t>
      </w:r>
      <w:r>
        <w:rPr>
          <w:rFonts w:hint="eastAsia"/>
          <w:bCs/>
          <w:color w:val="auto"/>
          <w:sz w:val="24"/>
          <w:szCs w:val="24"/>
          <w:highlight w:val="none"/>
        </w:rPr>
        <w:t>，</w:t>
      </w:r>
      <w:r>
        <w:rPr>
          <w:rFonts w:hint="eastAsia"/>
          <w:color w:val="auto"/>
          <w:sz w:val="24"/>
          <w:szCs w:val="24"/>
          <w:highlight w:val="none"/>
        </w:rPr>
        <w:t>请各投标供应商将此费用一并考虑在投标报价中</w:t>
      </w:r>
      <w:r>
        <w:rPr>
          <w:rFonts w:hint="eastAsia"/>
          <w:b/>
          <w:color w:val="auto"/>
          <w:sz w:val="24"/>
          <w:szCs w:val="24"/>
          <w:highlight w:val="none"/>
        </w:rPr>
        <w:t>，</w:t>
      </w:r>
      <w:r>
        <w:rPr>
          <w:rFonts w:hint="eastAsia"/>
          <w:color w:val="auto"/>
          <w:sz w:val="24"/>
          <w:szCs w:val="24"/>
          <w:highlight w:val="none"/>
        </w:rPr>
        <w:t>中标供应商在开标结束、签订合同前向代理单位缴纳。</w:t>
      </w:r>
    </w:p>
    <w:p>
      <w:pPr>
        <w:spacing w:line="400" w:lineRule="exact"/>
        <w:ind w:firstLine="560" w:firstLineChars="200"/>
        <w:jc w:val="left"/>
        <w:rPr>
          <w:color w:val="auto"/>
          <w:sz w:val="28"/>
          <w:szCs w:val="28"/>
          <w:highlight w:val="none"/>
        </w:rPr>
      </w:pPr>
      <w:r>
        <w:rPr>
          <w:rFonts w:hint="eastAsia"/>
          <w:color w:val="auto"/>
          <w:sz w:val="28"/>
          <w:szCs w:val="28"/>
          <w:highlight w:val="none"/>
        </w:rPr>
        <w:t>5．招标文件的约束力</w:t>
      </w:r>
    </w:p>
    <w:p>
      <w:pPr>
        <w:spacing w:line="400" w:lineRule="exact"/>
        <w:ind w:firstLine="480" w:firstLineChars="200"/>
        <w:jc w:val="left"/>
        <w:rPr>
          <w:color w:val="auto"/>
          <w:sz w:val="24"/>
          <w:szCs w:val="24"/>
          <w:highlight w:val="none"/>
        </w:rPr>
      </w:pPr>
      <w:r>
        <w:rPr>
          <w:rFonts w:hint="eastAsia"/>
          <w:color w:val="auto"/>
          <w:sz w:val="24"/>
          <w:szCs w:val="24"/>
          <w:highlight w:val="none"/>
        </w:rPr>
        <w:t>5.1 投标人一旦领取本招标文件并决定参加投标，即被认为接受了本招标文件的规定和约束，并且视为自招标文件领取之日起已经知道或应当知道招标文件是否损害其自身权益。投标人一旦参加本项目投标，即表明承诺接受了本招标文件中的所有条件和规定。投标人应当按照招标文件的规定制作投标文件并参加投标。</w:t>
      </w:r>
    </w:p>
    <w:p>
      <w:pPr>
        <w:spacing w:line="400" w:lineRule="exact"/>
        <w:ind w:firstLine="643" w:firstLineChars="200"/>
        <w:jc w:val="left"/>
        <w:rPr>
          <w:b/>
          <w:color w:val="auto"/>
          <w:sz w:val="32"/>
          <w:szCs w:val="32"/>
          <w:highlight w:val="none"/>
        </w:rPr>
      </w:pPr>
      <w:r>
        <w:rPr>
          <w:rFonts w:hint="eastAsia"/>
          <w:b/>
          <w:color w:val="auto"/>
          <w:sz w:val="32"/>
          <w:szCs w:val="32"/>
          <w:highlight w:val="none"/>
        </w:rPr>
        <w:t>二、招标文件</w:t>
      </w:r>
    </w:p>
    <w:p>
      <w:pPr>
        <w:spacing w:line="400" w:lineRule="exact"/>
        <w:ind w:firstLine="560" w:firstLineChars="200"/>
        <w:jc w:val="left"/>
        <w:rPr>
          <w:color w:val="auto"/>
          <w:sz w:val="28"/>
          <w:szCs w:val="28"/>
          <w:highlight w:val="none"/>
        </w:rPr>
      </w:pPr>
      <w:r>
        <w:rPr>
          <w:rFonts w:hint="eastAsia"/>
          <w:color w:val="auto"/>
          <w:sz w:val="28"/>
          <w:szCs w:val="28"/>
          <w:highlight w:val="none"/>
        </w:rPr>
        <w:t>6．招标文件构成</w:t>
      </w:r>
    </w:p>
    <w:p>
      <w:pPr>
        <w:spacing w:line="400" w:lineRule="exact"/>
        <w:ind w:firstLine="480" w:firstLineChars="200"/>
        <w:jc w:val="left"/>
        <w:rPr>
          <w:color w:val="auto"/>
          <w:sz w:val="24"/>
          <w:szCs w:val="24"/>
          <w:highlight w:val="none"/>
        </w:rPr>
      </w:pPr>
      <w:r>
        <w:rPr>
          <w:rFonts w:hint="eastAsia"/>
          <w:color w:val="auto"/>
          <w:sz w:val="24"/>
          <w:szCs w:val="24"/>
          <w:highlight w:val="none"/>
        </w:rPr>
        <w:t>6.1 招标文件有以下部分组成：</w:t>
      </w:r>
    </w:p>
    <w:p>
      <w:pPr>
        <w:spacing w:line="400" w:lineRule="exact"/>
        <w:ind w:firstLine="480" w:firstLineChars="200"/>
        <w:jc w:val="left"/>
        <w:rPr>
          <w:color w:val="auto"/>
          <w:sz w:val="24"/>
          <w:szCs w:val="24"/>
          <w:highlight w:val="none"/>
        </w:rPr>
      </w:pPr>
      <w:r>
        <w:rPr>
          <w:rFonts w:hint="eastAsia"/>
          <w:color w:val="auto"/>
          <w:sz w:val="24"/>
          <w:szCs w:val="24"/>
          <w:highlight w:val="none"/>
        </w:rPr>
        <w:t>（1）招标公告</w:t>
      </w:r>
    </w:p>
    <w:p>
      <w:pPr>
        <w:spacing w:line="400" w:lineRule="exact"/>
        <w:ind w:firstLine="480" w:firstLineChars="200"/>
        <w:jc w:val="left"/>
        <w:rPr>
          <w:color w:val="auto"/>
          <w:sz w:val="24"/>
          <w:szCs w:val="24"/>
          <w:highlight w:val="none"/>
        </w:rPr>
      </w:pPr>
      <w:r>
        <w:rPr>
          <w:rFonts w:hint="eastAsia"/>
          <w:color w:val="auto"/>
          <w:sz w:val="24"/>
          <w:szCs w:val="24"/>
          <w:highlight w:val="none"/>
        </w:rPr>
        <w:t>（2）投标人须知</w:t>
      </w:r>
    </w:p>
    <w:p>
      <w:pPr>
        <w:spacing w:line="400" w:lineRule="exact"/>
        <w:ind w:firstLine="480" w:firstLineChars="200"/>
        <w:jc w:val="left"/>
        <w:rPr>
          <w:color w:val="auto"/>
          <w:sz w:val="24"/>
          <w:szCs w:val="24"/>
          <w:highlight w:val="none"/>
        </w:rPr>
      </w:pPr>
      <w:r>
        <w:rPr>
          <w:rFonts w:hint="eastAsia"/>
          <w:color w:val="auto"/>
          <w:sz w:val="24"/>
          <w:szCs w:val="24"/>
          <w:highlight w:val="none"/>
        </w:rPr>
        <w:t>（3）项目技术需求</w:t>
      </w:r>
    </w:p>
    <w:p>
      <w:pPr>
        <w:spacing w:line="400" w:lineRule="exact"/>
        <w:ind w:firstLine="480" w:firstLineChars="200"/>
        <w:jc w:val="left"/>
        <w:rPr>
          <w:color w:val="auto"/>
          <w:sz w:val="24"/>
          <w:szCs w:val="24"/>
          <w:highlight w:val="none"/>
        </w:rPr>
      </w:pPr>
      <w:r>
        <w:rPr>
          <w:rFonts w:hint="eastAsia"/>
          <w:color w:val="auto"/>
          <w:sz w:val="24"/>
          <w:szCs w:val="24"/>
          <w:highlight w:val="none"/>
        </w:rPr>
        <w:t>（4）评标方法与评标标准</w:t>
      </w:r>
    </w:p>
    <w:p>
      <w:pPr>
        <w:spacing w:line="400" w:lineRule="exact"/>
        <w:ind w:firstLine="480" w:firstLineChars="200"/>
        <w:jc w:val="left"/>
        <w:rPr>
          <w:color w:val="auto"/>
          <w:sz w:val="24"/>
          <w:szCs w:val="24"/>
          <w:highlight w:val="none"/>
        </w:rPr>
      </w:pPr>
      <w:r>
        <w:rPr>
          <w:rFonts w:hint="eastAsia"/>
          <w:color w:val="auto"/>
          <w:sz w:val="24"/>
          <w:szCs w:val="24"/>
          <w:highlight w:val="none"/>
        </w:rPr>
        <w:t>（5）投标文件格式</w:t>
      </w:r>
    </w:p>
    <w:p>
      <w:pPr>
        <w:spacing w:line="400" w:lineRule="exact"/>
        <w:ind w:firstLine="480" w:firstLineChars="200"/>
        <w:jc w:val="left"/>
        <w:rPr>
          <w:color w:val="auto"/>
          <w:sz w:val="24"/>
          <w:szCs w:val="24"/>
          <w:highlight w:val="none"/>
        </w:rPr>
      </w:pPr>
      <w:r>
        <w:rPr>
          <w:rFonts w:hint="eastAsia"/>
          <w:color w:val="auto"/>
          <w:sz w:val="24"/>
          <w:szCs w:val="24"/>
          <w:highlight w:val="none"/>
        </w:rPr>
        <w:t>请仔细检查招标文件是否齐全，如有缺漏请立即与衡源公司联系解决。</w:t>
      </w:r>
    </w:p>
    <w:p>
      <w:pPr>
        <w:spacing w:line="400" w:lineRule="exact"/>
        <w:ind w:firstLine="480" w:firstLineChars="200"/>
        <w:jc w:val="left"/>
        <w:rPr>
          <w:color w:val="auto"/>
          <w:sz w:val="24"/>
          <w:szCs w:val="24"/>
          <w:highlight w:val="none"/>
        </w:rPr>
      </w:pPr>
      <w:r>
        <w:rPr>
          <w:rFonts w:hint="eastAsia"/>
          <w:color w:val="auto"/>
          <w:sz w:val="24"/>
          <w:szCs w:val="24"/>
          <w:highlight w:val="none"/>
        </w:rPr>
        <w:t>6.2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pPr>
        <w:spacing w:line="400" w:lineRule="exact"/>
        <w:ind w:firstLine="560" w:firstLineChars="200"/>
        <w:jc w:val="left"/>
        <w:rPr>
          <w:color w:val="auto"/>
          <w:sz w:val="28"/>
          <w:szCs w:val="28"/>
          <w:highlight w:val="none"/>
        </w:rPr>
      </w:pPr>
      <w:r>
        <w:rPr>
          <w:rFonts w:hint="eastAsia"/>
          <w:color w:val="auto"/>
          <w:sz w:val="28"/>
          <w:szCs w:val="28"/>
          <w:highlight w:val="none"/>
        </w:rPr>
        <w:t>7．招标文件的澄清</w:t>
      </w:r>
    </w:p>
    <w:p>
      <w:pPr>
        <w:spacing w:line="400" w:lineRule="exact"/>
        <w:ind w:firstLine="480" w:firstLineChars="200"/>
        <w:jc w:val="left"/>
        <w:rPr>
          <w:color w:val="auto"/>
          <w:sz w:val="24"/>
          <w:szCs w:val="24"/>
          <w:highlight w:val="none"/>
        </w:rPr>
      </w:pPr>
      <w:r>
        <w:rPr>
          <w:rFonts w:hint="eastAsia"/>
          <w:color w:val="auto"/>
          <w:sz w:val="24"/>
          <w:szCs w:val="24"/>
          <w:highlight w:val="none"/>
        </w:rPr>
        <w:t>7.1 任何要求对招标文件进行澄清的投标人，均应在投标截止期十日前按招标公告中的联系方式，以书面形式提交给采购人。采购人认为已发布的招标文件确有必要澄清或者修改的，将在“江苏政府采购网”和“中国政府采购网”发布更正公告或就个性化的问题回复提出澄清要求的潜在投标人。</w:t>
      </w:r>
    </w:p>
    <w:p>
      <w:pPr>
        <w:spacing w:line="400" w:lineRule="exact"/>
        <w:ind w:firstLine="560" w:firstLineChars="200"/>
        <w:jc w:val="left"/>
        <w:rPr>
          <w:color w:val="auto"/>
          <w:sz w:val="28"/>
          <w:szCs w:val="28"/>
          <w:highlight w:val="none"/>
        </w:rPr>
      </w:pPr>
      <w:r>
        <w:rPr>
          <w:rFonts w:hint="eastAsia"/>
          <w:color w:val="auto"/>
          <w:sz w:val="28"/>
          <w:szCs w:val="28"/>
          <w:highlight w:val="none"/>
        </w:rPr>
        <w:t>8．招标文件的修改</w:t>
      </w:r>
    </w:p>
    <w:p>
      <w:pPr>
        <w:spacing w:line="400" w:lineRule="exact"/>
        <w:ind w:firstLine="480" w:firstLineChars="200"/>
        <w:jc w:val="left"/>
        <w:rPr>
          <w:color w:val="auto"/>
          <w:sz w:val="24"/>
          <w:szCs w:val="24"/>
          <w:highlight w:val="none"/>
        </w:rPr>
      </w:pPr>
      <w:r>
        <w:rPr>
          <w:rFonts w:hint="eastAsia"/>
          <w:color w:val="auto"/>
          <w:sz w:val="24"/>
          <w:szCs w:val="24"/>
          <w:highlight w:val="none"/>
        </w:rPr>
        <w:t>8.1在投标截止时间三天前，采购人均可以以补充文件的方式对招标文件进行修改。</w:t>
      </w:r>
    </w:p>
    <w:p>
      <w:pPr>
        <w:spacing w:line="400" w:lineRule="exact"/>
        <w:ind w:firstLine="480" w:firstLineChars="200"/>
        <w:jc w:val="left"/>
        <w:rPr>
          <w:color w:val="auto"/>
          <w:sz w:val="24"/>
          <w:szCs w:val="24"/>
          <w:highlight w:val="none"/>
        </w:rPr>
      </w:pPr>
      <w:r>
        <w:rPr>
          <w:rFonts w:hint="eastAsia"/>
          <w:color w:val="auto"/>
          <w:sz w:val="24"/>
          <w:szCs w:val="24"/>
          <w:highlight w:val="none"/>
        </w:rPr>
        <w:t>8.2采购人有权按规定要求推迟投标截止日期和开标日期。</w:t>
      </w:r>
    </w:p>
    <w:p>
      <w:pPr>
        <w:spacing w:line="400" w:lineRule="exact"/>
        <w:ind w:firstLine="480" w:firstLineChars="200"/>
        <w:jc w:val="left"/>
        <w:rPr>
          <w:color w:val="auto"/>
          <w:sz w:val="24"/>
          <w:szCs w:val="24"/>
          <w:highlight w:val="none"/>
        </w:rPr>
      </w:pPr>
      <w:r>
        <w:rPr>
          <w:rFonts w:hint="eastAsia"/>
          <w:color w:val="auto"/>
          <w:sz w:val="24"/>
          <w:szCs w:val="24"/>
          <w:highlight w:val="none"/>
        </w:rPr>
        <w:t>8.3招标文件的修改将在招标公告发布媒体公布，补充文件将作为招标文件的组成部分，并对投标人具有约束力。</w:t>
      </w:r>
    </w:p>
    <w:p>
      <w:pPr>
        <w:spacing w:line="400" w:lineRule="exact"/>
        <w:ind w:firstLine="643" w:firstLineChars="200"/>
        <w:jc w:val="left"/>
        <w:rPr>
          <w:b/>
          <w:color w:val="auto"/>
          <w:sz w:val="32"/>
          <w:szCs w:val="32"/>
          <w:highlight w:val="none"/>
        </w:rPr>
      </w:pPr>
      <w:r>
        <w:rPr>
          <w:rFonts w:hint="eastAsia"/>
          <w:b/>
          <w:color w:val="auto"/>
          <w:sz w:val="32"/>
          <w:szCs w:val="32"/>
          <w:highlight w:val="none"/>
        </w:rPr>
        <w:t>三、投标文件的编制</w:t>
      </w:r>
    </w:p>
    <w:p>
      <w:pPr>
        <w:spacing w:line="400" w:lineRule="exact"/>
        <w:ind w:firstLine="560" w:firstLineChars="200"/>
        <w:jc w:val="left"/>
        <w:rPr>
          <w:color w:val="auto"/>
          <w:sz w:val="28"/>
          <w:szCs w:val="28"/>
          <w:highlight w:val="none"/>
        </w:rPr>
      </w:pPr>
      <w:r>
        <w:rPr>
          <w:rFonts w:hint="eastAsia"/>
          <w:color w:val="auto"/>
          <w:sz w:val="28"/>
          <w:szCs w:val="28"/>
          <w:highlight w:val="none"/>
        </w:rPr>
        <w:t>9．投标文件的语言及度量衡单位</w:t>
      </w:r>
    </w:p>
    <w:p>
      <w:pPr>
        <w:spacing w:line="400" w:lineRule="exact"/>
        <w:ind w:firstLine="480" w:firstLineChars="200"/>
        <w:jc w:val="left"/>
        <w:rPr>
          <w:color w:val="auto"/>
          <w:sz w:val="24"/>
          <w:szCs w:val="24"/>
          <w:highlight w:val="none"/>
        </w:rPr>
      </w:pPr>
      <w:r>
        <w:rPr>
          <w:rFonts w:hint="eastAsia"/>
          <w:color w:val="auto"/>
          <w:sz w:val="24"/>
          <w:szCs w:val="24"/>
          <w:highlight w:val="none"/>
        </w:rPr>
        <w:t>9.1 投标人提交的投标文件以及投标人与采购人就有关投标的所有来往通知、函件和文件均应使用简体中文。</w:t>
      </w:r>
    </w:p>
    <w:p>
      <w:pPr>
        <w:spacing w:line="400" w:lineRule="exact"/>
        <w:ind w:firstLine="480" w:firstLineChars="200"/>
        <w:jc w:val="left"/>
        <w:rPr>
          <w:color w:val="auto"/>
          <w:sz w:val="24"/>
          <w:szCs w:val="24"/>
          <w:highlight w:val="none"/>
        </w:rPr>
      </w:pPr>
      <w:r>
        <w:rPr>
          <w:rFonts w:hint="eastAsia"/>
          <w:color w:val="auto"/>
          <w:sz w:val="24"/>
          <w:szCs w:val="24"/>
          <w:highlight w:val="none"/>
        </w:rPr>
        <w:t>9.2 除技术性能另有规定外，投标文件所使用的度量衡单位，均须采用国家法定计量单位。</w:t>
      </w:r>
    </w:p>
    <w:p>
      <w:pPr>
        <w:spacing w:line="400" w:lineRule="exact"/>
        <w:ind w:firstLine="560" w:firstLineChars="200"/>
        <w:jc w:val="left"/>
        <w:rPr>
          <w:color w:val="auto"/>
          <w:sz w:val="28"/>
          <w:szCs w:val="28"/>
          <w:highlight w:val="none"/>
        </w:rPr>
      </w:pPr>
      <w:r>
        <w:rPr>
          <w:rFonts w:hint="eastAsia"/>
          <w:color w:val="auto"/>
          <w:sz w:val="28"/>
          <w:szCs w:val="28"/>
          <w:highlight w:val="none"/>
        </w:rPr>
        <w:t>10．投标文件构成</w:t>
      </w:r>
    </w:p>
    <w:p>
      <w:pPr>
        <w:spacing w:line="400" w:lineRule="exact"/>
        <w:ind w:firstLine="480" w:firstLineChars="200"/>
        <w:jc w:val="left"/>
        <w:rPr>
          <w:color w:val="auto"/>
          <w:sz w:val="24"/>
          <w:szCs w:val="24"/>
          <w:highlight w:val="none"/>
        </w:rPr>
      </w:pPr>
      <w:r>
        <w:rPr>
          <w:rFonts w:hint="eastAsia"/>
          <w:color w:val="auto"/>
          <w:sz w:val="24"/>
          <w:szCs w:val="24"/>
          <w:highlight w:val="none"/>
        </w:rPr>
        <w:t>10.1投标人编写的投标文件包括：</w:t>
      </w:r>
    </w:p>
    <w:p>
      <w:pPr>
        <w:spacing w:line="400" w:lineRule="exact"/>
        <w:ind w:firstLine="480" w:firstLineChars="200"/>
        <w:jc w:val="left"/>
        <w:rPr>
          <w:color w:val="auto"/>
          <w:sz w:val="24"/>
          <w:szCs w:val="24"/>
          <w:highlight w:val="none"/>
        </w:rPr>
      </w:pPr>
      <w:r>
        <w:rPr>
          <w:rFonts w:hint="eastAsia"/>
          <w:color w:val="auto"/>
          <w:sz w:val="24"/>
          <w:szCs w:val="24"/>
          <w:highlight w:val="none"/>
        </w:rPr>
        <w:t>（1）投标函</w:t>
      </w:r>
    </w:p>
    <w:p>
      <w:pPr>
        <w:spacing w:line="400" w:lineRule="exact"/>
        <w:ind w:firstLine="480" w:firstLineChars="200"/>
        <w:jc w:val="left"/>
        <w:rPr>
          <w:color w:val="auto"/>
          <w:sz w:val="24"/>
          <w:szCs w:val="24"/>
          <w:highlight w:val="none"/>
        </w:rPr>
      </w:pPr>
      <w:r>
        <w:rPr>
          <w:rFonts w:hint="eastAsia"/>
          <w:color w:val="auto"/>
          <w:sz w:val="24"/>
          <w:szCs w:val="24"/>
          <w:highlight w:val="none"/>
        </w:rPr>
        <w:t>（2）开标一览表</w:t>
      </w:r>
    </w:p>
    <w:p>
      <w:pPr>
        <w:spacing w:line="400" w:lineRule="exact"/>
        <w:ind w:firstLine="480" w:firstLineChars="200"/>
        <w:jc w:val="left"/>
        <w:rPr>
          <w:color w:val="auto"/>
          <w:sz w:val="24"/>
          <w:szCs w:val="24"/>
          <w:highlight w:val="none"/>
        </w:rPr>
      </w:pPr>
      <w:r>
        <w:rPr>
          <w:rFonts w:hint="eastAsia"/>
          <w:color w:val="auto"/>
          <w:sz w:val="24"/>
          <w:szCs w:val="24"/>
          <w:highlight w:val="none"/>
        </w:rPr>
        <w:t>（3）分项报价表</w:t>
      </w:r>
    </w:p>
    <w:p>
      <w:pPr>
        <w:spacing w:line="400" w:lineRule="exact"/>
        <w:ind w:firstLine="480" w:firstLineChars="200"/>
        <w:jc w:val="left"/>
        <w:rPr>
          <w:color w:val="auto"/>
          <w:sz w:val="24"/>
          <w:szCs w:val="24"/>
          <w:highlight w:val="none"/>
        </w:rPr>
      </w:pPr>
      <w:r>
        <w:rPr>
          <w:rFonts w:hint="eastAsia"/>
          <w:color w:val="auto"/>
          <w:sz w:val="24"/>
          <w:szCs w:val="24"/>
          <w:highlight w:val="none"/>
        </w:rPr>
        <w:t>（4）商务偏离表</w:t>
      </w:r>
    </w:p>
    <w:p>
      <w:pPr>
        <w:spacing w:line="400" w:lineRule="exact"/>
        <w:ind w:firstLine="480" w:firstLineChars="200"/>
        <w:jc w:val="left"/>
        <w:rPr>
          <w:color w:val="auto"/>
          <w:sz w:val="24"/>
          <w:szCs w:val="24"/>
          <w:highlight w:val="none"/>
        </w:rPr>
      </w:pPr>
      <w:r>
        <w:rPr>
          <w:rFonts w:hint="eastAsia"/>
          <w:color w:val="auto"/>
          <w:sz w:val="24"/>
          <w:szCs w:val="24"/>
          <w:highlight w:val="none"/>
        </w:rPr>
        <w:t>（5）法定代表人身份证明书</w:t>
      </w:r>
    </w:p>
    <w:p>
      <w:pPr>
        <w:spacing w:line="400" w:lineRule="exact"/>
        <w:ind w:firstLine="480" w:firstLineChars="200"/>
        <w:jc w:val="left"/>
        <w:rPr>
          <w:color w:val="auto"/>
          <w:sz w:val="24"/>
          <w:szCs w:val="24"/>
          <w:highlight w:val="none"/>
        </w:rPr>
      </w:pPr>
      <w:r>
        <w:rPr>
          <w:rFonts w:hint="eastAsia"/>
          <w:color w:val="auto"/>
          <w:sz w:val="24"/>
          <w:szCs w:val="24"/>
          <w:highlight w:val="none"/>
        </w:rPr>
        <w:t>（6）法人代表授权书</w:t>
      </w:r>
    </w:p>
    <w:p>
      <w:pPr>
        <w:spacing w:line="400" w:lineRule="exact"/>
        <w:ind w:firstLine="480" w:firstLineChars="200"/>
        <w:jc w:val="left"/>
        <w:rPr>
          <w:color w:val="auto"/>
          <w:sz w:val="24"/>
          <w:szCs w:val="24"/>
          <w:highlight w:val="none"/>
        </w:rPr>
      </w:pPr>
      <w:r>
        <w:rPr>
          <w:rFonts w:hint="eastAsia"/>
          <w:color w:val="auto"/>
          <w:sz w:val="24"/>
          <w:szCs w:val="24"/>
          <w:highlight w:val="none"/>
        </w:rPr>
        <w:t>（7）投标人资格声明</w:t>
      </w:r>
    </w:p>
    <w:p>
      <w:pPr>
        <w:spacing w:line="400" w:lineRule="exact"/>
        <w:ind w:firstLine="480" w:firstLineChars="200"/>
        <w:jc w:val="left"/>
        <w:rPr>
          <w:color w:val="auto"/>
          <w:sz w:val="24"/>
          <w:szCs w:val="24"/>
          <w:highlight w:val="none"/>
        </w:rPr>
      </w:pPr>
      <w:r>
        <w:rPr>
          <w:rFonts w:hint="eastAsia"/>
          <w:color w:val="auto"/>
          <w:sz w:val="24"/>
          <w:szCs w:val="24"/>
          <w:highlight w:val="none"/>
        </w:rPr>
        <w:t>（8）投标人已完成与招标内容类似项目一览表</w:t>
      </w:r>
    </w:p>
    <w:p>
      <w:pPr>
        <w:spacing w:line="400" w:lineRule="exact"/>
        <w:ind w:firstLine="480" w:firstLineChars="200"/>
        <w:jc w:val="left"/>
        <w:rPr>
          <w:color w:val="auto"/>
          <w:sz w:val="24"/>
          <w:szCs w:val="24"/>
          <w:highlight w:val="none"/>
        </w:rPr>
      </w:pPr>
      <w:r>
        <w:rPr>
          <w:rFonts w:hint="eastAsia"/>
          <w:color w:val="auto"/>
          <w:sz w:val="24"/>
          <w:szCs w:val="24"/>
          <w:highlight w:val="none"/>
        </w:rPr>
        <w:t>（9）投标人符合《政府采购法》第二十二条规定条件的承诺函</w:t>
      </w:r>
    </w:p>
    <w:p>
      <w:pPr>
        <w:spacing w:line="400" w:lineRule="exact"/>
        <w:ind w:firstLine="480" w:firstLineChars="200"/>
        <w:jc w:val="left"/>
        <w:rPr>
          <w:color w:val="auto"/>
          <w:sz w:val="24"/>
          <w:szCs w:val="24"/>
          <w:highlight w:val="none"/>
        </w:rPr>
      </w:pPr>
      <w:r>
        <w:rPr>
          <w:rFonts w:hint="eastAsia"/>
          <w:color w:val="auto"/>
          <w:sz w:val="24"/>
          <w:szCs w:val="24"/>
          <w:highlight w:val="none"/>
        </w:rPr>
        <w:t>（10）具备履行合同所必需的设备和专业技术能力的书面声明</w:t>
      </w:r>
    </w:p>
    <w:p>
      <w:pPr>
        <w:spacing w:line="400" w:lineRule="exact"/>
        <w:ind w:firstLine="480" w:firstLineChars="200"/>
        <w:jc w:val="left"/>
        <w:rPr>
          <w:color w:val="auto"/>
          <w:sz w:val="24"/>
          <w:szCs w:val="24"/>
          <w:highlight w:val="none"/>
        </w:rPr>
      </w:pPr>
      <w:r>
        <w:rPr>
          <w:rFonts w:hint="eastAsia"/>
          <w:color w:val="auto"/>
          <w:sz w:val="24"/>
          <w:szCs w:val="24"/>
          <w:highlight w:val="none"/>
        </w:rPr>
        <w:t>（11）公共资源交易投标信用承诺书；</w:t>
      </w:r>
    </w:p>
    <w:p>
      <w:pPr>
        <w:spacing w:line="400" w:lineRule="exact"/>
        <w:ind w:firstLine="480" w:firstLineChars="200"/>
        <w:jc w:val="left"/>
        <w:rPr>
          <w:color w:val="auto"/>
          <w:sz w:val="24"/>
          <w:szCs w:val="24"/>
          <w:highlight w:val="none"/>
        </w:rPr>
      </w:pPr>
      <w:r>
        <w:rPr>
          <w:rFonts w:hint="eastAsia"/>
          <w:color w:val="auto"/>
          <w:sz w:val="24"/>
          <w:szCs w:val="24"/>
          <w:highlight w:val="none"/>
        </w:rPr>
        <w:t>（12）企业声明函（如有）；</w:t>
      </w:r>
    </w:p>
    <w:p>
      <w:pPr>
        <w:spacing w:line="400" w:lineRule="exact"/>
        <w:ind w:firstLine="480" w:firstLineChars="200"/>
        <w:jc w:val="left"/>
        <w:rPr>
          <w:color w:val="auto"/>
          <w:sz w:val="24"/>
          <w:szCs w:val="24"/>
          <w:highlight w:val="none"/>
        </w:rPr>
      </w:pPr>
      <w:r>
        <w:rPr>
          <w:rFonts w:hint="eastAsia"/>
          <w:color w:val="auto"/>
          <w:sz w:val="24"/>
          <w:szCs w:val="24"/>
          <w:highlight w:val="none"/>
        </w:rPr>
        <w:t>（13）残疾人福利性单位声明函（如有）；</w:t>
      </w:r>
    </w:p>
    <w:p>
      <w:pPr>
        <w:spacing w:line="400" w:lineRule="exact"/>
        <w:ind w:firstLine="480" w:firstLineChars="200"/>
        <w:jc w:val="left"/>
        <w:rPr>
          <w:color w:val="auto"/>
          <w:sz w:val="24"/>
          <w:szCs w:val="24"/>
          <w:highlight w:val="none"/>
        </w:rPr>
      </w:pPr>
      <w:r>
        <w:rPr>
          <w:rFonts w:hint="eastAsia"/>
          <w:color w:val="auto"/>
          <w:sz w:val="24"/>
          <w:szCs w:val="24"/>
          <w:highlight w:val="none"/>
        </w:rPr>
        <w:t>（14）监狱和戒毒企业证明材料（如有）；</w:t>
      </w:r>
    </w:p>
    <w:p>
      <w:pPr>
        <w:spacing w:line="400" w:lineRule="exact"/>
        <w:ind w:firstLine="480" w:firstLineChars="200"/>
        <w:jc w:val="left"/>
        <w:rPr>
          <w:color w:val="auto"/>
          <w:sz w:val="24"/>
          <w:szCs w:val="24"/>
          <w:highlight w:val="none"/>
        </w:rPr>
      </w:pPr>
      <w:r>
        <w:rPr>
          <w:rFonts w:hint="eastAsia"/>
          <w:color w:val="auto"/>
          <w:sz w:val="24"/>
          <w:szCs w:val="24"/>
          <w:highlight w:val="none"/>
        </w:rPr>
        <w:t>（15）政府采购政策功能落实说明（如有）；</w:t>
      </w:r>
    </w:p>
    <w:p>
      <w:pPr>
        <w:spacing w:line="400" w:lineRule="exact"/>
        <w:ind w:firstLine="480" w:firstLineChars="200"/>
        <w:jc w:val="left"/>
        <w:rPr>
          <w:color w:val="auto"/>
          <w:sz w:val="24"/>
          <w:szCs w:val="24"/>
          <w:highlight w:val="none"/>
        </w:rPr>
      </w:pPr>
      <w:r>
        <w:rPr>
          <w:rFonts w:hint="eastAsia"/>
          <w:color w:val="auto"/>
          <w:sz w:val="24"/>
          <w:szCs w:val="24"/>
          <w:highlight w:val="none"/>
        </w:rPr>
        <w:t>（16）资格证明文件（实质性资格证明文件和非实质性资格证明文件）</w:t>
      </w:r>
    </w:p>
    <w:p>
      <w:pPr>
        <w:spacing w:line="400" w:lineRule="exact"/>
        <w:ind w:firstLine="480" w:firstLineChars="200"/>
        <w:jc w:val="left"/>
        <w:rPr>
          <w:color w:val="auto"/>
          <w:sz w:val="24"/>
          <w:szCs w:val="24"/>
          <w:highlight w:val="none"/>
        </w:rPr>
      </w:pPr>
      <w:r>
        <w:rPr>
          <w:rFonts w:hint="eastAsia"/>
          <w:color w:val="auto"/>
          <w:sz w:val="24"/>
          <w:szCs w:val="24"/>
          <w:highlight w:val="none"/>
        </w:rPr>
        <w:t>（17）为完成本项目投标人认为以及满足本招标文件及评标办法所需要的其它资料。</w:t>
      </w:r>
    </w:p>
    <w:p>
      <w:pPr>
        <w:spacing w:line="400" w:lineRule="exact"/>
        <w:ind w:firstLine="480" w:firstLineChars="200"/>
        <w:jc w:val="left"/>
        <w:rPr>
          <w:color w:val="auto"/>
          <w:sz w:val="24"/>
          <w:szCs w:val="24"/>
          <w:highlight w:val="none"/>
        </w:rPr>
      </w:pPr>
      <w:r>
        <w:rPr>
          <w:rFonts w:hint="eastAsia"/>
          <w:color w:val="auto"/>
          <w:sz w:val="24"/>
          <w:szCs w:val="24"/>
          <w:highlight w:val="none"/>
        </w:rPr>
        <w:t>10.2投标人应将投标文件按顺序装订成册，并编制投标文件资料目录。</w:t>
      </w:r>
    </w:p>
    <w:p>
      <w:pPr>
        <w:spacing w:line="400" w:lineRule="exact"/>
        <w:ind w:firstLine="480" w:firstLineChars="200"/>
        <w:jc w:val="left"/>
        <w:rPr>
          <w:color w:val="auto"/>
          <w:sz w:val="24"/>
          <w:szCs w:val="24"/>
          <w:highlight w:val="none"/>
        </w:rPr>
      </w:pPr>
      <w:r>
        <w:rPr>
          <w:rFonts w:hint="eastAsia"/>
          <w:color w:val="auto"/>
          <w:sz w:val="24"/>
          <w:szCs w:val="24"/>
          <w:highlight w:val="none"/>
        </w:rPr>
        <w:t>10.3投标文件参照投标文件格式中“投标主要文件目录”的顺序制作，并请编制目录。由于不按要求编排，编排混乱等导致投标文件被误读或查找不到，责任由投标人承担。</w:t>
      </w:r>
    </w:p>
    <w:p>
      <w:pPr>
        <w:spacing w:line="400" w:lineRule="exact"/>
        <w:ind w:firstLine="560" w:firstLineChars="200"/>
        <w:jc w:val="left"/>
        <w:rPr>
          <w:color w:val="auto"/>
          <w:sz w:val="28"/>
          <w:szCs w:val="28"/>
          <w:highlight w:val="none"/>
        </w:rPr>
      </w:pPr>
      <w:r>
        <w:rPr>
          <w:rFonts w:hint="eastAsia"/>
          <w:color w:val="auto"/>
          <w:sz w:val="28"/>
          <w:szCs w:val="28"/>
          <w:highlight w:val="none"/>
        </w:rPr>
        <w:t>11．证明投标人资格及符合招标文件规定的文件</w:t>
      </w:r>
    </w:p>
    <w:p>
      <w:pPr>
        <w:spacing w:line="400" w:lineRule="exact"/>
        <w:ind w:firstLine="560" w:firstLineChars="200"/>
        <w:jc w:val="left"/>
        <w:rPr>
          <w:color w:val="auto"/>
          <w:sz w:val="28"/>
          <w:szCs w:val="28"/>
          <w:highlight w:val="none"/>
        </w:rPr>
      </w:pPr>
      <w:r>
        <w:rPr>
          <w:rFonts w:hint="eastAsia"/>
          <w:color w:val="auto"/>
          <w:sz w:val="28"/>
          <w:szCs w:val="28"/>
          <w:highlight w:val="none"/>
        </w:rPr>
        <w:t>12．投标分项报价表</w:t>
      </w:r>
    </w:p>
    <w:p>
      <w:pPr>
        <w:spacing w:line="400" w:lineRule="exact"/>
        <w:ind w:firstLine="480" w:firstLineChars="200"/>
        <w:jc w:val="left"/>
        <w:rPr>
          <w:color w:val="auto"/>
          <w:sz w:val="24"/>
          <w:szCs w:val="24"/>
          <w:highlight w:val="none"/>
        </w:rPr>
      </w:pPr>
      <w:r>
        <w:rPr>
          <w:rFonts w:hint="eastAsia"/>
          <w:color w:val="auto"/>
          <w:sz w:val="24"/>
          <w:szCs w:val="24"/>
          <w:highlight w:val="none"/>
        </w:rPr>
        <w:t>12.1投标人应按照招标文件规定格式填报项目报价表。只允许有一个报价，任何有选择的报价将不予接受。</w:t>
      </w:r>
    </w:p>
    <w:p>
      <w:pPr>
        <w:spacing w:line="400" w:lineRule="exact"/>
        <w:ind w:firstLine="480" w:firstLineChars="200"/>
        <w:jc w:val="left"/>
        <w:rPr>
          <w:color w:val="auto"/>
          <w:sz w:val="24"/>
          <w:szCs w:val="24"/>
          <w:highlight w:val="none"/>
        </w:rPr>
      </w:pPr>
      <w:r>
        <w:rPr>
          <w:rFonts w:hint="eastAsia"/>
          <w:color w:val="auto"/>
          <w:sz w:val="24"/>
          <w:szCs w:val="24"/>
          <w:highlight w:val="none"/>
        </w:rPr>
        <w:t>12.2标的物</w:t>
      </w:r>
    </w:p>
    <w:p>
      <w:pPr>
        <w:spacing w:line="400" w:lineRule="exact"/>
        <w:ind w:firstLine="480" w:firstLineChars="200"/>
        <w:jc w:val="left"/>
        <w:rPr>
          <w:color w:val="auto"/>
          <w:sz w:val="24"/>
          <w:szCs w:val="24"/>
          <w:highlight w:val="none"/>
        </w:rPr>
      </w:pPr>
      <w:r>
        <w:rPr>
          <w:rFonts w:hint="eastAsia"/>
          <w:color w:val="auto"/>
          <w:sz w:val="24"/>
          <w:szCs w:val="24"/>
          <w:highlight w:val="none"/>
        </w:rPr>
        <w:t>采购人需求的货物供应、安装调试、质保售后、维护及有关技术服务等。</w:t>
      </w:r>
    </w:p>
    <w:p>
      <w:pPr>
        <w:spacing w:line="400" w:lineRule="exact"/>
        <w:ind w:firstLine="480" w:firstLineChars="200"/>
        <w:jc w:val="left"/>
        <w:rPr>
          <w:color w:val="auto"/>
          <w:sz w:val="24"/>
          <w:szCs w:val="24"/>
          <w:highlight w:val="none"/>
        </w:rPr>
      </w:pPr>
      <w:r>
        <w:rPr>
          <w:rFonts w:hint="eastAsia"/>
          <w:color w:val="auto"/>
          <w:sz w:val="24"/>
          <w:szCs w:val="24"/>
          <w:highlight w:val="none"/>
        </w:rPr>
        <w:t>12.3有关费用处理</w:t>
      </w:r>
    </w:p>
    <w:p>
      <w:pPr>
        <w:spacing w:line="400" w:lineRule="exact"/>
        <w:ind w:firstLine="482"/>
        <w:rPr>
          <w:rFonts w:cs="Times New Roman" w:asciiTheme="minorEastAsia" w:hAnsiTheme="minorEastAsia" w:eastAsiaTheme="minorEastAsia"/>
          <w:b/>
          <w:bCs/>
          <w:color w:val="auto"/>
          <w:sz w:val="24"/>
          <w:highlight w:val="none"/>
        </w:rPr>
      </w:pPr>
      <w:r>
        <w:rPr>
          <w:rFonts w:hint="eastAsia" w:cs="Times New Roman" w:asciiTheme="minorEastAsia" w:hAnsiTheme="minorEastAsia" w:eastAsiaTheme="minorEastAsia"/>
          <w:b/>
          <w:bCs/>
          <w:color w:val="auto"/>
          <w:sz w:val="24"/>
          <w:highlight w:val="none"/>
        </w:rPr>
        <w:t>投标人需现场进行踏勘，应当充分了解实施项目位置、情况、道路、</w:t>
      </w:r>
      <w:r>
        <w:rPr>
          <w:rFonts w:cs="Times New Roman" w:asciiTheme="minorEastAsia" w:hAnsiTheme="minorEastAsia" w:eastAsiaTheme="minorEastAsia"/>
          <w:b/>
          <w:bCs/>
          <w:color w:val="auto"/>
          <w:sz w:val="24"/>
          <w:highlight w:val="none"/>
        </w:rPr>
        <w:t>滩面高程坡度、自然</w:t>
      </w:r>
      <w:r>
        <w:rPr>
          <w:rFonts w:hint="eastAsia" w:cs="Times New Roman" w:asciiTheme="minorEastAsia" w:hAnsiTheme="minorEastAsia" w:eastAsiaTheme="minorEastAsia"/>
          <w:b/>
          <w:bCs/>
          <w:color w:val="auto"/>
          <w:sz w:val="24"/>
          <w:highlight w:val="none"/>
        </w:rPr>
        <w:t>港汊</w:t>
      </w:r>
      <w:r>
        <w:rPr>
          <w:rFonts w:cs="Times New Roman" w:asciiTheme="minorEastAsia" w:hAnsiTheme="minorEastAsia" w:eastAsiaTheme="minorEastAsia"/>
          <w:b/>
          <w:bCs/>
          <w:color w:val="auto"/>
          <w:sz w:val="24"/>
          <w:highlight w:val="none"/>
        </w:rPr>
        <w:t>分布与走向、潮汐情况等</w:t>
      </w:r>
      <w:r>
        <w:rPr>
          <w:rFonts w:hint="eastAsia" w:cs="Times New Roman" w:asciiTheme="minorEastAsia" w:hAnsiTheme="minorEastAsia" w:eastAsiaTheme="minorEastAsia"/>
          <w:b/>
          <w:bCs/>
          <w:color w:val="auto"/>
          <w:sz w:val="24"/>
          <w:highlight w:val="none"/>
        </w:rPr>
        <w:t>任何其它足以影响报价的情况，并根据现场的实际情况将本项目可预见的相关费用自行考虑到投标报价中，投标人中标后可预见的相关费用包干使用。采购人提供的有关现场的数据和资料，是采购人现有的能够被投标人利用的资料，投标人对该数据和资料做出的任何推论、理解和结论采购人均不负责任，任何因忽视或误解项目情况而导致的索赔或工期延长申请将不被批准。</w:t>
      </w:r>
    </w:p>
    <w:p>
      <w:pPr>
        <w:spacing w:line="400" w:lineRule="exact"/>
        <w:ind w:firstLine="482"/>
        <w:rPr>
          <w:rFonts w:ascii="宋体" w:hAnsi="宋体"/>
          <w:b/>
          <w:color w:val="auto"/>
          <w:sz w:val="24"/>
          <w:szCs w:val="24"/>
          <w:highlight w:val="none"/>
        </w:rPr>
      </w:pPr>
      <w:r>
        <w:rPr>
          <w:rFonts w:hint="eastAsia" w:ascii="宋体" w:hAnsi="宋体"/>
          <w:b/>
          <w:color w:val="auto"/>
          <w:sz w:val="24"/>
          <w:szCs w:val="24"/>
          <w:highlight w:val="none"/>
        </w:rPr>
        <w:t>投标报价应包括完成本招标项目所产生的一切费用，</w:t>
      </w:r>
      <w:r>
        <w:rPr>
          <w:rFonts w:hint="eastAsia"/>
          <w:b/>
          <w:color w:val="auto"/>
          <w:sz w:val="24"/>
          <w:szCs w:val="24"/>
          <w:highlight w:val="none"/>
        </w:rPr>
        <w:t>包含前期调查、食宿、交通、劳务、</w:t>
      </w:r>
      <w:r>
        <w:rPr>
          <w:rFonts w:hint="eastAsia" w:ascii="宋体" w:hAnsi="宋体"/>
          <w:b/>
          <w:color w:val="auto"/>
          <w:sz w:val="24"/>
          <w:szCs w:val="24"/>
          <w:highlight w:val="none"/>
        </w:rPr>
        <w:t>提交成果费用、</w:t>
      </w:r>
      <w:r>
        <w:rPr>
          <w:rFonts w:hint="eastAsia"/>
          <w:b/>
          <w:color w:val="auto"/>
          <w:sz w:val="24"/>
          <w:szCs w:val="24"/>
          <w:highlight w:val="none"/>
        </w:rPr>
        <w:t>专家论证费用、</w:t>
      </w:r>
      <w:r>
        <w:rPr>
          <w:rFonts w:hint="eastAsia" w:ascii="宋体" w:hAnsi="宋体"/>
          <w:b/>
          <w:color w:val="auto"/>
          <w:sz w:val="24"/>
          <w:szCs w:val="24"/>
          <w:highlight w:val="none"/>
        </w:rPr>
        <w:t>成果审查费用、方案论证相关费用、技术服务费用（包括</w:t>
      </w:r>
      <w:r>
        <w:rPr>
          <w:rFonts w:hint="eastAsia" w:ascii="宋体" w:hAnsi="宋体"/>
          <w:b/>
          <w:bCs/>
          <w:color w:val="auto"/>
          <w:sz w:val="24"/>
          <w:szCs w:val="24"/>
          <w:highlight w:val="none"/>
        </w:rPr>
        <w:t>配合采购人进行实施方案的汇报、完成与上级部门的对接工作等</w:t>
      </w:r>
      <w:r>
        <w:rPr>
          <w:rFonts w:hint="eastAsia" w:ascii="宋体" w:hAnsi="宋体"/>
          <w:b/>
          <w:color w:val="auto"/>
          <w:sz w:val="24"/>
          <w:szCs w:val="24"/>
          <w:highlight w:val="none"/>
        </w:rPr>
        <w:t>）、项目报批的过程性费用、除治阶段，全面完成除治任务费用及其所发生的措施费用、所有坝埂拆除费用、后期管护阶段及巩固除治成果进行监测评估费用、招标代理费、规费、税金等完成本项目所需的一切费用。同时，报价也应包含合同履行过程中可能发生的一切风险。</w:t>
      </w:r>
    </w:p>
    <w:p>
      <w:pPr>
        <w:pStyle w:val="2"/>
        <w:spacing w:line="440" w:lineRule="exact"/>
        <w:ind w:firstLine="482"/>
        <w:outlineLvl w:val="2"/>
        <w:rPr>
          <w:b/>
          <w:bCs/>
          <w:color w:val="auto"/>
          <w:szCs w:val="22"/>
          <w:highlight w:val="none"/>
        </w:rPr>
      </w:pPr>
      <w:r>
        <w:rPr>
          <w:b/>
          <w:bCs/>
          <w:color w:val="auto"/>
          <w:szCs w:val="22"/>
          <w:highlight w:val="none"/>
        </w:rPr>
        <w:t>特别提醒：由于本项目除治措施实施主要时段在台风季和农历大潮期，且海洋潮流极易造成实施区域出现土方塌陷、港汊改道等海洋地质灾害，投标人必须对此充分评估，并将相关防护和修复措施的费用考虑在总报价中，由此产生的一切抢险抢工以及返工等损失采购人均不负责，价格不调整。</w:t>
      </w:r>
    </w:p>
    <w:p>
      <w:pPr>
        <w:spacing w:line="400" w:lineRule="exact"/>
        <w:ind w:firstLine="480" w:firstLineChars="200"/>
        <w:jc w:val="left"/>
        <w:rPr>
          <w:color w:val="auto"/>
          <w:sz w:val="24"/>
          <w:szCs w:val="24"/>
          <w:highlight w:val="none"/>
        </w:rPr>
      </w:pPr>
      <w:r>
        <w:rPr>
          <w:rFonts w:hint="eastAsia"/>
          <w:color w:val="auto"/>
          <w:sz w:val="24"/>
          <w:szCs w:val="24"/>
          <w:highlight w:val="none"/>
        </w:rPr>
        <w:t>12.4其它费用处理</w:t>
      </w:r>
    </w:p>
    <w:p>
      <w:pPr>
        <w:spacing w:line="400" w:lineRule="exact"/>
        <w:ind w:firstLine="480" w:firstLineChars="200"/>
        <w:jc w:val="left"/>
        <w:rPr>
          <w:color w:val="auto"/>
          <w:sz w:val="24"/>
          <w:szCs w:val="24"/>
          <w:highlight w:val="none"/>
        </w:rPr>
      </w:pPr>
      <w:r>
        <w:rPr>
          <w:rFonts w:hint="eastAsia"/>
          <w:color w:val="auto"/>
          <w:sz w:val="24"/>
          <w:szCs w:val="24"/>
          <w:highlight w:val="none"/>
        </w:rPr>
        <w:t>招标文件未列明，而投标人认为必需的费用也须列入报价。</w:t>
      </w:r>
    </w:p>
    <w:p>
      <w:pPr>
        <w:spacing w:line="400" w:lineRule="exact"/>
        <w:ind w:firstLine="480" w:firstLineChars="200"/>
        <w:jc w:val="left"/>
        <w:rPr>
          <w:color w:val="auto"/>
          <w:sz w:val="24"/>
          <w:szCs w:val="24"/>
          <w:highlight w:val="none"/>
        </w:rPr>
      </w:pPr>
      <w:r>
        <w:rPr>
          <w:rFonts w:hint="eastAsia"/>
          <w:color w:val="auto"/>
          <w:sz w:val="24"/>
          <w:szCs w:val="24"/>
          <w:highlight w:val="none"/>
        </w:rPr>
        <w:t>12.5投标货币</w:t>
      </w:r>
    </w:p>
    <w:p>
      <w:pPr>
        <w:spacing w:line="400" w:lineRule="exact"/>
        <w:ind w:firstLine="480" w:firstLineChars="200"/>
        <w:jc w:val="left"/>
        <w:rPr>
          <w:color w:val="auto"/>
          <w:sz w:val="24"/>
          <w:szCs w:val="24"/>
          <w:highlight w:val="none"/>
        </w:rPr>
      </w:pPr>
      <w:r>
        <w:rPr>
          <w:rFonts w:hint="eastAsia"/>
          <w:color w:val="auto"/>
          <w:sz w:val="24"/>
          <w:szCs w:val="24"/>
          <w:highlight w:val="none"/>
        </w:rPr>
        <w:t>投标文件中的货物或服务单价和总价无特殊规定的采用人民币报价，以报价表要求的为单位标注。招标文件中另有规定的按规定执行。</w:t>
      </w:r>
    </w:p>
    <w:p>
      <w:pPr>
        <w:spacing w:line="400" w:lineRule="exact"/>
        <w:ind w:firstLine="480" w:firstLineChars="200"/>
        <w:jc w:val="left"/>
        <w:rPr>
          <w:color w:val="auto"/>
          <w:sz w:val="24"/>
          <w:szCs w:val="24"/>
          <w:highlight w:val="none"/>
        </w:rPr>
      </w:pPr>
      <w:r>
        <w:rPr>
          <w:rFonts w:hint="eastAsia"/>
          <w:color w:val="auto"/>
          <w:sz w:val="24"/>
          <w:szCs w:val="24"/>
          <w:highlight w:val="none"/>
        </w:rPr>
        <w:t>12.6投标项目报价表上的价格应按下列方式分开填写：</w:t>
      </w:r>
    </w:p>
    <w:p>
      <w:pPr>
        <w:spacing w:line="400" w:lineRule="exact"/>
        <w:ind w:firstLine="480" w:firstLineChars="200"/>
        <w:jc w:val="left"/>
        <w:rPr>
          <w:color w:val="auto"/>
          <w:sz w:val="24"/>
          <w:szCs w:val="24"/>
          <w:highlight w:val="none"/>
        </w:rPr>
      </w:pPr>
      <w:r>
        <w:rPr>
          <w:rFonts w:hint="eastAsia"/>
          <w:color w:val="auto"/>
          <w:sz w:val="24"/>
          <w:szCs w:val="24"/>
          <w:highlight w:val="none"/>
        </w:rPr>
        <w:t>⑴项目总价：为完成整个项目所产生的所有费用。</w:t>
      </w:r>
    </w:p>
    <w:p>
      <w:pPr>
        <w:spacing w:line="400" w:lineRule="exact"/>
        <w:ind w:firstLine="480" w:firstLineChars="200"/>
        <w:jc w:val="left"/>
        <w:rPr>
          <w:color w:val="auto"/>
          <w:sz w:val="24"/>
          <w:szCs w:val="24"/>
          <w:highlight w:val="none"/>
        </w:rPr>
      </w:pPr>
      <w:r>
        <w:rPr>
          <w:rFonts w:hint="eastAsia"/>
          <w:color w:val="auto"/>
          <w:sz w:val="24"/>
          <w:szCs w:val="24"/>
          <w:highlight w:val="none"/>
        </w:rPr>
        <w:t>⑵项目分项报价按项目报价表中要求填报。</w:t>
      </w:r>
    </w:p>
    <w:p>
      <w:pPr>
        <w:spacing w:line="400" w:lineRule="exact"/>
        <w:ind w:firstLine="560" w:firstLineChars="200"/>
        <w:jc w:val="left"/>
        <w:rPr>
          <w:color w:val="auto"/>
          <w:sz w:val="28"/>
          <w:szCs w:val="28"/>
          <w:highlight w:val="none"/>
        </w:rPr>
      </w:pPr>
      <w:r>
        <w:rPr>
          <w:rFonts w:hint="eastAsia"/>
          <w:color w:val="auto"/>
          <w:sz w:val="28"/>
          <w:szCs w:val="28"/>
          <w:highlight w:val="none"/>
        </w:rPr>
        <w:t>13．商务条款响应及偏离表</w:t>
      </w:r>
    </w:p>
    <w:p>
      <w:pPr>
        <w:spacing w:line="400" w:lineRule="exact"/>
        <w:ind w:firstLine="480" w:firstLineChars="200"/>
        <w:jc w:val="left"/>
        <w:rPr>
          <w:color w:val="auto"/>
          <w:sz w:val="24"/>
          <w:szCs w:val="24"/>
          <w:highlight w:val="none"/>
        </w:rPr>
      </w:pPr>
      <w:r>
        <w:rPr>
          <w:rFonts w:hint="eastAsia"/>
          <w:color w:val="auto"/>
          <w:sz w:val="24"/>
          <w:szCs w:val="24"/>
          <w:highlight w:val="none"/>
        </w:rPr>
        <w:t>13.1 对招标文件中的商务条款要求逐项作出响应或偏离，并说明原因；若出现缺、漏项和描述不清的均视为负偏离处理。</w:t>
      </w:r>
    </w:p>
    <w:p>
      <w:pPr>
        <w:spacing w:line="400" w:lineRule="exact"/>
        <w:ind w:firstLine="480" w:firstLineChars="200"/>
        <w:jc w:val="left"/>
        <w:rPr>
          <w:color w:val="auto"/>
          <w:sz w:val="24"/>
          <w:szCs w:val="24"/>
          <w:highlight w:val="none"/>
        </w:rPr>
      </w:pPr>
      <w:r>
        <w:rPr>
          <w:rFonts w:hint="eastAsia"/>
          <w:color w:val="auto"/>
          <w:sz w:val="24"/>
          <w:szCs w:val="24"/>
          <w:highlight w:val="none"/>
        </w:rPr>
        <w:t>13.2 详细阐述所投货物的主要组成部分、实现思路及关键技术；</w:t>
      </w:r>
    </w:p>
    <w:p>
      <w:pPr>
        <w:spacing w:line="400" w:lineRule="exact"/>
        <w:ind w:firstLine="480" w:firstLineChars="200"/>
        <w:jc w:val="left"/>
        <w:rPr>
          <w:color w:val="auto"/>
          <w:sz w:val="24"/>
          <w:szCs w:val="24"/>
          <w:highlight w:val="none"/>
        </w:rPr>
      </w:pPr>
      <w:r>
        <w:rPr>
          <w:rFonts w:hint="eastAsia"/>
          <w:color w:val="auto"/>
          <w:sz w:val="24"/>
          <w:szCs w:val="24"/>
          <w:highlight w:val="none"/>
        </w:rPr>
        <w:t>13.3 投标人认为需要的其他技术文件或说明。</w:t>
      </w:r>
    </w:p>
    <w:p>
      <w:pPr>
        <w:spacing w:line="400" w:lineRule="exact"/>
        <w:ind w:firstLine="560" w:firstLineChars="200"/>
        <w:jc w:val="left"/>
        <w:rPr>
          <w:color w:val="auto"/>
          <w:sz w:val="28"/>
          <w:szCs w:val="28"/>
          <w:highlight w:val="none"/>
        </w:rPr>
      </w:pPr>
      <w:r>
        <w:rPr>
          <w:rFonts w:hint="eastAsia"/>
          <w:color w:val="auto"/>
          <w:sz w:val="28"/>
          <w:szCs w:val="28"/>
          <w:highlight w:val="none"/>
        </w:rPr>
        <w:t>14．服务承诺及售后服务机构、人员的情况介绍</w:t>
      </w:r>
    </w:p>
    <w:p>
      <w:pPr>
        <w:spacing w:line="400" w:lineRule="exact"/>
        <w:ind w:firstLine="480" w:firstLineChars="200"/>
        <w:jc w:val="left"/>
        <w:rPr>
          <w:color w:val="auto"/>
          <w:sz w:val="24"/>
          <w:szCs w:val="24"/>
          <w:highlight w:val="none"/>
        </w:rPr>
      </w:pPr>
      <w:r>
        <w:rPr>
          <w:rFonts w:hint="eastAsia"/>
          <w:color w:val="auto"/>
          <w:sz w:val="24"/>
          <w:szCs w:val="24"/>
          <w:highlight w:val="none"/>
        </w:rPr>
        <w:t>14.1投标人的服务承诺应按不低于招标文件中商务要求的标准。</w:t>
      </w:r>
    </w:p>
    <w:p>
      <w:pPr>
        <w:spacing w:line="400" w:lineRule="exact"/>
        <w:ind w:firstLine="480" w:firstLineChars="200"/>
        <w:jc w:val="left"/>
        <w:rPr>
          <w:color w:val="auto"/>
          <w:sz w:val="24"/>
          <w:szCs w:val="24"/>
          <w:highlight w:val="none"/>
        </w:rPr>
      </w:pPr>
      <w:r>
        <w:rPr>
          <w:rFonts w:hint="eastAsia"/>
          <w:color w:val="auto"/>
          <w:sz w:val="24"/>
          <w:szCs w:val="24"/>
          <w:highlight w:val="none"/>
        </w:rPr>
        <w:t>14.2提供投标人有关售后服务的管理制度、售后服务机构的分布情况、售后服务、维护人员的数量、素质、技术水平及售后服务的反应能力。</w:t>
      </w:r>
    </w:p>
    <w:p>
      <w:pPr>
        <w:spacing w:line="400" w:lineRule="exact"/>
        <w:ind w:firstLine="560" w:firstLineChars="200"/>
        <w:jc w:val="left"/>
        <w:rPr>
          <w:color w:val="auto"/>
          <w:sz w:val="28"/>
          <w:szCs w:val="28"/>
          <w:highlight w:val="none"/>
        </w:rPr>
      </w:pPr>
      <w:r>
        <w:rPr>
          <w:rFonts w:hint="eastAsia"/>
          <w:color w:val="auto"/>
          <w:sz w:val="28"/>
          <w:szCs w:val="28"/>
          <w:highlight w:val="none"/>
        </w:rPr>
        <w:t>15．投标函和开标一览表</w:t>
      </w:r>
    </w:p>
    <w:p>
      <w:pPr>
        <w:spacing w:line="400" w:lineRule="exact"/>
        <w:ind w:firstLine="482" w:firstLineChars="200"/>
        <w:jc w:val="left"/>
        <w:rPr>
          <w:b/>
          <w:color w:val="auto"/>
          <w:sz w:val="24"/>
          <w:szCs w:val="24"/>
          <w:highlight w:val="none"/>
        </w:rPr>
      </w:pPr>
      <w:r>
        <w:rPr>
          <w:rFonts w:hint="eastAsia"/>
          <w:b/>
          <w:color w:val="auto"/>
          <w:sz w:val="24"/>
          <w:szCs w:val="24"/>
          <w:highlight w:val="none"/>
        </w:rPr>
        <w:t>15.1 投标人应按照招标文件中提供的格式完整、正确填写投标函、开标一览表。</w:t>
      </w:r>
    </w:p>
    <w:p>
      <w:pPr>
        <w:spacing w:line="400" w:lineRule="exact"/>
        <w:ind w:firstLine="482" w:firstLineChars="200"/>
        <w:jc w:val="left"/>
        <w:rPr>
          <w:b/>
          <w:color w:val="auto"/>
          <w:sz w:val="24"/>
          <w:szCs w:val="24"/>
          <w:highlight w:val="none"/>
        </w:rPr>
      </w:pPr>
      <w:r>
        <w:rPr>
          <w:rFonts w:hint="eastAsia"/>
          <w:b/>
          <w:color w:val="auto"/>
          <w:sz w:val="24"/>
          <w:szCs w:val="24"/>
          <w:highlight w:val="none"/>
        </w:rPr>
        <w:t>15.2 开标一览表中的价格应与投标文件中的价格一致，如出现不一致的情况，虽不作为无效投标处理，但评标时一律按开标一览表中价格为准。</w:t>
      </w:r>
    </w:p>
    <w:p>
      <w:pPr>
        <w:spacing w:line="400" w:lineRule="exact"/>
        <w:ind w:firstLine="560" w:firstLineChars="200"/>
        <w:jc w:val="left"/>
        <w:rPr>
          <w:color w:val="auto"/>
          <w:sz w:val="28"/>
          <w:szCs w:val="28"/>
          <w:highlight w:val="none"/>
        </w:rPr>
      </w:pPr>
      <w:r>
        <w:rPr>
          <w:rFonts w:hint="eastAsia"/>
          <w:color w:val="auto"/>
          <w:sz w:val="28"/>
          <w:szCs w:val="28"/>
          <w:highlight w:val="none"/>
        </w:rPr>
        <w:t>16．投标保证金</w:t>
      </w:r>
    </w:p>
    <w:p>
      <w:pPr>
        <w:snapToGrid w:val="0"/>
        <w:spacing w:line="400" w:lineRule="exact"/>
        <w:ind w:firstLine="480" w:firstLineChars="200"/>
        <w:rPr>
          <w:rFonts w:ascii="宋体" w:hAnsi="宋体"/>
          <w:color w:val="auto"/>
          <w:sz w:val="24"/>
          <w:szCs w:val="24"/>
          <w:highlight w:val="none"/>
        </w:rPr>
      </w:pPr>
      <w:r>
        <w:rPr>
          <w:rFonts w:hint="eastAsia" w:ascii="宋体" w:hAnsi="宋体"/>
          <w:bCs/>
          <w:color w:val="auto"/>
          <w:sz w:val="24"/>
          <w:szCs w:val="24"/>
          <w:highlight w:val="none"/>
        </w:rPr>
        <w:t>16.1本项目不收取投标保证金。招标文件中涉及投标保证金的事项，均按免收投标保证金执行</w:t>
      </w:r>
      <w:r>
        <w:rPr>
          <w:rFonts w:hint="eastAsia" w:ascii="宋体" w:hAnsi="宋体"/>
          <w:color w:val="auto"/>
          <w:sz w:val="24"/>
          <w:szCs w:val="24"/>
          <w:highlight w:val="none"/>
        </w:rPr>
        <w:t>。</w:t>
      </w:r>
    </w:p>
    <w:p>
      <w:pPr>
        <w:spacing w:line="400" w:lineRule="exact"/>
        <w:ind w:firstLine="480" w:firstLineChars="200"/>
        <w:jc w:val="left"/>
        <w:rPr>
          <w:color w:val="auto"/>
          <w:sz w:val="24"/>
          <w:szCs w:val="24"/>
          <w:highlight w:val="none"/>
        </w:rPr>
      </w:pPr>
      <w:r>
        <w:rPr>
          <w:rFonts w:hint="eastAsia"/>
          <w:color w:val="auto"/>
          <w:sz w:val="24"/>
          <w:szCs w:val="24"/>
          <w:highlight w:val="none"/>
        </w:rPr>
        <w:t>16.2 下列任何情况发生时，投标保证金将被没收：</w:t>
      </w:r>
    </w:p>
    <w:p>
      <w:pPr>
        <w:spacing w:line="400" w:lineRule="exact"/>
        <w:ind w:firstLine="480" w:firstLineChars="200"/>
        <w:jc w:val="left"/>
        <w:rPr>
          <w:color w:val="auto"/>
          <w:sz w:val="24"/>
          <w:szCs w:val="24"/>
          <w:highlight w:val="none"/>
        </w:rPr>
      </w:pPr>
      <w:r>
        <w:rPr>
          <w:rFonts w:hint="eastAsia"/>
          <w:color w:val="auto"/>
          <w:sz w:val="24"/>
          <w:szCs w:val="24"/>
          <w:highlight w:val="none"/>
        </w:rPr>
        <w:t>（1）投标人在投标有效期内撤回其投标；</w:t>
      </w:r>
    </w:p>
    <w:p>
      <w:pPr>
        <w:spacing w:line="400" w:lineRule="exact"/>
        <w:ind w:firstLine="480" w:firstLineChars="200"/>
        <w:jc w:val="left"/>
        <w:rPr>
          <w:color w:val="auto"/>
          <w:sz w:val="24"/>
          <w:szCs w:val="24"/>
          <w:highlight w:val="none"/>
        </w:rPr>
      </w:pPr>
      <w:r>
        <w:rPr>
          <w:rFonts w:hint="eastAsia"/>
          <w:color w:val="auto"/>
          <w:sz w:val="24"/>
          <w:szCs w:val="24"/>
          <w:highlight w:val="none"/>
        </w:rPr>
        <w:t>（2）投标人提供的有关资料、资格证明文件被确认是不真实的；</w:t>
      </w:r>
    </w:p>
    <w:p>
      <w:pPr>
        <w:spacing w:line="400" w:lineRule="exact"/>
        <w:ind w:firstLine="480" w:firstLineChars="200"/>
        <w:jc w:val="left"/>
        <w:rPr>
          <w:color w:val="auto"/>
          <w:sz w:val="24"/>
          <w:szCs w:val="24"/>
          <w:highlight w:val="none"/>
        </w:rPr>
      </w:pPr>
      <w:r>
        <w:rPr>
          <w:rFonts w:hint="eastAsia"/>
          <w:color w:val="auto"/>
          <w:sz w:val="24"/>
          <w:szCs w:val="24"/>
          <w:highlight w:val="none"/>
        </w:rPr>
        <w:t>（3）投标人之间被证实有串通（统一哄抬价格）、欺诈行为；</w:t>
      </w:r>
    </w:p>
    <w:p>
      <w:pPr>
        <w:spacing w:line="400" w:lineRule="exact"/>
        <w:ind w:firstLine="480" w:firstLineChars="200"/>
        <w:jc w:val="left"/>
        <w:rPr>
          <w:color w:val="auto"/>
          <w:sz w:val="24"/>
          <w:szCs w:val="24"/>
          <w:highlight w:val="none"/>
        </w:rPr>
      </w:pPr>
      <w:r>
        <w:rPr>
          <w:rFonts w:hint="eastAsia"/>
          <w:color w:val="auto"/>
          <w:sz w:val="24"/>
          <w:szCs w:val="24"/>
          <w:highlight w:val="none"/>
        </w:rPr>
        <w:t>（4）投标人被证明有妨碍其他人公平竞争、损害采购人或者其他投标人合法权益的；</w:t>
      </w:r>
    </w:p>
    <w:p>
      <w:pPr>
        <w:spacing w:line="400" w:lineRule="exact"/>
        <w:ind w:firstLine="480" w:firstLineChars="200"/>
        <w:jc w:val="left"/>
        <w:rPr>
          <w:color w:val="auto"/>
          <w:sz w:val="24"/>
          <w:szCs w:val="24"/>
          <w:highlight w:val="none"/>
        </w:rPr>
      </w:pPr>
      <w:r>
        <w:rPr>
          <w:rFonts w:hint="eastAsia"/>
          <w:color w:val="auto"/>
          <w:sz w:val="24"/>
          <w:szCs w:val="24"/>
          <w:highlight w:val="none"/>
        </w:rPr>
        <w:t>（5）中标人在规定期限内未能根据规定签订合同的；</w:t>
      </w:r>
    </w:p>
    <w:p>
      <w:pPr>
        <w:spacing w:line="400" w:lineRule="exact"/>
        <w:ind w:firstLine="480" w:firstLineChars="200"/>
        <w:jc w:val="left"/>
        <w:rPr>
          <w:color w:val="auto"/>
          <w:sz w:val="24"/>
          <w:szCs w:val="24"/>
          <w:highlight w:val="none"/>
        </w:rPr>
      </w:pPr>
      <w:r>
        <w:rPr>
          <w:rFonts w:hint="eastAsia"/>
          <w:color w:val="auto"/>
          <w:sz w:val="24"/>
          <w:szCs w:val="24"/>
          <w:highlight w:val="none"/>
        </w:rPr>
        <w:t>（6）中标人在规定期限内不同意交纳履约保证金；</w:t>
      </w:r>
    </w:p>
    <w:p>
      <w:pPr>
        <w:spacing w:line="400" w:lineRule="exact"/>
        <w:ind w:firstLine="480" w:firstLineChars="200"/>
        <w:jc w:val="left"/>
        <w:rPr>
          <w:color w:val="auto"/>
          <w:sz w:val="24"/>
          <w:szCs w:val="24"/>
          <w:highlight w:val="none"/>
        </w:rPr>
      </w:pPr>
      <w:r>
        <w:rPr>
          <w:rFonts w:hint="eastAsia"/>
          <w:color w:val="auto"/>
          <w:sz w:val="24"/>
          <w:szCs w:val="24"/>
          <w:highlight w:val="none"/>
        </w:rPr>
        <w:t>（7）中标人未能在规定期限内完工的，将终止合同，没收履约保证金。</w:t>
      </w:r>
    </w:p>
    <w:p>
      <w:pPr>
        <w:spacing w:line="400" w:lineRule="exact"/>
        <w:ind w:firstLine="560" w:firstLineChars="200"/>
        <w:jc w:val="left"/>
        <w:rPr>
          <w:color w:val="auto"/>
          <w:sz w:val="28"/>
          <w:szCs w:val="28"/>
          <w:highlight w:val="none"/>
        </w:rPr>
      </w:pPr>
      <w:r>
        <w:rPr>
          <w:rFonts w:hint="eastAsia"/>
          <w:color w:val="auto"/>
          <w:sz w:val="28"/>
          <w:szCs w:val="28"/>
          <w:highlight w:val="none"/>
        </w:rPr>
        <w:t>17．投标有效期</w:t>
      </w:r>
    </w:p>
    <w:p>
      <w:pPr>
        <w:spacing w:line="400" w:lineRule="exact"/>
        <w:ind w:firstLine="480" w:firstLineChars="200"/>
        <w:jc w:val="left"/>
        <w:rPr>
          <w:color w:val="auto"/>
          <w:sz w:val="24"/>
          <w:szCs w:val="24"/>
          <w:highlight w:val="none"/>
        </w:rPr>
      </w:pPr>
      <w:r>
        <w:rPr>
          <w:rFonts w:hint="eastAsia"/>
          <w:color w:val="auto"/>
          <w:sz w:val="24"/>
          <w:szCs w:val="24"/>
          <w:highlight w:val="none"/>
        </w:rPr>
        <w:t>17.1 投标有效期为采购人规定的开标之日后90日历日。投标有效期比规定短的将被视为非响应性投标而予以拒绝。</w:t>
      </w:r>
    </w:p>
    <w:p>
      <w:pPr>
        <w:spacing w:line="400" w:lineRule="exact"/>
        <w:ind w:firstLine="480" w:firstLineChars="200"/>
        <w:jc w:val="left"/>
        <w:rPr>
          <w:color w:val="auto"/>
          <w:sz w:val="24"/>
          <w:szCs w:val="24"/>
          <w:highlight w:val="none"/>
        </w:rPr>
      </w:pPr>
      <w:r>
        <w:rPr>
          <w:rFonts w:hint="eastAsia"/>
          <w:color w:val="auto"/>
          <w:sz w:val="24"/>
          <w:szCs w:val="24"/>
          <w:highlight w:val="none"/>
        </w:rPr>
        <w:t>17.2 在特殊情况下，采购人于原投标有效期满之前，可向投标人提出延长投标有效期的要求。这种要求与答复均应采用书面形式。投标人可以拒绝采购人的这一要求而放弃投标。同意延长投标有效期的投标人既不能要求也不允许修改其投标文件。第16条有关投标保证金的没收和退还的规定在延长期内继续有效，同时受投标有效期约束的所有权利与义务均延长至新的有效期。</w:t>
      </w:r>
    </w:p>
    <w:p>
      <w:pPr>
        <w:spacing w:line="400" w:lineRule="exact"/>
        <w:ind w:firstLine="560" w:firstLineChars="200"/>
        <w:jc w:val="left"/>
        <w:rPr>
          <w:color w:val="auto"/>
          <w:sz w:val="28"/>
          <w:szCs w:val="28"/>
          <w:highlight w:val="none"/>
        </w:rPr>
      </w:pPr>
      <w:r>
        <w:rPr>
          <w:rFonts w:hint="eastAsia"/>
          <w:color w:val="auto"/>
          <w:sz w:val="28"/>
          <w:szCs w:val="28"/>
          <w:highlight w:val="none"/>
        </w:rPr>
        <w:t>18．投标文件份数和签署</w:t>
      </w:r>
    </w:p>
    <w:p>
      <w:pPr>
        <w:spacing w:line="400" w:lineRule="exact"/>
        <w:ind w:firstLine="480" w:firstLineChars="200"/>
        <w:jc w:val="left"/>
        <w:rPr>
          <w:color w:val="auto"/>
          <w:sz w:val="24"/>
          <w:szCs w:val="24"/>
          <w:highlight w:val="none"/>
        </w:rPr>
      </w:pPr>
      <w:r>
        <w:rPr>
          <w:rFonts w:hint="eastAsia"/>
          <w:color w:val="auto"/>
          <w:sz w:val="24"/>
          <w:szCs w:val="24"/>
          <w:highlight w:val="none"/>
        </w:rPr>
        <w:t>18.1 投标人应严格按照招标公告要求的份数准备投标文件，每份投标文件须清楚地标明“正本”或“副本”字样。一旦正本和副本不符，以正本为准。</w:t>
      </w:r>
    </w:p>
    <w:p>
      <w:pPr>
        <w:spacing w:line="400" w:lineRule="exact"/>
        <w:ind w:firstLine="480" w:firstLineChars="200"/>
        <w:jc w:val="left"/>
        <w:rPr>
          <w:color w:val="auto"/>
          <w:sz w:val="24"/>
          <w:szCs w:val="24"/>
          <w:highlight w:val="none"/>
        </w:rPr>
      </w:pPr>
      <w:r>
        <w:rPr>
          <w:rFonts w:hint="eastAsia"/>
          <w:color w:val="auto"/>
          <w:sz w:val="24"/>
          <w:szCs w:val="24"/>
          <w:highlight w:val="none"/>
        </w:rPr>
        <w:t>18.2 投标文件的正本和所有的副本均需打印或复印，</w:t>
      </w:r>
      <w:r>
        <w:rPr>
          <w:rFonts w:hint="eastAsia"/>
          <w:b/>
          <w:color w:val="auto"/>
          <w:sz w:val="24"/>
          <w:szCs w:val="24"/>
          <w:highlight w:val="none"/>
        </w:rPr>
        <w:t>正本由投标人法定代表人或其授权委托人（即代理人）按招标文件要求签字或盖章。</w:t>
      </w:r>
      <w:r>
        <w:rPr>
          <w:rFonts w:hint="eastAsia"/>
          <w:color w:val="auto"/>
          <w:sz w:val="24"/>
          <w:szCs w:val="24"/>
          <w:highlight w:val="none"/>
        </w:rPr>
        <w:t>授权委托人（即代理人）须将法定代表人以书面形式出具的“法定代表人授权委托书”（原件）附在正本投标文件中。</w:t>
      </w:r>
    </w:p>
    <w:p>
      <w:pPr>
        <w:spacing w:line="400" w:lineRule="exact"/>
        <w:ind w:firstLine="480" w:firstLineChars="200"/>
        <w:jc w:val="left"/>
        <w:rPr>
          <w:color w:val="auto"/>
          <w:sz w:val="24"/>
          <w:szCs w:val="24"/>
          <w:highlight w:val="none"/>
        </w:rPr>
      </w:pPr>
      <w:r>
        <w:rPr>
          <w:rFonts w:hint="eastAsia"/>
          <w:color w:val="auto"/>
          <w:sz w:val="24"/>
          <w:szCs w:val="24"/>
          <w:highlight w:val="none"/>
        </w:rPr>
        <w:t>18.3 除投标人对错处做必要修改外，投标文件不得行间插字、涂改或增删。如有修改错漏处，必须由投标文件签署人签字或盖章。</w:t>
      </w:r>
    </w:p>
    <w:p>
      <w:pPr>
        <w:spacing w:line="400" w:lineRule="exact"/>
        <w:ind w:firstLine="560" w:firstLineChars="200"/>
        <w:jc w:val="left"/>
        <w:rPr>
          <w:color w:val="auto"/>
          <w:sz w:val="28"/>
          <w:szCs w:val="28"/>
          <w:highlight w:val="none"/>
        </w:rPr>
      </w:pPr>
      <w:r>
        <w:rPr>
          <w:rFonts w:hint="eastAsia"/>
          <w:color w:val="auto"/>
          <w:sz w:val="28"/>
          <w:szCs w:val="28"/>
          <w:highlight w:val="none"/>
        </w:rPr>
        <w:t>19．投标文件的密封和标记</w:t>
      </w:r>
    </w:p>
    <w:p>
      <w:pPr>
        <w:spacing w:line="400" w:lineRule="exact"/>
        <w:ind w:firstLine="480" w:firstLineChars="200"/>
        <w:jc w:val="left"/>
        <w:rPr>
          <w:color w:val="auto"/>
          <w:sz w:val="24"/>
          <w:szCs w:val="24"/>
          <w:highlight w:val="none"/>
        </w:rPr>
      </w:pPr>
      <w:r>
        <w:rPr>
          <w:rFonts w:hint="eastAsia"/>
          <w:color w:val="auto"/>
          <w:sz w:val="24"/>
          <w:szCs w:val="24"/>
          <w:highlight w:val="none"/>
        </w:rPr>
        <w:t>19.1投标人应将投标文件正本和所有副本密封，不符合本条规定的投标将被拒绝或做无效投标处理。</w:t>
      </w:r>
    </w:p>
    <w:p>
      <w:pPr>
        <w:spacing w:line="400" w:lineRule="exact"/>
        <w:ind w:firstLine="480" w:firstLineChars="200"/>
        <w:jc w:val="left"/>
        <w:rPr>
          <w:color w:val="auto"/>
          <w:sz w:val="24"/>
          <w:szCs w:val="24"/>
          <w:highlight w:val="none"/>
        </w:rPr>
      </w:pPr>
      <w:r>
        <w:rPr>
          <w:rFonts w:hint="eastAsia"/>
          <w:color w:val="auto"/>
          <w:sz w:val="24"/>
          <w:szCs w:val="24"/>
          <w:highlight w:val="none"/>
        </w:rPr>
        <w:t>19.2 密封的投标文件应：</w:t>
      </w:r>
    </w:p>
    <w:p>
      <w:pPr>
        <w:spacing w:line="400" w:lineRule="exact"/>
        <w:ind w:firstLine="480" w:firstLineChars="200"/>
        <w:jc w:val="left"/>
        <w:rPr>
          <w:color w:val="auto"/>
          <w:sz w:val="24"/>
          <w:szCs w:val="24"/>
          <w:highlight w:val="none"/>
        </w:rPr>
      </w:pPr>
      <w:r>
        <w:rPr>
          <w:rFonts w:hint="eastAsia"/>
          <w:color w:val="auto"/>
          <w:sz w:val="24"/>
          <w:szCs w:val="24"/>
          <w:highlight w:val="none"/>
        </w:rPr>
        <w:t>(1) 注明投标人名称，如因标注不清而产生的后果由投标人自负。按招标公告中注明的地址送达；</w:t>
      </w:r>
    </w:p>
    <w:p>
      <w:pPr>
        <w:spacing w:line="400" w:lineRule="exact"/>
        <w:ind w:firstLine="480" w:firstLineChars="200"/>
        <w:jc w:val="left"/>
        <w:rPr>
          <w:color w:val="auto"/>
          <w:sz w:val="24"/>
          <w:szCs w:val="24"/>
          <w:highlight w:val="none"/>
        </w:rPr>
      </w:pPr>
      <w:r>
        <w:rPr>
          <w:rFonts w:hint="eastAsia"/>
          <w:color w:val="auto"/>
          <w:sz w:val="24"/>
          <w:szCs w:val="24"/>
          <w:highlight w:val="none"/>
        </w:rPr>
        <w:t>(2) 注明投标项目名称。</w:t>
      </w:r>
    </w:p>
    <w:p>
      <w:pPr>
        <w:spacing w:line="400" w:lineRule="exact"/>
        <w:ind w:firstLine="480" w:firstLineChars="200"/>
        <w:jc w:val="left"/>
        <w:rPr>
          <w:color w:val="auto"/>
          <w:sz w:val="24"/>
          <w:szCs w:val="24"/>
          <w:highlight w:val="none"/>
        </w:rPr>
      </w:pPr>
      <w:r>
        <w:rPr>
          <w:rFonts w:hint="eastAsia"/>
          <w:color w:val="auto"/>
          <w:sz w:val="24"/>
          <w:szCs w:val="24"/>
          <w:highlight w:val="none"/>
        </w:rPr>
        <w:t>19.3 如果投标文件被宣布为“迟到”投标时，应原封退回。</w:t>
      </w:r>
    </w:p>
    <w:p>
      <w:pPr>
        <w:spacing w:line="400" w:lineRule="exact"/>
        <w:ind w:firstLine="480" w:firstLineChars="200"/>
        <w:jc w:val="left"/>
        <w:rPr>
          <w:color w:val="auto"/>
          <w:sz w:val="24"/>
          <w:szCs w:val="24"/>
          <w:highlight w:val="none"/>
        </w:rPr>
      </w:pPr>
      <w:r>
        <w:rPr>
          <w:rFonts w:hint="eastAsia"/>
          <w:color w:val="auto"/>
          <w:sz w:val="24"/>
          <w:szCs w:val="24"/>
          <w:highlight w:val="none"/>
        </w:rPr>
        <w:t>19.4 未按要求密封和加盖公章，采购人对误投或过早启封概不负责。对由此造成提前开封的投标文件，采购人将予以拒绝，作无效投标处理。</w:t>
      </w:r>
    </w:p>
    <w:p>
      <w:pPr>
        <w:spacing w:line="400" w:lineRule="exact"/>
        <w:ind w:firstLine="480" w:firstLineChars="200"/>
        <w:jc w:val="left"/>
        <w:rPr>
          <w:color w:val="auto"/>
          <w:sz w:val="24"/>
          <w:szCs w:val="24"/>
          <w:highlight w:val="none"/>
        </w:rPr>
      </w:pPr>
      <w:r>
        <w:rPr>
          <w:rFonts w:hint="eastAsia"/>
          <w:color w:val="auto"/>
          <w:sz w:val="24"/>
          <w:szCs w:val="24"/>
          <w:highlight w:val="none"/>
        </w:rPr>
        <w:t>19.5不论投标人中标与否，投标文件均不退回。</w:t>
      </w:r>
    </w:p>
    <w:p>
      <w:pPr>
        <w:spacing w:line="400" w:lineRule="exact"/>
        <w:ind w:firstLine="643" w:firstLineChars="200"/>
        <w:jc w:val="left"/>
        <w:rPr>
          <w:b/>
          <w:color w:val="auto"/>
          <w:sz w:val="32"/>
          <w:szCs w:val="32"/>
          <w:highlight w:val="none"/>
        </w:rPr>
      </w:pPr>
      <w:r>
        <w:rPr>
          <w:rFonts w:hint="eastAsia"/>
          <w:b/>
          <w:color w:val="auto"/>
          <w:sz w:val="32"/>
          <w:szCs w:val="32"/>
          <w:highlight w:val="none"/>
        </w:rPr>
        <w:t>四、投标文件的递交</w:t>
      </w:r>
    </w:p>
    <w:p>
      <w:pPr>
        <w:spacing w:line="400" w:lineRule="exact"/>
        <w:ind w:firstLine="560" w:firstLineChars="200"/>
        <w:jc w:val="left"/>
        <w:rPr>
          <w:color w:val="auto"/>
          <w:sz w:val="28"/>
          <w:szCs w:val="28"/>
          <w:highlight w:val="none"/>
        </w:rPr>
      </w:pPr>
      <w:r>
        <w:rPr>
          <w:rFonts w:hint="eastAsia"/>
          <w:color w:val="auto"/>
          <w:sz w:val="28"/>
          <w:szCs w:val="28"/>
          <w:highlight w:val="none"/>
        </w:rPr>
        <w:t>20．投标截止日期</w:t>
      </w:r>
    </w:p>
    <w:p>
      <w:pPr>
        <w:spacing w:line="400" w:lineRule="exact"/>
        <w:ind w:firstLine="480" w:firstLineChars="200"/>
        <w:jc w:val="left"/>
        <w:rPr>
          <w:color w:val="auto"/>
          <w:sz w:val="24"/>
          <w:szCs w:val="24"/>
          <w:highlight w:val="none"/>
        </w:rPr>
      </w:pPr>
      <w:r>
        <w:rPr>
          <w:rFonts w:hint="eastAsia"/>
          <w:color w:val="auto"/>
          <w:sz w:val="24"/>
          <w:szCs w:val="24"/>
          <w:highlight w:val="none"/>
        </w:rPr>
        <w:t>20.1 采购人收到投标文件的时间不得迟于招标公告中规定的截止时间。</w:t>
      </w:r>
    </w:p>
    <w:p>
      <w:pPr>
        <w:spacing w:line="400" w:lineRule="exact"/>
        <w:ind w:firstLine="480" w:firstLineChars="200"/>
        <w:jc w:val="left"/>
        <w:rPr>
          <w:color w:val="auto"/>
          <w:sz w:val="24"/>
          <w:szCs w:val="24"/>
          <w:highlight w:val="none"/>
        </w:rPr>
      </w:pPr>
      <w:r>
        <w:rPr>
          <w:rFonts w:hint="eastAsia"/>
          <w:color w:val="auto"/>
          <w:sz w:val="24"/>
          <w:szCs w:val="24"/>
          <w:highlight w:val="none"/>
        </w:rPr>
        <w:t>20.2 采购人可以按照规定，通过修改招标文件有权酌情延长投标截止日期，在此情况下，投标人的所有权利和义务以及投标人受制的截止日期均应以延长后新的截止日期为准。</w:t>
      </w:r>
    </w:p>
    <w:p>
      <w:pPr>
        <w:spacing w:line="400" w:lineRule="exact"/>
        <w:ind w:firstLine="560" w:firstLineChars="200"/>
        <w:jc w:val="left"/>
        <w:rPr>
          <w:color w:val="auto"/>
          <w:sz w:val="28"/>
          <w:szCs w:val="28"/>
          <w:highlight w:val="none"/>
        </w:rPr>
      </w:pPr>
      <w:r>
        <w:rPr>
          <w:rFonts w:hint="eastAsia"/>
          <w:color w:val="auto"/>
          <w:sz w:val="28"/>
          <w:szCs w:val="28"/>
          <w:highlight w:val="none"/>
        </w:rPr>
        <w:t>21．迟交的投标文件</w:t>
      </w:r>
    </w:p>
    <w:p>
      <w:pPr>
        <w:spacing w:line="400" w:lineRule="exact"/>
        <w:ind w:firstLine="480" w:firstLineChars="200"/>
        <w:jc w:val="left"/>
        <w:rPr>
          <w:color w:val="auto"/>
          <w:sz w:val="24"/>
          <w:szCs w:val="24"/>
          <w:highlight w:val="none"/>
        </w:rPr>
      </w:pPr>
      <w:r>
        <w:rPr>
          <w:rFonts w:hint="eastAsia"/>
          <w:color w:val="auto"/>
          <w:sz w:val="24"/>
          <w:szCs w:val="24"/>
          <w:highlight w:val="none"/>
        </w:rPr>
        <w:t>21.1 采购人将拒绝并原封退回在其规定的投标截止时间后收到的任何投标文件。</w:t>
      </w:r>
    </w:p>
    <w:p>
      <w:pPr>
        <w:spacing w:line="400" w:lineRule="exact"/>
        <w:ind w:firstLine="560" w:firstLineChars="200"/>
        <w:jc w:val="left"/>
        <w:rPr>
          <w:color w:val="auto"/>
          <w:sz w:val="28"/>
          <w:szCs w:val="28"/>
          <w:highlight w:val="none"/>
        </w:rPr>
      </w:pPr>
      <w:r>
        <w:rPr>
          <w:rFonts w:hint="eastAsia"/>
          <w:color w:val="auto"/>
          <w:sz w:val="28"/>
          <w:szCs w:val="28"/>
          <w:highlight w:val="none"/>
        </w:rPr>
        <w:t>22．投标文件的修改和撤回</w:t>
      </w:r>
    </w:p>
    <w:p>
      <w:pPr>
        <w:spacing w:line="400" w:lineRule="exact"/>
        <w:ind w:firstLine="480" w:firstLineChars="200"/>
        <w:jc w:val="left"/>
        <w:rPr>
          <w:color w:val="auto"/>
          <w:sz w:val="24"/>
          <w:szCs w:val="24"/>
          <w:highlight w:val="none"/>
        </w:rPr>
      </w:pPr>
      <w:r>
        <w:rPr>
          <w:rFonts w:hint="eastAsia"/>
          <w:color w:val="auto"/>
          <w:sz w:val="24"/>
          <w:szCs w:val="24"/>
          <w:highlight w:val="none"/>
        </w:rPr>
        <w:t>22.1 投标人在递交投标文件后，可以修改或撤回其投标文件，但这种修改和撤回，必须在规定的投标截止时间前，以书面形式通知采购人，修改或撤回其投标文件。</w:t>
      </w:r>
    </w:p>
    <w:p>
      <w:pPr>
        <w:spacing w:line="400" w:lineRule="exact"/>
        <w:ind w:firstLine="480" w:firstLineChars="200"/>
        <w:jc w:val="left"/>
        <w:rPr>
          <w:color w:val="auto"/>
          <w:sz w:val="24"/>
          <w:szCs w:val="24"/>
          <w:highlight w:val="none"/>
        </w:rPr>
      </w:pPr>
      <w:r>
        <w:rPr>
          <w:rFonts w:hint="eastAsia"/>
          <w:color w:val="auto"/>
          <w:sz w:val="24"/>
          <w:szCs w:val="24"/>
          <w:highlight w:val="none"/>
        </w:rPr>
        <w:t>22.2 投标人的修改或撤回文件应按规定进行编制、密封、标记和发送，并应在封套上加注“修改”和“撤回”字样。修改文件必须在投标截止时间前送达采购人指定地点。</w:t>
      </w:r>
    </w:p>
    <w:p>
      <w:pPr>
        <w:spacing w:line="400" w:lineRule="exact"/>
        <w:ind w:firstLine="480" w:firstLineChars="200"/>
        <w:jc w:val="left"/>
        <w:rPr>
          <w:color w:val="auto"/>
          <w:sz w:val="24"/>
          <w:szCs w:val="24"/>
          <w:highlight w:val="none"/>
        </w:rPr>
      </w:pPr>
      <w:r>
        <w:rPr>
          <w:rFonts w:hint="eastAsia"/>
          <w:color w:val="auto"/>
          <w:sz w:val="24"/>
          <w:szCs w:val="24"/>
          <w:highlight w:val="none"/>
        </w:rPr>
        <w:t>22.3 在投标截止时间之后，投标人不得对其投标文件作任何修改。</w:t>
      </w:r>
    </w:p>
    <w:p>
      <w:pPr>
        <w:spacing w:line="400" w:lineRule="exact"/>
        <w:ind w:firstLine="480" w:firstLineChars="200"/>
        <w:jc w:val="left"/>
        <w:rPr>
          <w:b/>
          <w:color w:val="auto"/>
          <w:sz w:val="24"/>
          <w:szCs w:val="24"/>
          <w:highlight w:val="none"/>
        </w:rPr>
      </w:pPr>
      <w:r>
        <w:rPr>
          <w:rFonts w:hint="eastAsia"/>
          <w:color w:val="auto"/>
          <w:sz w:val="24"/>
          <w:szCs w:val="24"/>
          <w:highlight w:val="none"/>
        </w:rPr>
        <w:t>22.4 在投标截止时间至招标文件中规定的投标有效期满之间的这段时间内，投标人不得撤回其投标，否则其投标保证金将被没收。</w:t>
      </w:r>
    </w:p>
    <w:p>
      <w:pPr>
        <w:spacing w:line="400" w:lineRule="exact"/>
        <w:ind w:firstLine="643" w:firstLineChars="200"/>
        <w:jc w:val="left"/>
        <w:rPr>
          <w:b/>
          <w:color w:val="auto"/>
          <w:sz w:val="32"/>
          <w:szCs w:val="32"/>
          <w:highlight w:val="none"/>
        </w:rPr>
      </w:pPr>
      <w:r>
        <w:rPr>
          <w:rFonts w:hint="eastAsia"/>
          <w:b/>
          <w:color w:val="auto"/>
          <w:sz w:val="32"/>
          <w:szCs w:val="32"/>
          <w:highlight w:val="none"/>
        </w:rPr>
        <w:t>五、开标与评标</w:t>
      </w:r>
    </w:p>
    <w:p>
      <w:pPr>
        <w:spacing w:line="400" w:lineRule="exact"/>
        <w:ind w:firstLine="560" w:firstLineChars="200"/>
        <w:jc w:val="left"/>
        <w:rPr>
          <w:color w:val="auto"/>
          <w:sz w:val="28"/>
          <w:szCs w:val="28"/>
          <w:highlight w:val="none"/>
        </w:rPr>
      </w:pPr>
      <w:r>
        <w:rPr>
          <w:rFonts w:hint="eastAsia"/>
          <w:color w:val="auto"/>
          <w:sz w:val="28"/>
          <w:szCs w:val="28"/>
          <w:highlight w:val="none"/>
        </w:rPr>
        <w:t>23．开标</w:t>
      </w:r>
    </w:p>
    <w:p>
      <w:pPr>
        <w:spacing w:line="400" w:lineRule="exact"/>
        <w:ind w:firstLine="480" w:firstLineChars="200"/>
        <w:jc w:val="left"/>
        <w:rPr>
          <w:color w:val="auto"/>
          <w:sz w:val="24"/>
          <w:szCs w:val="24"/>
          <w:highlight w:val="none"/>
        </w:rPr>
      </w:pPr>
      <w:r>
        <w:rPr>
          <w:rFonts w:hint="eastAsia"/>
          <w:color w:val="auto"/>
          <w:sz w:val="24"/>
          <w:szCs w:val="24"/>
          <w:highlight w:val="none"/>
        </w:rPr>
        <w:t>23.1 采购人将在招标公告中规定的时间和地点组织公开开标。投标人的法定代表人或其授权委托人（即代理人）须携带有效的身份证原件（不要密封在投标文件中）准时参加开标，参加开标的代表需签名以证明其出席。</w:t>
      </w:r>
    </w:p>
    <w:p>
      <w:pPr>
        <w:spacing w:line="400" w:lineRule="exact"/>
        <w:ind w:firstLine="480" w:firstLineChars="200"/>
        <w:jc w:val="left"/>
        <w:rPr>
          <w:color w:val="auto"/>
          <w:sz w:val="24"/>
          <w:szCs w:val="24"/>
          <w:highlight w:val="none"/>
        </w:rPr>
      </w:pPr>
      <w:r>
        <w:rPr>
          <w:rFonts w:hint="eastAsia"/>
          <w:color w:val="auto"/>
          <w:sz w:val="24"/>
          <w:szCs w:val="24"/>
          <w:highlight w:val="none"/>
        </w:rPr>
        <w:t>23.2 开标仪式由采购人主持，采购人代表、监督代表、投标人代表以及有关工作人员参加。</w:t>
      </w:r>
    </w:p>
    <w:p>
      <w:pPr>
        <w:spacing w:line="400" w:lineRule="exact"/>
        <w:ind w:firstLine="480" w:firstLineChars="200"/>
        <w:jc w:val="left"/>
        <w:rPr>
          <w:color w:val="auto"/>
          <w:sz w:val="24"/>
          <w:szCs w:val="24"/>
          <w:highlight w:val="none"/>
        </w:rPr>
      </w:pPr>
      <w:r>
        <w:rPr>
          <w:rFonts w:hint="eastAsia"/>
          <w:color w:val="auto"/>
          <w:sz w:val="24"/>
          <w:szCs w:val="24"/>
          <w:highlight w:val="none"/>
        </w:rPr>
        <w:t>23.3 按照规定同意撤回的投标将不予开封。</w:t>
      </w:r>
    </w:p>
    <w:p>
      <w:pPr>
        <w:spacing w:line="400" w:lineRule="exact"/>
        <w:ind w:firstLine="480" w:firstLineChars="200"/>
        <w:jc w:val="left"/>
        <w:rPr>
          <w:color w:val="auto"/>
          <w:sz w:val="24"/>
          <w:szCs w:val="24"/>
          <w:highlight w:val="none"/>
        </w:rPr>
      </w:pPr>
      <w:r>
        <w:rPr>
          <w:rFonts w:hint="eastAsia"/>
          <w:color w:val="auto"/>
          <w:sz w:val="24"/>
          <w:szCs w:val="24"/>
          <w:highlight w:val="none"/>
        </w:rPr>
        <w:t>23.4 开标时请现场监督人员或投标人代表查验投标文件密封情况，确认无误后，采购人当众拆封宣读每份投标文件中“开标一览表”的报价内容，未列入开标一览表的内容一律不在开标时宣读。开标时未宣读的投标报价信息，不得在评标时采用。</w:t>
      </w:r>
    </w:p>
    <w:p>
      <w:pPr>
        <w:spacing w:line="400" w:lineRule="exact"/>
        <w:ind w:firstLine="480" w:firstLineChars="200"/>
        <w:jc w:val="left"/>
        <w:rPr>
          <w:color w:val="auto"/>
          <w:sz w:val="24"/>
          <w:szCs w:val="24"/>
          <w:highlight w:val="none"/>
        </w:rPr>
      </w:pPr>
      <w:r>
        <w:rPr>
          <w:rFonts w:hint="eastAsia"/>
          <w:color w:val="auto"/>
          <w:sz w:val="24"/>
          <w:szCs w:val="24"/>
          <w:highlight w:val="none"/>
        </w:rPr>
        <w:t>23.5采购人将指定专人负责做开标记录并存档备查，开标记录包括在开标时宣读的报价内容。</w:t>
      </w:r>
    </w:p>
    <w:p>
      <w:pPr>
        <w:spacing w:line="400" w:lineRule="exact"/>
        <w:ind w:firstLine="482" w:firstLineChars="200"/>
        <w:jc w:val="left"/>
        <w:rPr>
          <w:b/>
          <w:color w:val="auto"/>
          <w:sz w:val="24"/>
          <w:szCs w:val="24"/>
          <w:highlight w:val="none"/>
        </w:rPr>
      </w:pPr>
      <w:r>
        <w:rPr>
          <w:rFonts w:hint="eastAsia"/>
          <w:b/>
          <w:color w:val="auto"/>
          <w:sz w:val="24"/>
          <w:szCs w:val="24"/>
          <w:highlight w:val="none"/>
        </w:rPr>
        <w:t>23.6投标人在报价时不允许采用选择性报价，否则将被视为无效投标。</w:t>
      </w:r>
    </w:p>
    <w:p>
      <w:pPr>
        <w:spacing w:line="400" w:lineRule="exact"/>
        <w:ind w:firstLine="560" w:firstLineChars="200"/>
        <w:jc w:val="left"/>
        <w:rPr>
          <w:color w:val="auto"/>
          <w:sz w:val="28"/>
          <w:szCs w:val="28"/>
          <w:highlight w:val="none"/>
        </w:rPr>
      </w:pPr>
      <w:r>
        <w:rPr>
          <w:rFonts w:hint="eastAsia"/>
          <w:color w:val="auto"/>
          <w:sz w:val="28"/>
          <w:szCs w:val="28"/>
          <w:highlight w:val="none"/>
        </w:rPr>
        <w:t>24．评标委员会</w:t>
      </w:r>
    </w:p>
    <w:p>
      <w:pPr>
        <w:spacing w:line="400" w:lineRule="exact"/>
        <w:ind w:firstLine="480" w:firstLineChars="200"/>
        <w:jc w:val="left"/>
        <w:rPr>
          <w:color w:val="auto"/>
          <w:sz w:val="24"/>
          <w:szCs w:val="24"/>
          <w:highlight w:val="none"/>
        </w:rPr>
      </w:pPr>
      <w:r>
        <w:rPr>
          <w:rFonts w:hint="eastAsia"/>
          <w:color w:val="auto"/>
          <w:sz w:val="24"/>
          <w:szCs w:val="24"/>
          <w:highlight w:val="none"/>
        </w:rPr>
        <w:t xml:space="preserve"> 24.1 开标后，采购人将立即组织评标委员会（以下简称评委会）进行评标。</w:t>
      </w:r>
    </w:p>
    <w:p>
      <w:pPr>
        <w:spacing w:line="400" w:lineRule="exact"/>
        <w:ind w:firstLine="480" w:firstLineChars="200"/>
        <w:jc w:val="left"/>
        <w:rPr>
          <w:color w:val="auto"/>
          <w:sz w:val="24"/>
          <w:szCs w:val="24"/>
          <w:highlight w:val="none"/>
        </w:rPr>
      </w:pPr>
      <w:r>
        <w:rPr>
          <w:rFonts w:hint="eastAsia"/>
          <w:color w:val="auto"/>
          <w:sz w:val="24"/>
          <w:szCs w:val="24"/>
          <w:highlight w:val="none"/>
        </w:rPr>
        <w:t xml:space="preserve"> 24.2 评委会由专家、采购人代表组成，且人员构成符合政府采购有关规定。</w:t>
      </w:r>
    </w:p>
    <w:p>
      <w:pPr>
        <w:spacing w:line="400" w:lineRule="exact"/>
        <w:ind w:firstLine="480" w:firstLineChars="200"/>
        <w:jc w:val="left"/>
        <w:rPr>
          <w:color w:val="auto"/>
          <w:sz w:val="24"/>
          <w:szCs w:val="24"/>
          <w:highlight w:val="none"/>
        </w:rPr>
      </w:pPr>
      <w:r>
        <w:rPr>
          <w:rFonts w:hint="eastAsia"/>
          <w:color w:val="auto"/>
          <w:sz w:val="24"/>
          <w:szCs w:val="24"/>
          <w:highlight w:val="none"/>
        </w:rPr>
        <w:t xml:space="preserve"> 24.3评委会应以科学、公正的态度参加评审工作并推荐中标候选人或受采购人的委托直接确定中标人。评审专家在评审过程中不受任何干扰，独立、负责地提出评审意见，并对自己的评审意见承担责任。</w:t>
      </w:r>
    </w:p>
    <w:p>
      <w:pPr>
        <w:spacing w:line="400" w:lineRule="exact"/>
        <w:ind w:firstLine="480" w:firstLineChars="200"/>
        <w:jc w:val="left"/>
        <w:rPr>
          <w:color w:val="auto"/>
          <w:sz w:val="24"/>
          <w:szCs w:val="24"/>
          <w:highlight w:val="none"/>
        </w:rPr>
      </w:pPr>
      <w:r>
        <w:rPr>
          <w:rFonts w:hint="eastAsia"/>
          <w:color w:val="auto"/>
          <w:sz w:val="24"/>
          <w:szCs w:val="24"/>
          <w:highlight w:val="none"/>
        </w:rPr>
        <w:t>24.4评委会将对投标人的商业、技术秘密予以保密。</w:t>
      </w:r>
    </w:p>
    <w:p>
      <w:pPr>
        <w:spacing w:line="400" w:lineRule="exact"/>
        <w:ind w:firstLine="560" w:firstLineChars="200"/>
        <w:jc w:val="left"/>
        <w:rPr>
          <w:color w:val="auto"/>
          <w:sz w:val="28"/>
          <w:szCs w:val="28"/>
          <w:highlight w:val="none"/>
        </w:rPr>
      </w:pPr>
      <w:r>
        <w:rPr>
          <w:rFonts w:hint="eastAsia"/>
          <w:color w:val="auto"/>
          <w:sz w:val="28"/>
          <w:szCs w:val="28"/>
          <w:highlight w:val="none"/>
        </w:rPr>
        <w:t>25．评标过程的保密与公正</w:t>
      </w:r>
    </w:p>
    <w:p>
      <w:pPr>
        <w:spacing w:line="400" w:lineRule="exact"/>
        <w:ind w:firstLine="480" w:firstLineChars="200"/>
        <w:jc w:val="left"/>
        <w:rPr>
          <w:color w:val="auto"/>
          <w:sz w:val="24"/>
          <w:szCs w:val="24"/>
          <w:highlight w:val="none"/>
        </w:rPr>
      </w:pPr>
      <w:r>
        <w:rPr>
          <w:rFonts w:hint="eastAsia"/>
          <w:color w:val="auto"/>
          <w:sz w:val="24"/>
          <w:szCs w:val="24"/>
          <w:highlight w:val="none"/>
        </w:rPr>
        <w:t>25.1公开开标后，直至向中标的投标人授予合同时止，凡是与审查、澄清、评价和比较投标的有关资料以及授标建议等，均不得向投标人或与评标无关的其他人员透露。</w:t>
      </w:r>
    </w:p>
    <w:p>
      <w:pPr>
        <w:spacing w:line="400" w:lineRule="exact"/>
        <w:ind w:firstLine="480" w:firstLineChars="200"/>
        <w:jc w:val="left"/>
        <w:rPr>
          <w:color w:val="auto"/>
          <w:sz w:val="24"/>
          <w:szCs w:val="24"/>
          <w:highlight w:val="none"/>
        </w:rPr>
      </w:pPr>
      <w:r>
        <w:rPr>
          <w:rFonts w:hint="eastAsia"/>
          <w:color w:val="auto"/>
          <w:sz w:val="24"/>
          <w:szCs w:val="24"/>
          <w:highlight w:val="none"/>
        </w:rPr>
        <w:t>25.2在评标过程中，如果投标人试图向采购人和参与评标的人员施加任何影响，都将会导致其投标被拒绝。</w:t>
      </w:r>
    </w:p>
    <w:p>
      <w:pPr>
        <w:spacing w:line="400" w:lineRule="exact"/>
        <w:ind w:firstLine="480" w:firstLineChars="200"/>
        <w:jc w:val="left"/>
        <w:rPr>
          <w:color w:val="auto"/>
          <w:sz w:val="24"/>
          <w:szCs w:val="24"/>
          <w:highlight w:val="none"/>
        </w:rPr>
      </w:pPr>
      <w:r>
        <w:rPr>
          <w:rFonts w:hint="eastAsia"/>
          <w:color w:val="auto"/>
          <w:sz w:val="24"/>
          <w:szCs w:val="24"/>
          <w:highlight w:val="none"/>
        </w:rPr>
        <w:t>25.3采购人和评委会不向落标的投标人解释落标原因，也不公布评标过程中的相关细节。</w:t>
      </w:r>
    </w:p>
    <w:p>
      <w:pPr>
        <w:spacing w:line="400" w:lineRule="exact"/>
        <w:ind w:firstLine="482" w:firstLineChars="200"/>
        <w:jc w:val="left"/>
        <w:rPr>
          <w:b/>
          <w:color w:val="auto"/>
          <w:sz w:val="24"/>
          <w:szCs w:val="24"/>
          <w:highlight w:val="none"/>
        </w:rPr>
      </w:pPr>
      <w:r>
        <w:rPr>
          <w:rFonts w:hint="eastAsia"/>
          <w:b/>
          <w:color w:val="auto"/>
          <w:sz w:val="24"/>
          <w:szCs w:val="24"/>
          <w:highlight w:val="none"/>
        </w:rPr>
        <w:t>25.4本项目采用综合评分法，未中标的投标人如需了解自己的评审得分及排序情况，可于中标结果公告期限届满之日起7个工作日内，由其法定代表人或授权代表携带本人有效身份证件到采购人或采购代理机构处登记查询，逾期将不予受理。</w:t>
      </w:r>
    </w:p>
    <w:p>
      <w:pPr>
        <w:spacing w:line="400" w:lineRule="exact"/>
        <w:ind w:firstLine="560" w:firstLineChars="200"/>
        <w:jc w:val="left"/>
        <w:rPr>
          <w:color w:val="auto"/>
          <w:sz w:val="28"/>
          <w:szCs w:val="28"/>
          <w:highlight w:val="none"/>
        </w:rPr>
      </w:pPr>
      <w:r>
        <w:rPr>
          <w:rFonts w:hint="eastAsia"/>
          <w:color w:val="auto"/>
          <w:sz w:val="28"/>
          <w:szCs w:val="28"/>
          <w:highlight w:val="none"/>
        </w:rPr>
        <w:t>26．投标的澄清</w:t>
      </w:r>
    </w:p>
    <w:p>
      <w:pPr>
        <w:spacing w:line="400" w:lineRule="exact"/>
        <w:ind w:firstLine="480" w:firstLineChars="200"/>
        <w:jc w:val="left"/>
        <w:rPr>
          <w:color w:val="auto"/>
          <w:sz w:val="24"/>
          <w:szCs w:val="24"/>
          <w:highlight w:val="none"/>
        </w:rPr>
      </w:pPr>
      <w:r>
        <w:rPr>
          <w:rFonts w:hint="eastAsia"/>
          <w:color w:val="auto"/>
          <w:sz w:val="24"/>
          <w:szCs w:val="24"/>
          <w:highlight w:val="none"/>
        </w:rPr>
        <w:t>26.1评标期间，为有助于对投标文件的审查、评价和比较，评委会有权要求投标人对其投标文件中含义不明确、同类问题表述不一致或者有明显文字和计算错误等内容进行澄清，但并非对每个投标人都作澄清要求。</w:t>
      </w:r>
    </w:p>
    <w:p>
      <w:pPr>
        <w:spacing w:line="400" w:lineRule="exact"/>
        <w:ind w:firstLine="480" w:firstLineChars="200"/>
        <w:jc w:val="left"/>
        <w:rPr>
          <w:color w:val="auto"/>
          <w:sz w:val="24"/>
          <w:szCs w:val="24"/>
          <w:highlight w:val="none"/>
        </w:rPr>
      </w:pPr>
      <w:r>
        <w:rPr>
          <w:rFonts w:hint="eastAsia"/>
          <w:color w:val="auto"/>
          <w:sz w:val="24"/>
          <w:szCs w:val="24"/>
          <w:highlight w:val="none"/>
        </w:rPr>
        <w:t>26.2评委会认为有必要，可要求投标人对某些问题作出必要的澄清、说明和纠正。接到评委会澄清要求的投标人应派人按评委会通知的时间和地点做出书面澄清，书面澄清的内容须由投标人法定代表人或授权委托人（即代理人）签署，并作为投标文件的补充部分，但投标的价格和实质性的内容不得做任何更改，书面澄清的内容不得超出投标文件的范围或者改变投标文件的实质性内容。</w:t>
      </w:r>
    </w:p>
    <w:p>
      <w:pPr>
        <w:spacing w:line="400" w:lineRule="exact"/>
        <w:ind w:firstLine="480" w:firstLineChars="200"/>
        <w:jc w:val="left"/>
        <w:rPr>
          <w:color w:val="auto"/>
          <w:sz w:val="24"/>
          <w:szCs w:val="24"/>
          <w:highlight w:val="none"/>
        </w:rPr>
      </w:pPr>
      <w:r>
        <w:rPr>
          <w:rFonts w:hint="eastAsia"/>
          <w:color w:val="auto"/>
          <w:sz w:val="24"/>
          <w:szCs w:val="24"/>
          <w:highlight w:val="none"/>
        </w:rPr>
        <w:t>26.3 接到评委会澄清要求的投标人如未按规定做出澄清，将视为放弃该权利，其风险由投标人自行承担。</w:t>
      </w:r>
    </w:p>
    <w:p>
      <w:pPr>
        <w:spacing w:line="400" w:lineRule="exact"/>
        <w:ind w:firstLine="480" w:firstLineChars="200"/>
        <w:jc w:val="left"/>
        <w:rPr>
          <w:color w:val="auto"/>
          <w:sz w:val="24"/>
          <w:szCs w:val="24"/>
          <w:highlight w:val="none"/>
        </w:rPr>
      </w:pPr>
      <w:r>
        <w:rPr>
          <w:rFonts w:hint="eastAsia"/>
          <w:color w:val="auto"/>
          <w:sz w:val="24"/>
          <w:szCs w:val="24"/>
          <w:highlight w:val="none"/>
        </w:rPr>
        <w:t>26.4 评委会不接受投标主动提出的澄清。</w:t>
      </w:r>
    </w:p>
    <w:p>
      <w:pPr>
        <w:spacing w:line="400" w:lineRule="exact"/>
        <w:ind w:firstLine="560" w:firstLineChars="200"/>
        <w:jc w:val="left"/>
        <w:rPr>
          <w:color w:val="auto"/>
          <w:sz w:val="28"/>
          <w:szCs w:val="28"/>
          <w:highlight w:val="none"/>
        </w:rPr>
      </w:pPr>
      <w:r>
        <w:rPr>
          <w:rFonts w:hint="eastAsia"/>
          <w:color w:val="auto"/>
          <w:sz w:val="28"/>
          <w:szCs w:val="28"/>
          <w:highlight w:val="none"/>
        </w:rPr>
        <w:t>27．对投标文件的初审</w:t>
      </w:r>
    </w:p>
    <w:p>
      <w:pPr>
        <w:spacing w:line="400" w:lineRule="exact"/>
        <w:ind w:firstLine="480" w:firstLineChars="200"/>
        <w:jc w:val="left"/>
        <w:rPr>
          <w:color w:val="auto"/>
          <w:sz w:val="24"/>
          <w:szCs w:val="24"/>
          <w:highlight w:val="none"/>
        </w:rPr>
      </w:pPr>
      <w:r>
        <w:rPr>
          <w:rFonts w:hint="eastAsia"/>
          <w:color w:val="auto"/>
          <w:sz w:val="24"/>
          <w:szCs w:val="24"/>
          <w:highlight w:val="none"/>
        </w:rPr>
        <w:t>27.1投标文件初审分为资格性检查和符合性检查。</w:t>
      </w:r>
    </w:p>
    <w:p>
      <w:pPr>
        <w:spacing w:line="400" w:lineRule="exact"/>
        <w:ind w:firstLine="480" w:firstLineChars="200"/>
        <w:jc w:val="left"/>
        <w:rPr>
          <w:b/>
          <w:color w:val="auto"/>
          <w:sz w:val="24"/>
          <w:szCs w:val="24"/>
          <w:highlight w:val="none"/>
        </w:rPr>
      </w:pPr>
      <w:r>
        <w:rPr>
          <w:rFonts w:hint="eastAsia"/>
          <w:color w:val="auto"/>
          <w:sz w:val="24"/>
          <w:szCs w:val="24"/>
          <w:highlight w:val="none"/>
        </w:rPr>
        <w:t>资格性检查：</w:t>
      </w:r>
      <w:r>
        <w:rPr>
          <w:rFonts w:hint="eastAsia"/>
          <w:b/>
          <w:color w:val="auto"/>
          <w:sz w:val="24"/>
          <w:szCs w:val="24"/>
          <w:highlight w:val="none"/>
        </w:rPr>
        <w:t>依据法律法规和招标文件的规定，由采购人对投标文件中的资格证明文件进行审查。资格审查的结论，采购人以书面形式向评委会进行反馈。</w:t>
      </w:r>
    </w:p>
    <w:p>
      <w:pPr>
        <w:spacing w:line="400" w:lineRule="exact"/>
        <w:ind w:firstLine="482" w:firstLineChars="200"/>
        <w:jc w:val="left"/>
        <w:rPr>
          <w:color w:val="auto"/>
          <w:sz w:val="24"/>
          <w:szCs w:val="24"/>
          <w:highlight w:val="none"/>
        </w:rPr>
      </w:pPr>
      <w:r>
        <w:rPr>
          <w:rFonts w:hint="eastAsia"/>
          <w:b/>
          <w:color w:val="auto"/>
          <w:sz w:val="24"/>
          <w:szCs w:val="24"/>
          <w:highlight w:val="none"/>
        </w:rPr>
        <w:t>在进行资格性审查的同时，评委会在“信用中国”网站（www.creditchina.gov.cn）对供应商是否被列入失信被执行人、重大税收违法案件当事人名单、政府采购严重失信行为记录名单情况进行查询，以确定供应商是否具备参加评审的资格。查询结果将以网页打印的形式留存并归档。</w:t>
      </w:r>
    </w:p>
    <w:p>
      <w:pPr>
        <w:spacing w:line="400" w:lineRule="exact"/>
        <w:ind w:firstLine="480" w:firstLineChars="200"/>
        <w:jc w:val="left"/>
        <w:rPr>
          <w:color w:val="auto"/>
          <w:sz w:val="24"/>
          <w:szCs w:val="24"/>
          <w:highlight w:val="none"/>
        </w:rPr>
      </w:pPr>
      <w:r>
        <w:rPr>
          <w:rFonts w:hint="eastAsia"/>
          <w:color w:val="auto"/>
          <w:sz w:val="24"/>
          <w:szCs w:val="24"/>
          <w:highlight w:val="none"/>
        </w:rPr>
        <w:t>符合性检查：依据招标文件的规定，从投标文件的有效性、完整性和对招标文件的响应程度进行审查，以确定是否对招标文件的实质性要求作出响应。</w:t>
      </w:r>
    </w:p>
    <w:p>
      <w:pPr>
        <w:spacing w:line="400" w:lineRule="exact"/>
        <w:ind w:firstLine="480" w:firstLineChars="200"/>
        <w:jc w:val="left"/>
        <w:rPr>
          <w:color w:val="auto"/>
          <w:sz w:val="24"/>
          <w:szCs w:val="24"/>
          <w:highlight w:val="none"/>
        </w:rPr>
      </w:pPr>
      <w:r>
        <w:rPr>
          <w:rFonts w:hint="eastAsia"/>
          <w:color w:val="auto"/>
          <w:sz w:val="24"/>
          <w:szCs w:val="24"/>
          <w:highlight w:val="none"/>
        </w:rPr>
        <w:t>27.2在详细评标之前，评委会将首先审查每份投标文件是否实质性响应了招标文件的要求。实质性响应的投标应该是与招标文件要求的全部条款、条件和规格相符，没有重大偏离或保留的投标。</w:t>
      </w:r>
    </w:p>
    <w:p>
      <w:pPr>
        <w:spacing w:line="400" w:lineRule="exact"/>
        <w:ind w:firstLine="480" w:firstLineChars="200"/>
        <w:jc w:val="left"/>
        <w:rPr>
          <w:color w:val="auto"/>
          <w:sz w:val="24"/>
          <w:szCs w:val="24"/>
          <w:highlight w:val="none"/>
        </w:rPr>
      </w:pPr>
      <w:r>
        <w:rPr>
          <w:rFonts w:hint="eastAsia"/>
          <w:color w:val="auto"/>
          <w:sz w:val="24"/>
          <w:szCs w:val="24"/>
          <w:highlight w:val="none"/>
        </w:rPr>
        <w:t>所谓重大偏离或保留是指与招标文件规定的实质性要求存在负偏离，或者在实质上与招标文件不一致，而且限制了合同中采购人的权利或投标人的义务，纠正这些偏离或保留将会对其他实质性响应要求的投标人的竞争地位产生不公正的影响。重大偏离的认定需经过多数评委会成员的认定。评委决定投标文件的响应性只根据投标文件本身的内容，而不寻求外部的证据。</w:t>
      </w:r>
    </w:p>
    <w:p>
      <w:pPr>
        <w:spacing w:line="400" w:lineRule="exact"/>
        <w:ind w:firstLine="480" w:firstLineChars="200"/>
        <w:jc w:val="left"/>
        <w:rPr>
          <w:color w:val="auto"/>
          <w:sz w:val="24"/>
          <w:szCs w:val="24"/>
          <w:highlight w:val="none"/>
        </w:rPr>
      </w:pPr>
      <w:r>
        <w:rPr>
          <w:rFonts w:hint="eastAsia"/>
          <w:color w:val="auto"/>
          <w:sz w:val="24"/>
          <w:szCs w:val="24"/>
          <w:highlight w:val="none"/>
        </w:rPr>
        <w:t>27.3如果投标文件实质上没有响应招标文件的要求，评委会将予以拒绝，投标人不得通过修改或撤销不合要求的偏离或保留而使其投标成为实质性响应的投标。请投标人本着诚信精神，在本次投标文件的偏离表和其它偏离文件中，明确、清楚地披露各项偏离。若投标人对某一事项是否存在或是否属于偏离不能确定，亦必须在偏离表中清楚地表明该偏离事项，并可以注明不能确定的字样。任何情况下，对于投标人没有在偏离表中明确、清楚地披露的事项，包括可能属于被投标人在偏离表中遗漏披露的事项，一旦在评审中被发现存在偏离或被认定为属于偏离，则评委会有权视具体情形予以处理，包括：按照规则扣分、在规则基础上增加扣分、在规则基础上加倍扣分、直至对该投标予以拒绝，做无效投标处理。</w:t>
      </w:r>
    </w:p>
    <w:p>
      <w:pPr>
        <w:spacing w:line="400" w:lineRule="exact"/>
        <w:ind w:firstLine="480" w:firstLineChars="200"/>
        <w:jc w:val="left"/>
        <w:rPr>
          <w:color w:val="auto"/>
          <w:sz w:val="24"/>
          <w:szCs w:val="24"/>
          <w:highlight w:val="none"/>
        </w:rPr>
      </w:pPr>
      <w:r>
        <w:rPr>
          <w:rFonts w:hint="eastAsia"/>
          <w:color w:val="auto"/>
          <w:sz w:val="24"/>
          <w:szCs w:val="24"/>
          <w:highlight w:val="none"/>
        </w:rPr>
        <w:t>27.4评委会将对确定为实质性响应的投标进行进一步审核，看其是否有计算上或累加上的算术错误，若出现相互矛盾之处，应以排列在先的原则为准优先处理：</w:t>
      </w:r>
    </w:p>
    <w:p>
      <w:pPr>
        <w:spacing w:line="400" w:lineRule="exact"/>
        <w:ind w:firstLine="480" w:firstLineChars="200"/>
        <w:jc w:val="left"/>
        <w:rPr>
          <w:color w:val="auto"/>
          <w:sz w:val="24"/>
          <w:szCs w:val="24"/>
          <w:highlight w:val="none"/>
        </w:rPr>
      </w:pPr>
      <w:r>
        <w:rPr>
          <w:rFonts w:hint="eastAsia"/>
          <w:color w:val="auto"/>
          <w:sz w:val="24"/>
          <w:szCs w:val="24"/>
          <w:highlight w:val="none"/>
        </w:rPr>
        <w:t>(1)如果以文字表示的数据与数字表示的有差别，以文字为准修正数字。如果大小写金额不一致的，以大写金额为准。</w:t>
      </w:r>
    </w:p>
    <w:p>
      <w:pPr>
        <w:spacing w:line="400" w:lineRule="exact"/>
        <w:ind w:firstLine="480" w:firstLineChars="200"/>
        <w:jc w:val="left"/>
        <w:rPr>
          <w:color w:val="auto"/>
          <w:sz w:val="24"/>
          <w:szCs w:val="24"/>
          <w:highlight w:val="none"/>
        </w:rPr>
      </w:pPr>
      <w:r>
        <w:rPr>
          <w:rFonts w:hint="eastAsia"/>
          <w:color w:val="auto"/>
          <w:sz w:val="24"/>
          <w:szCs w:val="24"/>
          <w:highlight w:val="none"/>
        </w:rPr>
        <w:t>（2）如果单价乘以数量不等于总价，以单价为准修正总价，但单价金额小数点有明显错位的,应以总价为准，并修改单价。如果明细价格相加不等于汇总价格，以明细价格为准。</w:t>
      </w:r>
    </w:p>
    <w:p>
      <w:pPr>
        <w:spacing w:line="400" w:lineRule="exact"/>
        <w:ind w:firstLine="480" w:firstLineChars="200"/>
        <w:jc w:val="left"/>
        <w:rPr>
          <w:color w:val="auto"/>
          <w:sz w:val="24"/>
          <w:szCs w:val="24"/>
          <w:highlight w:val="none"/>
        </w:rPr>
      </w:pPr>
      <w:r>
        <w:rPr>
          <w:rFonts w:hint="eastAsia"/>
          <w:color w:val="auto"/>
          <w:sz w:val="24"/>
          <w:szCs w:val="24"/>
          <w:highlight w:val="none"/>
        </w:rPr>
        <w:t>27.5评委会将按上述修正错误的方法调整投标文件中的投标报价，调整后的价格应对投标人具有约束力。如果投标人不接受修正后的价格，则其投标将被拒绝，其投标保证金将被没收。</w:t>
      </w:r>
    </w:p>
    <w:p>
      <w:pPr>
        <w:spacing w:line="400" w:lineRule="exact"/>
        <w:ind w:firstLine="480" w:firstLineChars="200"/>
        <w:jc w:val="left"/>
        <w:rPr>
          <w:color w:val="auto"/>
          <w:sz w:val="24"/>
          <w:szCs w:val="24"/>
          <w:highlight w:val="none"/>
        </w:rPr>
      </w:pPr>
      <w:r>
        <w:rPr>
          <w:rFonts w:hint="eastAsia"/>
          <w:color w:val="auto"/>
          <w:sz w:val="24"/>
          <w:szCs w:val="24"/>
          <w:highlight w:val="none"/>
        </w:rPr>
        <w:t>27.6评委会将允许修正投标文件中不构成重大偏离的、微小的、非正规的、不一致的或不规则的地方，但这些修改不能影响任何投标人相应的名次排列。</w:t>
      </w:r>
    </w:p>
    <w:p>
      <w:pPr>
        <w:spacing w:line="400" w:lineRule="exact"/>
        <w:ind w:firstLine="560" w:firstLineChars="200"/>
        <w:jc w:val="left"/>
        <w:rPr>
          <w:color w:val="auto"/>
          <w:sz w:val="28"/>
          <w:szCs w:val="28"/>
          <w:highlight w:val="none"/>
        </w:rPr>
      </w:pPr>
      <w:r>
        <w:rPr>
          <w:rFonts w:hint="eastAsia"/>
          <w:color w:val="auto"/>
          <w:sz w:val="28"/>
          <w:szCs w:val="28"/>
          <w:highlight w:val="none"/>
        </w:rPr>
        <w:t>28．无效投标条款和废标条款</w:t>
      </w:r>
    </w:p>
    <w:p>
      <w:pPr>
        <w:spacing w:line="400" w:lineRule="exact"/>
        <w:ind w:firstLine="480" w:firstLineChars="200"/>
        <w:jc w:val="left"/>
        <w:rPr>
          <w:color w:val="auto"/>
          <w:sz w:val="24"/>
          <w:szCs w:val="24"/>
          <w:highlight w:val="none"/>
        </w:rPr>
      </w:pPr>
      <w:r>
        <w:rPr>
          <w:rFonts w:hint="eastAsia"/>
          <w:color w:val="auto"/>
          <w:sz w:val="24"/>
          <w:szCs w:val="24"/>
          <w:highlight w:val="none"/>
        </w:rPr>
        <w:t>28.1无效投标条款</w:t>
      </w:r>
    </w:p>
    <w:p>
      <w:pPr>
        <w:spacing w:line="400" w:lineRule="exact"/>
        <w:ind w:firstLine="480" w:firstLineChars="200"/>
        <w:jc w:val="left"/>
        <w:rPr>
          <w:color w:val="auto"/>
          <w:sz w:val="24"/>
          <w:szCs w:val="24"/>
          <w:highlight w:val="none"/>
        </w:rPr>
      </w:pPr>
      <w:r>
        <w:rPr>
          <w:rFonts w:hint="eastAsia"/>
          <w:color w:val="auto"/>
          <w:sz w:val="24"/>
          <w:szCs w:val="24"/>
          <w:highlight w:val="none"/>
        </w:rPr>
        <w:t>（1）未按要求交纳投标保证金的；</w:t>
      </w:r>
    </w:p>
    <w:p>
      <w:pPr>
        <w:spacing w:line="400" w:lineRule="exact"/>
        <w:ind w:firstLine="480" w:firstLineChars="200"/>
        <w:jc w:val="left"/>
        <w:rPr>
          <w:color w:val="auto"/>
          <w:sz w:val="24"/>
          <w:szCs w:val="24"/>
          <w:highlight w:val="none"/>
        </w:rPr>
      </w:pPr>
      <w:r>
        <w:rPr>
          <w:rFonts w:hint="eastAsia"/>
          <w:color w:val="auto"/>
          <w:sz w:val="24"/>
          <w:szCs w:val="24"/>
          <w:highlight w:val="none"/>
        </w:rPr>
        <w:t>（2）未按照招标文件规定要求密封、签署、盖章的；投标文件未按规定的格式、内容和要求编制填写、投标文件字迹潦草、模糊、无法辩认的；</w:t>
      </w:r>
    </w:p>
    <w:p>
      <w:pPr>
        <w:spacing w:line="400" w:lineRule="exact"/>
        <w:ind w:firstLine="480" w:firstLineChars="200"/>
        <w:jc w:val="left"/>
        <w:rPr>
          <w:color w:val="auto"/>
          <w:sz w:val="24"/>
          <w:szCs w:val="24"/>
          <w:highlight w:val="none"/>
        </w:rPr>
      </w:pPr>
      <w:r>
        <w:rPr>
          <w:rFonts w:hint="eastAsia"/>
          <w:color w:val="auto"/>
          <w:sz w:val="24"/>
          <w:szCs w:val="24"/>
          <w:highlight w:val="none"/>
        </w:rPr>
        <w:t>（3）在报价时采用选择性报价；</w:t>
      </w:r>
    </w:p>
    <w:p>
      <w:pPr>
        <w:spacing w:line="400" w:lineRule="exact"/>
        <w:ind w:firstLine="482" w:firstLineChars="200"/>
        <w:jc w:val="left"/>
        <w:rPr>
          <w:b/>
          <w:color w:val="auto"/>
          <w:sz w:val="24"/>
          <w:szCs w:val="24"/>
          <w:highlight w:val="none"/>
        </w:rPr>
      </w:pPr>
      <w:r>
        <w:rPr>
          <w:rFonts w:hint="eastAsia"/>
          <w:b/>
          <w:color w:val="auto"/>
          <w:sz w:val="24"/>
          <w:szCs w:val="24"/>
          <w:highlight w:val="none"/>
        </w:rPr>
        <w:t>（4）投标报价超过采购预算的；</w:t>
      </w:r>
    </w:p>
    <w:p>
      <w:pPr>
        <w:spacing w:line="400" w:lineRule="exact"/>
        <w:ind w:firstLine="480" w:firstLineChars="200"/>
        <w:jc w:val="left"/>
        <w:rPr>
          <w:color w:val="auto"/>
          <w:sz w:val="24"/>
          <w:szCs w:val="24"/>
          <w:highlight w:val="none"/>
        </w:rPr>
      </w:pPr>
      <w:r>
        <w:rPr>
          <w:rFonts w:hint="eastAsia"/>
          <w:color w:val="auto"/>
          <w:sz w:val="24"/>
          <w:szCs w:val="24"/>
          <w:highlight w:val="none"/>
        </w:rPr>
        <w:t>（5）不具备招标文件中规定资格要求的；</w:t>
      </w:r>
    </w:p>
    <w:p>
      <w:pPr>
        <w:spacing w:line="400" w:lineRule="exact"/>
        <w:ind w:firstLine="480" w:firstLineChars="200"/>
        <w:jc w:val="left"/>
        <w:rPr>
          <w:color w:val="auto"/>
          <w:sz w:val="24"/>
          <w:szCs w:val="24"/>
          <w:highlight w:val="none"/>
        </w:rPr>
      </w:pPr>
      <w:r>
        <w:rPr>
          <w:rFonts w:hint="eastAsia"/>
          <w:color w:val="auto"/>
          <w:sz w:val="24"/>
          <w:szCs w:val="24"/>
          <w:highlight w:val="none"/>
        </w:rPr>
        <w:t>（6）对招标文件未能作出全面实质性响应或对招标文件进行实质性修改的；</w:t>
      </w:r>
    </w:p>
    <w:p>
      <w:pPr>
        <w:spacing w:line="400" w:lineRule="exact"/>
        <w:ind w:firstLine="480" w:firstLineChars="200"/>
        <w:jc w:val="left"/>
        <w:rPr>
          <w:color w:val="auto"/>
          <w:sz w:val="24"/>
          <w:szCs w:val="24"/>
          <w:highlight w:val="none"/>
        </w:rPr>
      </w:pPr>
      <w:r>
        <w:rPr>
          <w:rFonts w:hint="eastAsia"/>
          <w:color w:val="auto"/>
          <w:sz w:val="24"/>
          <w:szCs w:val="24"/>
          <w:highlight w:val="none"/>
        </w:rPr>
        <w:t>（7）不符合法律、法规和招标文件中规定的其他实质性要求的；</w:t>
      </w:r>
    </w:p>
    <w:p>
      <w:pPr>
        <w:spacing w:line="400" w:lineRule="exact"/>
        <w:ind w:firstLine="480" w:firstLineChars="200"/>
        <w:jc w:val="left"/>
        <w:rPr>
          <w:color w:val="auto"/>
          <w:sz w:val="24"/>
          <w:szCs w:val="24"/>
          <w:highlight w:val="none"/>
        </w:rPr>
      </w:pPr>
      <w:r>
        <w:rPr>
          <w:rFonts w:hint="eastAsia"/>
          <w:color w:val="auto"/>
          <w:sz w:val="24"/>
          <w:szCs w:val="24"/>
          <w:highlight w:val="none"/>
        </w:rPr>
        <w:t>（8）投标人有欺诈行为或隐瞒自身违规问题的，提供虚假材料的；</w:t>
      </w:r>
    </w:p>
    <w:p>
      <w:pPr>
        <w:spacing w:line="400" w:lineRule="exact"/>
        <w:ind w:firstLine="480" w:firstLineChars="200"/>
        <w:jc w:val="left"/>
        <w:rPr>
          <w:color w:val="auto"/>
          <w:sz w:val="24"/>
          <w:szCs w:val="24"/>
          <w:highlight w:val="none"/>
        </w:rPr>
      </w:pPr>
      <w:r>
        <w:rPr>
          <w:rFonts w:hint="eastAsia"/>
          <w:color w:val="auto"/>
          <w:sz w:val="24"/>
          <w:szCs w:val="24"/>
          <w:highlight w:val="none"/>
        </w:rPr>
        <w:t>（9）不同投标人委托同一个人办理投标事宜的；不同投标人的投标文件载明的项目管理成员为同一人的；不同投标人的投标文件异常一致的；</w:t>
      </w:r>
    </w:p>
    <w:p>
      <w:pPr>
        <w:spacing w:line="400" w:lineRule="exact"/>
        <w:ind w:firstLine="480" w:firstLineChars="200"/>
        <w:jc w:val="left"/>
        <w:rPr>
          <w:color w:val="auto"/>
          <w:sz w:val="24"/>
          <w:szCs w:val="24"/>
          <w:highlight w:val="none"/>
        </w:rPr>
      </w:pPr>
      <w:r>
        <w:rPr>
          <w:rFonts w:hint="eastAsia"/>
          <w:color w:val="auto"/>
          <w:sz w:val="24"/>
          <w:szCs w:val="24"/>
          <w:highlight w:val="none"/>
        </w:rPr>
        <w:t>（10）投标人未按照本招标文件要求携带必须提供的相关投标资料的备查原件到投标现场的；</w:t>
      </w:r>
    </w:p>
    <w:p>
      <w:pPr>
        <w:spacing w:line="400" w:lineRule="exact"/>
        <w:ind w:firstLine="480" w:firstLineChars="200"/>
        <w:jc w:val="left"/>
        <w:rPr>
          <w:color w:val="auto"/>
          <w:sz w:val="24"/>
          <w:szCs w:val="24"/>
          <w:highlight w:val="none"/>
        </w:rPr>
      </w:pPr>
      <w:r>
        <w:rPr>
          <w:rFonts w:hint="eastAsia"/>
          <w:color w:val="auto"/>
          <w:sz w:val="24"/>
          <w:szCs w:val="24"/>
          <w:highlight w:val="none"/>
        </w:rPr>
        <w:t>（11）投标人单位名称与领取招标文件时所登记的单位名称不符的；</w:t>
      </w:r>
    </w:p>
    <w:p>
      <w:pPr>
        <w:spacing w:line="400" w:lineRule="exact"/>
        <w:ind w:firstLine="480" w:firstLineChars="200"/>
        <w:jc w:val="left"/>
        <w:rPr>
          <w:color w:val="auto"/>
          <w:sz w:val="24"/>
          <w:szCs w:val="24"/>
          <w:highlight w:val="none"/>
        </w:rPr>
      </w:pPr>
      <w:r>
        <w:rPr>
          <w:rFonts w:hint="eastAsia"/>
          <w:color w:val="auto"/>
          <w:sz w:val="24"/>
          <w:szCs w:val="24"/>
          <w:highlight w:val="none"/>
        </w:rPr>
        <w:t>（12）超出经营范围投标的；</w:t>
      </w:r>
    </w:p>
    <w:p>
      <w:pPr>
        <w:spacing w:line="400" w:lineRule="exact"/>
        <w:ind w:firstLine="480" w:firstLineChars="200"/>
        <w:jc w:val="left"/>
        <w:rPr>
          <w:color w:val="auto"/>
          <w:sz w:val="24"/>
          <w:szCs w:val="24"/>
          <w:highlight w:val="none"/>
        </w:rPr>
      </w:pPr>
      <w:r>
        <w:rPr>
          <w:rFonts w:hint="eastAsia"/>
          <w:color w:val="auto"/>
          <w:sz w:val="24"/>
          <w:szCs w:val="24"/>
          <w:highlight w:val="none"/>
        </w:rPr>
        <w:t>（13）投标有效期不符合招标文件规定期限的；</w:t>
      </w:r>
    </w:p>
    <w:p>
      <w:pPr>
        <w:spacing w:line="400" w:lineRule="exact"/>
        <w:ind w:firstLine="480" w:firstLineChars="200"/>
        <w:jc w:val="left"/>
        <w:rPr>
          <w:color w:val="auto"/>
          <w:sz w:val="24"/>
          <w:szCs w:val="24"/>
          <w:highlight w:val="none"/>
        </w:rPr>
      </w:pPr>
      <w:r>
        <w:rPr>
          <w:rFonts w:hint="eastAsia"/>
          <w:color w:val="auto"/>
          <w:sz w:val="24"/>
          <w:szCs w:val="24"/>
          <w:highlight w:val="none"/>
        </w:rPr>
        <w:t>（14）其他法律、法规及本招标文件规定的属无效投标的情形。</w:t>
      </w:r>
    </w:p>
    <w:p>
      <w:pPr>
        <w:spacing w:line="400" w:lineRule="exact"/>
        <w:ind w:firstLine="480" w:firstLineChars="200"/>
        <w:jc w:val="left"/>
        <w:rPr>
          <w:color w:val="auto"/>
          <w:sz w:val="24"/>
          <w:szCs w:val="24"/>
          <w:highlight w:val="none"/>
        </w:rPr>
      </w:pPr>
      <w:r>
        <w:rPr>
          <w:rFonts w:hint="eastAsia"/>
          <w:color w:val="auto"/>
          <w:sz w:val="24"/>
          <w:szCs w:val="24"/>
          <w:highlight w:val="none"/>
        </w:rPr>
        <w:t>（15）投标人被“信用中国”网站（www.creditchina.gov.cn）列入失信被执行人或重大税收违法案件当事人名单或政府采购严重失信行为记录名单。</w:t>
      </w:r>
    </w:p>
    <w:p>
      <w:pPr>
        <w:spacing w:line="400" w:lineRule="exact"/>
        <w:ind w:firstLine="480" w:firstLineChars="200"/>
        <w:jc w:val="left"/>
        <w:rPr>
          <w:color w:val="auto"/>
          <w:sz w:val="24"/>
          <w:szCs w:val="24"/>
          <w:highlight w:val="none"/>
        </w:rPr>
      </w:pPr>
      <w:r>
        <w:rPr>
          <w:rFonts w:hint="eastAsia"/>
          <w:color w:val="auto"/>
          <w:sz w:val="24"/>
          <w:szCs w:val="24"/>
          <w:highlight w:val="none"/>
        </w:rPr>
        <w:t>28.2废标条款：</w:t>
      </w:r>
    </w:p>
    <w:p>
      <w:pPr>
        <w:spacing w:line="400" w:lineRule="exact"/>
        <w:ind w:firstLine="480" w:firstLineChars="200"/>
        <w:jc w:val="left"/>
        <w:rPr>
          <w:color w:val="auto"/>
          <w:sz w:val="24"/>
          <w:szCs w:val="24"/>
          <w:highlight w:val="none"/>
        </w:rPr>
      </w:pPr>
      <w:r>
        <w:rPr>
          <w:rFonts w:hint="eastAsia"/>
          <w:color w:val="auto"/>
          <w:sz w:val="24"/>
          <w:szCs w:val="24"/>
          <w:highlight w:val="none"/>
        </w:rPr>
        <w:t>（1）符合专业条件的供应商或者对招标文件作实质响应的供应商不足三家的；</w:t>
      </w:r>
    </w:p>
    <w:p>
      <w:pPr>
        <w:spacing w:line="400" w:lineRule="exact"/>
        <w:ind w:firstLine="480" w:firstLineChars="200"/>
        <w:jc w:val="left"/>
        <w:rPr>
          <w:color w:val="auto"/>
          <w:sz w:val="24"/>
          <w:szCs w:val="24"/>
          <w:highlight w:val="none"/>
        </w:rPr>
      </w:pPr>
      <w:r>
        <w:rPr>
          <w:rFonts w:hint="eastAsia"/>
          <w:color w:val="auto"/>
          <w:sz w:val="24"/>
          <w:szCs w:val="24"/>
          <w:highlight w:val="none"/>
        </w:rPr>
        <w:t>（2）出现影响采购公正的违法、违规行为的；</w:t>
      </w:r>
    </w:p>
    <w:p>
      <w:pPr>
        <w:spacing w:line="400" w:lineRule="exact"/>
        <w:ind w:firstLine="480" w:firstLineChars="200"/>
        <w:jc w:val="left"/>
        <w:rPr>
          <w:color w:val="auto"/>
          <w:sz w:val="24"/>
          <w:szCs w:val="24"/>
          <w:highlight w:val="none"/>
        </w:rPr>
      </w:pPr>
      <w:r>
        <w:rPr>
          <w:rFonts w:hint="eastAsia"/>
          <w:color w:val="auto"/>
          <w:sz w:val="24"/>
          <w:szCs w:val="24"/>
          <w:highlight w:val="none"/>
        </w:rPr>
        <w:t>（3）投标人的报价均超过了采购预算的；</w:t>
      </w:r>
    </w:p>
    <w:p>
      <w:pPr>
        <w:spacing w:line="400" w:lineRule="exact"/>
        <w:ind w:firstLine="480" w:firstLineChars="200"/>
        <w:jc w:val="left"/>
        <w:rPr>
          <w:color w:val="auto"/>
          <w:sz w:val="24"/>
          <w:szCs w:val="24"/>
          <w:highlight w:val="none"/>
        </w:rPr>
      </w:pPr>
      <w:r>
        <w:rPr>
          <w:rFonts w:hint="eastAsia"/>
          <w:color w:val="auto"/>
          <w:sz w:val="24"/>
          <w:szCs w:val="24"/>
          <w:highlight w:val="none"/>
        </w:rPr>
        <w:t>（4）因重大变故，采购任务取消的。</w:t>
      </w:r>
    </w:p>
    <w:p>
      <w:pPr>
        <w:spacing w:line="400" w:lineRule="exact"/>
        <w:ind w:firstLine="480" w:firstLineChars="200"/>
        <w:jc w:val="left"/>
        <w:rPr>
          <w:color w:val="auto"/>
          <w:sz w:val="24"/>
          <w:szCs w:val="24"/>
          <w:highlight w:val="none"/>
        </w:rPr>
      </w:pPr>
      <w:r>
        <w:rPr>
          <w:rFonts w:hint="eastAsia"/>
          <w:color w:val="auto"/>
          <w:sz w:val="24"/>
          <w:szCs w:val="24"/>
          <w:highlight w:val="none"/>
        </w:rPr>
        <w:t>28.3投标截止时间结束后参加投标的供应商不足三家的处理：</w:t>
      </w:r>
    </w:p>
    <w:p>
      <w:pPr>
        <w:spacing w:line="400" w:lineRule="exact"/>
        <w:ind w:firstLine="480" w:firstLineChars="200"/>
        <w:jc w:val="left"/>
        <w:rPr>
          <w:color w:val="auto"/>
          <w:sz w:val="24"/>
          <w:szCs w:val="24"/>
          <w:highlight w:val="none"/>
        </w:rPr>
      </w:pPr>
      <w:r>
        <w:rPr>
          <w:rFonts w:hint="eastAsia"/>
          <w:color w:val="auto"/>
          <w:sz w:val="24"/>
          <w:szCs w:val="24"/>
          <w:highlight w:val="none"/>
        </w:rPr>
        <w:t>如出现投标截止时间结束后参加投标的供应商或者在评标期间对招标文件做出实质响应的供应商不足三家情况，按财政部令第87号第四十三条的规定执行。</w:t>
      </w:r>
    </w:p>
    <w:p>
      <w:pPr>
        <w:spacing w:line="400" w:lineRule="exact"/>
        <w:ind w:firstLine="643" w:firstLineChars="200"/>
        <w:jc w:val="left"/>
        <w:rPr>
          <w:b/>
          <w:color w:val="auto"/>
          <w:sz w:val="32"/>
          <w:szCs w:val="32"/>
          <w:highlight w:val="none"/>
        </w:rPr>
      </w:pPr>
      <w:r>
        <w:rPr>
          <w:rFonts w:hint="eastAsia"/>
          <w:b/>
          <w:color w:val="auto"/>
          <w:sz w:val="32"/>
          <w:szCs w:val="32"/>
          <w:highlight w:val="none"/>
        </w:rPr>
        <w:t>六、定标</w:t>
      </w:r>
    </w:p>
    <w:p>
      <w:pPr>
        <w:spacing w:line="400" w:lineRule="exact"/>
        <w:ind w:firstLine="560" w:firstLineChars="200"/>
        <w:jc w:val="left"/>
        <w:rPr>
          <w:color w:val="auto"/>
          <w:sz w:val="28"/>
          <w:szCs w:val="28"/>
          <w:highlight w:val="none"/>
        </w:rPr>
      </w:pPr>
      <w:r>
        <w:rPr>
          <w:rFonts w:hint="eastAsia"/>
          <w:color w:val="auto"/>
          <w:sz w:val="28"/>
          <w:szCs w:val="28"/>
          <w:highlight w:val="none"/>
        </w:rPr>
        <w:t>29．确定中标单位</w:t>
      </w:r>
    </w:p>
    <w:p>
      <w:pPr>
        <w:spacing w:line="400" w:lineRule="exact"/>
        <w:ind w:firstLine="480" w:firstLineChars="200"/>
        <w:jc w:val="left"/>
        <w:rPr>
          <w:color w:val="auto"/>
          <w:sz w:val="24"/>
          <w:szCs w:val="24"/>
          <w:highlight w:val="none"/>
        </w:rPr>
      </w:pPr>
      <w:r>
        <w:rPr>
          <w:rFonts w:hint="eastAsia"/>
          <w:color w:val="auto"/>
          <w:sz w:val="24"/>
          <w:szCs w:val="24"/>
          <w:highlight w:val="none"/>
        </w:rPr>
        <w:t>29.1评委会将仅对按照本须知有关规定确定为实质上响应招标文件要求的投标文件进行评价和比较。</w:t>
      </w:r>
    </w:p>
    <w:p>
      <w:pPr>
        <w:spacing w:line="400" w:lineRule="exact"/>
        <w:ind w:firstLine="480" w:firstLineChars="200"/>
        <w:jc w:val="left"/>
        <w:rPr>
          <w:color w:val="auto"/>
          <w:sz w:val="24"/>
          <w:szCs w:val="24"/>
          <w:highlight w:val="none"/>
        </w:rPr>
      </w:pPr>
      <w:r>
        <w:rPr>
          <w:rFonts w:hint="eastAsia"/>
          <w:color w:val="auto"/>
          <w:sz w:val="24"/>
          <w:szCs w:val="24"/>
          <w:highlight w:val="none"/>
        </w:rPr>
        <w:t>29.2评价和比较采用</w:t>
      </w:r>
      <w:r>
        <w:rPr>
          <w:rFonts w:hint="eastAsia"/>
          <w:b/>
          <w:color w:val="auto"/>
          <w:sz w:val="24"/>
          <w:szCs w:val="24"/>
          <w:highlight w:val="none"/>
          <w:u w:val="single"/>
        </w:rPr>
        <w:t>综合评分法</w:t>
      </w:r>
      <w:r>
        <w:rPr>
          <w:rFonts w:hint="eastAsia"/>
          <w:b/>
          <w:color w:val="auto"/>
          <w:sz w:val="24"/>
          <w:szCs w:val="24"/>
          <w:highlight w:val="none"/>
        </w:rPr>
        <w:t>，即在最大限度地满足招标文件实质性要求前提下，按照招标文件规定的各项因素进行综合评审后，向采购人推荐出不少于三名中标候选人。任何单项因素的最优不能作为中标、成交的保证。</w:t>
      </w:r>
    </w:p>
    <w:p>
      <w:pPr>
        <w:spacing w:line="400" w:lineRule="exact"/>
        <w:ind w:firstLine="480" w:firstLineChars="200"/>
        <w:jc w:val="left"/>
        <w:rPr>
          <w:color w:val="auto"/>
          <w:sz w:val="24"/>
          <w:szCs w:val="24"/>
          <w:highlight w:val="none"/>
        </w:rPr>
      </w:pPr>
      <w:r>
        <w:rPr>
          <w:rFonts w:hint="eastAsia"/>
          <w:color w:val="auto"/>
          <w:sz w:val="24"/>
          <w:szCs w:val="24"/>
          <w:highlight w:val="none"/>
        </w:rPr>
        <w:t>29.3采购人根据评委会推荐的中标候选人（多名候选人的根据排名顺序依次）确定中标人。</w:t>
      </w:r>
    </w:p>
    <w:p>
      <w:pPr>
        <w:spacing w:line="400" w:lineRule="exact"/>
        <w:ind w:firstLine="482" w:firstLineChars="200"/>
        <w:jc w:val="left"/>
        <w:rPr>
          <w:b/>
          <w:color w:val="auto"/>
          <w:sz w:val="24"/>
          <w:szCs w:val="24"/>
          <w:highlight w:val="none"/>
        </w:rPr>
      </w:pPr>
      <w:r>
        <w:rPr>
          <w:rFonts w:hint="eastAsia"/>
          <w:b/>
          <w:color w:val="auto"/>
          <w:sz w:val="24"/>
          <w:szCs w:val="24"/>
          <w:highlight w:val="none"/>
        </w:rPr>
        <w:t>29.4评审结束后，中标人名单将在“江苏政府采购网”、“中国政府采购网”等媒体进行公示，公示时间为1个工作日。</w:t>
      </w:r>
    </w:p>
    <w:p>
      <w:pPr>
        <w:spacing w:line="400" w:lineRule="exact"/>
        <w:ind w:firstLine="480" w:firstLineChars="200"/>
        <w:jc w:val="left"/>
        <w:rPr>
          <w:color w:val="auto"/>
          <w:sz w:val="24"/>
          <w:szCs w:val="24"/>
          <w:highlight w:val="none"/>
        </w:rPr>
      </w:pPr>
      <w:r>
        <w:rPr>
          <w:rFonts w:hint="eastAsia"/>
          <w:color w:val="auto"/>
          <w:sz w:val="24"/>
          <w:szCs w:val="24"/>
          <w:highlight w:val="none"/>
        </w:rPr>
        <w:t>29.5若有充分证据证明，中标人出现下列情况之一的，一经查实，将被取消中标资格：</w:t>
      </w:r>
    </w:p>
    <w:p>
      <w:pPr>
        <w:spacing w:line="400" w:lineRule="exact"/>
        <w:ind w:firstLine="480" w:firstLineChars="200"/>
        <w:jc w:val="left"/>
        <w:rPr>
          <w:color w:val="auto"/>
          <w:sz w:val="24"/>
          <w:szCs w:val="24"/>
          <w:highlight w:val="none"/>
        </w:rPr>
      </w:pPr>
      <w:r>
        <w:rPr>
          <w:rFonts w:hint="eastAsia"/>
          <w:color w:val="auto"/>
          <w:sz w:val="24"/>
          <w:szCs w:val="24"/>
          <w:highlight w:val="none"/>
        </w:rPr>
        <w:t>（1）提供虚假材料谋取中标的；</w:t>
      </w:r>
    </w:p>
    <w:p>
      <w:pPr>
        <w:spacing w:line="400" w:lineRule="exact"/>
        <w:ind w:firstLine="480" w:firstLineChars="200"/>
        <w:jc w:val="left"/>
        <w:rPr>
          <w:color w:val="auto"/>
          <w:sz w:val="24"/>
          <w:szCs w:val="24"/>
          <w:highlight w:val="none"/>
        </w:rPr>
      </w:pPr>
      <w:r>
        <w:rPr>
          <w:rFonts w:hint="eastAsia"/>
          <w:color w:val="auto"/>
          <w:sz w:val="24"/>
          <w:szCs w:val="24"/>
          <w:highlight w:val="none"/>
        </w:rPr>
        <w:t>（2）与评审专家、采购人、其他供应商或者采购人工作人员恶意串通的；</w:t>
      </w:r>
    </w:p>
    <w:p>
      <w:pPr>
        <w:spacing w:line="400" w:lineRule="exact"/>
        <w:ind w:firstLine="480" w:firstLineChars="200"/>
        <w:jc w:val="left"/>
        <w:rPr>
          <w:color w:val="auto"/>
          <w:sz w:val="24"/>
          <w:szCs w:val="24"/>
          <w:highlight w:val="none"/>
        </w:rPr>
      </w:pPr>
      <w:r>
        <w:rPr>
          <w:rFonts w:hint="eastAsia"/>
          <w:color w:val="auto"/>
          <w:sz w:val="24"/>
          <w:szCs w:val="24"/>
          <w:highlight w:val="none"/>
        </w:rPr>
        <w:t>（3）向评审专家、采购人或采购人工作人员行贿或者提供其他不正当利益的；</w:t>
      </w:r>
    </w:p>
    <w:p>
      <w:pPr>
        <w:spacing w:line="400" w:lineRule="exact"/>
        <w:ind w:firstLine="480" w:firstLineChars="200"/>
        <w:jc w:val="left"/>
        <w:rPr>
          <w:color w:val="auto"/>
          <w:sz w:val="24"/>
          <w:szCs w:val="24"/>
          <w:highlight w:val="none"/>
        </w:rPr>
      </w:pPr>
      <w:r>
        <w:rPr>
          <w:rFonts w:hint="eastAsia"/>
          <w:color w:val="auto"/>
          <w:sz w:val="24"/>
          <w:szCs w:val="24"/>
          <w:highlight w:val="none"/>
        </w:rPr>
        <w:t>（4）恶意竞争，投标总报价明显低于其自身合理成本且又无法提供证明的；</w:t>
      </w:r>
    </w:p>
    <w:p>
      <w:pPr>
        <w:spacing w:line="400" w:lineRule="exact"/>
        <w:ind w:firstLine="480" w:firstLineChars="200"/>
        <w:jc w:val="left"/>
        <w:rPr>
          <w:color w:val="auto"/>
          <w:sz w:val="24"/>
          <w:szCs w:val="24"/>
          <w:highlight w:val="none"/>
        </w:rPr>
      </w:pPr>
      <w:r>
        <w:rPr>
          <w:rFonts w:hint="eastAsia"/>
          <w:color w:val="auto"/>
          <w:sz w:val="24"/>
          <w:szCs w:val="24"/>
          <w:highlight w:val="none"/>
        </w:rPr>
        <w:t>（5）不满足本招标文件规定的实质性要求，但在评标过程中又未被评委会发现的；</w:t>
      </w:r>
    </w:p>
    <w:p>
      <w:pPr>
        <w:spacing w:line="400" w:lineRule="exact"/>
        <w:ind w:firstLine="480" w:firstLineChars="200"/>
        <w:jc w:val="left"/>
        <w:rPr>
          <w:color w:val="auto"/>
          <w:sz w:val="24"/>
          <w:szCs w:val="24"/>
          <w:highlight w:val="none"/>
        </w:rPr>
      </w:pPr>
      <w:r>
        <w:rPr>
          <w:rFonts w:hint="eastAsia"/>
          <w:color w:val="auto"/>
          <w:sz w:val="24"/>
          <w:szCs w:val="24"/>
          <w:highlight w:val="none"/>
        </w:rPr>
        <w:t>（6）不符合法律、法规的规定的其他情形。</w:t>
      </w:r>
    </w:p>
    <w:p>
      <w:pPr>
        <w:spacing w:line="400" w:lineRule="exact"/>
        <w:ind w:firstLine="480" w:firstLineChars="200"/>
        <w:jc w:val="left"/>
        <w:rPr>
          <w:color w:val="auto"/>
          <w:sz w:val="24"/>
          <w:szCs w:val="24"/>
          <w:highlight w:val="none"/>
        </w:rPr>
      </w:pPr>
      <w:r>
        <w:rPr>
          <w:rFonts w:hint="eastAsia"/>
          <w:color w:val="auto"/>
          <w:sz w:val="24"/>
          <w:szCs w:val="24"/>
          <w:highlight w:val="none"/>
        </w:rPr>
        <w:t>在此情况下一经认定，报经政府采购监督管理部门批准，采购人有权重新组织采购。</w:t>
      </w:r>
    </w:p>
    <w:p>
      <w:pPr>
        <w:spacing w:line="400" w:lineRule="exact"/>
        <w:ind w:firstLine="560" w:firstLineChars="200"/>
        <w:jc w:val="left"/>
        <w:rPr>
          <w:color w:val="auto"/>
          <w:sz w:val="28"/>
          <w:szCs w:val="28"/>
          <w:highlight w:val="none"/>
        </w:rPr>
      </w:pPr>
      <w:r>
        <w:rPr>
          <w:rFonts w:hint="eastAsia"/>
          <w:color w:val="auto"/>
          <w:sz w:val="28"/>
          <w:szCs w:val="28"/>
          <w:highlight w:val="none"/>
        </w:rPr>
        <w:t>30．质疑处理</w:t>
      </w:r>
    </w:p>
    <w:p>
      <w:pPr>
        <w:spacing w:line="400" w:lineRule="exact"/>
        <w:ind w:firstLine="480" w:firstLineChars="200"/>
        <w:jc w:val="left"/>
        <w:rPr>
          <w:color w:val="auto"/>
          <w:sz w:val="24"/>
          <w:szCs w:val="24"/>
          <w:highlight w:val="none"/>
        </w:rPr>
      </w:pPr>
      <w:r>
        <w:rPr>
          <w:rFonts w:hint="eastAsia"/>
          <w:color w:val="auto"/>
          <w:sz w:val="24"/>
          <w:szCs w:val="24"/>
          <w:highlight w:val="none"/>
        </w:rPr>
        <w:t>30.1投标人认为采购文件、采购过程和采购结果使自己的权益受到损害的，可以在知道或应知其权益受到损害之日起七个工作日内，以书面形式向采购人提出质疑。上述应知其权益受到损害之日，是指：</w:t>
      </w:r>
    </w:p>
    <w:p>
      <w:pPr>
        <w:spacing w:line="400" w:lineRule="exact"/>
        <w:ind w:firstLine="480" w:firstLineChars="200"/>
        <w:jc w:val="left"/>
        <w:rPr>
          <w:color w:val="auto"/>
          <w:sz w:val="24"/>
          <w:szCs w:val="24"/>
          <w:highlight w:val="none"/>
        </w:rPr>
      </w:pPr>
      <w:r>
        <w:rPr>
          <w:rFonts w:hint="eastAsia"/>
          <w:color w:val="auto"/>
          <w:sz w:val="24"/>
          <w:szCs w:val="24"/>
          <w:highlight w:val="none"/>
        </w:rPr>
        <w:t>（1）对可以质疑的采购文件提出质疑的，为收到采购文件之日或者采购文件公告期限届满之日；</w:t>
      </w:r>
    </w:p>
    <w:p>
      <w:pPr>
        <w:spacing w:line="400" w:lineRule="exact"/>
        <w:ind w:firstLine="480" w:firstLineChars="200"/>
        <w:jc w:val="left"/>
        <w:rPr>
          <w:color w:val="auto"/>
          <w:sz w:val="24"/>
          <w:szCs w:val="24"/>
          <w:highlight w:val="none"/>
        </w:rPr>
      </w:pPr>
      <w:r>
        <w:rPr>
          <w:rFonts w:hint="eastAsia"/>
          <w:color w:val="auto"/>
          <w:sz w:val="24"/>
          <w:szCs w:val="24"/>
          <w:highlight w:val="none"/>
        </w:rPr>
        <w:t>（2）对采购过程提出质疑的，为各采购程序环节结束之日；</w:t>
      </w:r>
    </w:p>
    <w:p>
      <w:pPr>
        <w:spacing w:line="400" w:lineRule="exact"/>
        <w:ind w:firstLine="480" w:firstLineChars="200"/>
        <w:jc w:val="left"/>
        <w:rPr>
          <w:color w:val="auto"/>
          <w:sz w:val="24"/>
          <w:szCs w:val="24"/>
          <w:highlight w:val="none"/>
        </w:rPr>
      </w:pPr>
      <w:r>
        <w:rPr>
          <w:rFonts w:hint="eastAsia"/>
          <w:color w:val="auto"/>
          <w:sz w:val="24"/>
          <w:szCs w:val="24"/>
          <w:highlight w:val="none"/>
        </w:rPr>
        <w:t>（3）对成交结果提出质疑的，为成交结果公告期限届满之日。</w:t>
      </w:r>
    </w:p>
    <w:p>
      <w:pPr>
        <w:spacing w:line="400" w:lineRule="exact"/>
        <w:ind w:firstLine="480" w:firstLineChars="200"/>
        <w:jc w:val="left"/>
        <w:rPr>
          <w:color w:val="auto"/>
          <w:sz w:val="24"/>
          <w:szCs w:val="24"/>
          <w:highlight w:val="none"/>
        </w:rPr>
      </w:pPr>
      <w:r>
        <w:rPr>
          <w:rFonts w:hint="eastAsia"/>
          <w:color w:val="auto"/>
          <w:sz w:val="24"/>
          <w:szCs w:val="24"/>
          <w:highlight w:val="none"/>
        </w:rPr>
        <w:t>30.2质疑必须按《政府采购法》、《政府采购法实施条例》及《江苏省政府采购供应商监督管理暂行办法》的相关规定提交，未按上述要求提交的质疑函（含传真、电子邮件等）采购人有权不予受理。</w:t>
      </w:r>
    </w:p>
    <w:p>
      <w:pPr>
        <w:spacing w:line="400" w:lineRule="exact"/>
        <w:ind w:firstLine="480" w:firstLineChars="200"/>
        <w:jc w:val="left"/>
        <w:rPr>
          <w:color w:val="auto"/>
          <w:sz w:val="24"/>
          <w:szCs w:val="24"/>
          <w:highlight w:val="none"/>
        </w:rPr>
      </w:pPr>
      <w:r>
        <w:rPr>
          <w:rFonts w:hint="eastAsia"/>
          <w:color w:val="auto"/>
          <w:sz w:val="24"/>
          <w:szCs w:val="24"/>
          <w:highlight w:val="none"/>
        </w:rPr>
        <w:t>30.3未参加采购活动的供应商或在采购活动中自身权益未受到损害的供应商所提出的质疑不予受理。</w:t>
      </w:r>
    </w:p>
    <w:p>
      <w:pPr>
        <w:spacing w:line="400" w:lineRule="exact"/>
        <w:ind w:firstLine="480" w:firstLineChars="200"/>
        <w:jc w:val="left"/>
        <w:rPr>
          <w:color w:val="auto"/>
          <w:sz w:val="24"/>
          <w:szCs w:val="24"/>
          <w:highlight w:val="none"/>
        </w:rPr>
      </w:pPr>
      <w:r>
        <w:rPr>
          <w:rFonts w:hint="eastAsia"/>
          <w:color w:val="auto"/>
          <w:sz w:val="24"/>
          <w:szCs w:val="24"/>
          <w:highlight w:val="none"/>
        </w:rPr>
        <w:t>30.4质疑函应当包括下列内容：</w:t>
      </w:r>
    </w:p>
    <w:p>
      <w:pPr>
        <w:spacing w:line="400" w:lineRule="exact"/>
        <w:ind w:firstLine="480" w:firstLineChars="200"/>
        <w:jc w:val="left"/>
        <w:rPr>
          <w:color w:val="auto"/>
          <w:sz w:val="24"/>
          <w:szCs w:val="24"/>
          <w:highlight w:val="none"/>
        </w:rPr>
      </w:pPr>
      <w:r>
        <w:rPr>
          <w:rFonts w:hint="eastAsia"/>
          <w:color w:val="auto"/>
          <w:sz w:val="24"/>
          <w:szCs w:val="24"/>
          <w:highlight w:val="none"/>
        </w:rPr>
        <w:t>（1）质疑供应商的名称、地址、邮编、联系人、联系电话；</w:t>
      </w:r>
    </w:p>
    <w:p>
      <w:pPr>
        <w:spacing w:line="400" w:lineRule="exact"/>
        <w:ind w:firstLine="480" w:firstLineChars="200"/>
        <w:jc w:val="left"/>
        <w:rPr>
          <w:color w:val="auto"/>
          <w:sz w:val="24"/>
          <w:szCs w:val="24"/>
          <w:highlight w:val="none"/>
        </w:rPr>
      </w:pPr>
      <w:r>
        <w:rPr>
          <w:rFonts w:hint="eastAsia"/>
          <w:color w:val="auto"/>
          <w:sz w:val="24"/>
          <w:szCs w:val="24"/>
          <w:highlight w:val="none"/>
        </w:rPr>
        <w:t>（2）具体的质疑事项及明确的请求；</w:t>
      </w:r>
    </w:p>
    <w:p>
      <w:pPr>
        <w:spacing w:line="400" w:lineRule="exact"/>
        <w:ind w:firstLine="480" w:firstLineChars="200"/>
        <w:jc w:val="left"/>
        <w:rPr>
          <w:color w:val="auto"/>
          <w:sz w:val="24"/>
          <w:szCs w:val="24"/>
          <w:highlight w:val="none"/>
        </w:rPr>
      </w:pPr>
      <w:r>
        <w:rPr>
          <w:rFonts w:hint="eastAsia"/>
          <w:color w:val="auto"/>
          <w:sz w:val="24"/>
          <w:szCs w:val="24"/>
          <w:highlight w:val="none"/>
        </w:rPr>
        <w:t>（3）认为自己合法权益受到损害或可能受到损害的相关证据材料；</w:t>
      </w:r>
    </w:p>
    <w:p>
      <w:pPr>
        <w:spacing w:line="400" w:lineRule="exact"/>
        <w:ind w:firstLine="480" w:firstLineChars="200"/>
        <w:jc w:val="left"/>
        <w:rPr>
          <w:color w:val="auto"/>
          <w:sz w:val="24"/>
          <w:szCs w:val="24"/>
          <w:highlight w:val="none"/>
        </w:rPr>
      </w:pPr>
      <w:r>
        <w:rPr>
          <w:rFonts w:hint="eastAsia"/>
          <w:color w:val="auto"/>
          <w:sz w:val="24"/>
          <w:szCs w:val="24"/>
          <w:highlight w:val="none"/>
        </w:rPr>
        <w:t>（4）提起质疑的日期；</w:t>
      </w:r>
    </w:p>
    <w:p>
      <w:pPr>
        <w:spacing w:line="400" w:lineRule="exact"/>
        <w:ind w:firstLine="480" w:firstLineChars="200"/>
        <w:jc w:val="left"/>
        <w:rPr>
          <w:color w:val="auto"/>
          <w:sz w:val="24"/>
          <w:szCs w:val="24"/>
          <w:highlight w:val="none"/>
        </w:rPr>
      </w:pPr>
      <w:r>
        <w:rPr>
          <w:rFonts w:hint="eastAsia"/>
          <w:color w:val="auto"/>
          <w:sz w:val="24"/>
          <w:szCs w:val="24"/>
          <w:highlight w:val="none"/>
        </w:rPr>
        <w:t>（5）质疑函应当署名：质疑人为自然人的，应当由本人签字并附有效身份证明；质疑人为法人或其他组织的，应当由法定代表人签字并加盖单位公章（质疑人为联合体的，则联合体各方法定代表人均须签字并加盖单位公章），未按要求签字和盖章的为无效质疑，采购人将不予受理。质疑人委托代理质疑的，应当向采购人提交授权委托书，并载明委托代理的具体权限和事项。</w:t>
      </w:r>
    </w:p>
    <w:p>
      <w:pPr>
        <w:spacing w:line="400" w:lineRule="exact"/>
        <w:ind w:firstLine="480" w:firstLineChars="200"/>
        <w:jc w:val="left"/>
        <w:rPr>
          <w:color w:val="auto"/>
          <w:sz w:val="24"/>
          <w:szCs w:val="24"/>
          <w:highlight w:val="none"/>
        </w:rPr>
      </w:pPr>
      <w:r>
        <w:rPr>
          <w:rFonts w:hint="eastAsia"/>
          <w:color w:val="auto"/>
          <w:sz w:val="24"/>
          <w:szCs w:val="24"/>
          <w:highlight w:val="none"/>
        </w:rPr>
        <w:t>30.5采购人收到质疑函后，将对质疑的形式和内容进行审查，如质疑函内容、格式不符合规定，采购人将告知质疑人进行补正。</w:t>
      </w:r>
    </w:p>
    <w:p>
      <w:pPr>
        <w:spacing w:line="400" w:lineRule="exact"/>
        <w:ind w:firstLine="480" w:firstLineChars="200"/>
        <w:jc w:val="left"/>
        <w:rPr>
          <w:color w:val="auto"/>
          <w:sz w:val="24"/>
          <w:szCs w:val="24"/>
          <w:highlight w:val="none"/>
        </w:rPr>
      </w:pPr>
      <w:r>
        <w:rPr>
          <w:rFonts w:hint="eastAsia"/>
          <w:color w:val="auto"/>
          <w:sz w:val="24"/>
          <w:szCs w:val="24"/>
          <w:highlight w:val="none"/>
        </w:rPr>
        <w:t>30.6质疑人应当在法定质疑期限内进行补正并重新提交质疑函，拒不补正或者在法定期限内未重新提交质疑函的，为无效质疑，采购人将不予受理。</w:t>
      </w:r>
    </w:p>
    <w:p>
      <w:pPr>
        <w:spacing w:line="400" w:lineRule="exact"/>
        <w:ind w:firstLine="480" w:firstLineChars="200"/>
        <w:jc w:val="left"/>
        <w:rPr>
          <w:color w:val="auto"/>
          <w:sz w:val="24"/>
          <w:szCs w:val="24"/>
          <w:highlight w:val="none"/>
        </w:rPr>
      </w:pPr>
      <w:r>
        <w:rPr>
          <w:rFonts w:hint="eastAsia"/>
          <w:color w:val="auto"/>
          <w:sz w:val="24"/>
          <w:szCs w:val="24"/>
          <w:highlight w:val="none"/>
        </w:rPr>
        <w:t>30.7对于内容、格式符合规定的质疑函，采购人将在收到参加投标人的书面质疑后七个工作日内作出答复，并以书面形式通知质疑供应商和其他相关供应商，答复的内容不涉及商业秘密。</w:t>
      </w:r>
    </w:p>
    <w:p>
      <w:pPr>
        <w:spacing w:line="400" w:lineRule="exact"/>
        <w:ind w:firstLine="480" w:firstLineChars="200"/>
        <w:jc w:val="left"/>
        <w:rPr>
          <w:color w:val="auto"/>
          <w:sz w:val="24"/>
          <w:szCs w:val="24"/>
          <w:highlight w:val="none"/>
        </w:rPr>
      </w:pPr>
      <w:r>
        <w:rPr>
          <w:rFonts w:hint="eastAsia"/>
          <w:color w:val="auto"/>
          <w:sz w:val="24"/>
          <w:szCs w:val="24"/>
          <w:highlight w:val="none"/>
        </w:rPr>
        <w:t>30.8供应商提出书面质疑必须有理、有据，不得恶意质疑或提交虚假质疑。否则，一经查实，采购人有权依据政府采购的有关规定，报请政府采购监管部门对该供应商进行相应的行政处罚。</w:t>
      </w:r>
    </w:p>
    <w:p>
      <w:pPr>
        <w:spacing w:line="400" w:lineRule="exact"/>
        <w:ind w:firstLine="560" w:firstLineChars="200"/>
        <w:jc w:val="left"/>
        <w:rPr>
          <w:color w:val="auto"/>
          <w:sz w:val="28"/>
          <w:szCs w:val="28"/>
          <w:highlight w:val="none"/>
        </w:rPr>
      </w:pPr>
      <w:r>
        <w:rPr>
          <w:rFonts w:hint="eastAsia"/>
          <w:color w:val="auto"/>
          <w:sz w:val="28"/>
          <w:szCs w:val="28"/>
          <w:highlight w:val="none"/>
        </w:rPr>
        <w:t>31．中标通知书</w:t>
      </w:r>
    </w:p>
    <w:p>
      <w:pPr>
        <w:spacing w:line="400" w:lineRule="exact"/>
        <w:ind w:firstLine="480" w:firstLineChars="200"/>
        <w:jc w:val="left"/>
        <w:rPr>
          <w:color w:val="auto"/>
          <w:sz w:val="24"/>
          <w:szCs w:val="24"/>
          <w:highlight w:val="none"/>
        </w:rPr>
      </w:pPr>
      <w:r>
        <w:rPr>
          <w:rFonts w:hint="eastAsia"/>
          <w:color w:val="auto"/>
          <w:sz w:val="24"/>
          <w:szCs w:val="24"/>
          <w:highlight w:val="none"/>
        </w:rPr>
        <w:t>31.1中标结果质疑期满后，采购人将向中标供应商发出中标通知书。</w:t>
      </w:r>
    </w:p>
    <w:p>
      <w:pPr>
        <w:spacing w:line="400" w:lineRule="exact"/>
        <w:ind w:firstLine="480" w:firstLineChars="200"/>
        <w:jc w:val="left"/>
        <w:rPr>
          <w:color w:val="auto"/>
          <w:sz w:val="24"/>
          <w:szCs w:val="24"/>
          <w:highlight w:val="none"/>
        </w:rPr>
      </w:pPr>
      <w:r>
        <w:rPr>
          <w:rFonts w:hint="eastAsia"/>
          <w:color w:val="auto"/>
          <w:sz w:val="24"/>
          <w:szCs w:val="24"/>
          <w:highlight w:val="none"/>
        </w:rPr>
        <w:t>31.2 中标供应商收到中标通知书后，须立即以书面形式回复采购人，确认中标通知书已收到。</w:t>
      </w:r>
    </w:p>
    <w:p>
      <w:pPr>
        <w:spacing w:line="400" w:lineRule="exact"/>
        <w:ind w:firstLine="480" w:firstLineChars="200"/>
        <w:jc w:val="left"/>
        <w:rPr>
          <w:color w:val="auto"/>
          <w:sz w:val="24"/>
          <w:szCs w:val="24"/>
          <w:highlight w:val="none"/>
        </w:rPr>
      </w:pPr>
      <w:r>
        <w:rPr>
          <w:rFonts w:hint="eastAsia"/>
          <w:color w:val="auto"/>
          <w:sz w:val="24"/>
          <w:szCs w:val="24"/>
          <w:highlight w:val="none"/>
        </w:rPr>
        <w:t>31.3中标通知书将是合同的一个组成部分。对采购人和中标供应商均具有法律效力。中标通知书发出后，中标供应商放弃中标项目的，应当依法承担法律责任。</w:t>
      </w:r>
    </w:p>
    <w:p>
      <w:pPr>
        <w:spacing w:line="400" w:lineRule="exact"/>
        <w:ind w:firstLine="480" w:firstLineChars="200"/>
        <w:jc w:val="left"/>
        <w:rPr>
          <w:color w:val="auto"/>
          <w:sz w:val="24"/>
          <w:szCs w:val="24"/>
          <w:highlight w:val="none"/>
        </w:rPr>
      </w:pPr>
    </w:p>
    <w:p>
      <w:pPr>
        <w:spacing w:line="400" w:lineRule="exact"/>
        <w:ind w:firstLine="643" w:firstLineChars="200"/>
        <w:jc w:val="left"/>
        <w:rPr>
          <w:b/>
          <w:color w:val="auto"/>
          <w:sz w:val="32"/>
          <w:szCs w:val="32"/>
          <w:highlight w:val="none"/>
        </w:rPr>
      </w:pPr>
      <w:r>
        <w:rPr>
          <w:rFonts w:hint="eastAsia"/>
          <w:b/>
          <w:color w:val="auto"/>
          <w:sz w:val="32"/>
          <w:szCs w:val="32"/>
          <w:highlight w:val="none"/>
        </w:rPr>
        <w:t>七、授予合同</w:t>
      </w:r>
    </w:p>
    <w:p>
      <w:pPr>
        <w:spacing w:line="400" w:lineRule="exact"/>
        <w:ind w:firstLine="560" w:firstLineChars="200"/>
        <w:jc w:val="left"/>
        <w:rPr>
          <w:color w:val="auto"/>
          <w:sz w:val="28"/>
          <w:szCs w:val="28"/>
          <w:highlight w:val="none"/>
        </w:rPr>
      </w:pPr>
      <w:r>
        <w:rPr>
          <w:rFonts w:hint="eastAsia"/>
          <w:color w:val="auto"/>
          <w:sz w:val="28"/>
          <w:szCs w:val="28"/>
          <w:highlight w:val="none"/>
        </w:rPr>
        <w:t>32．签订合同</w:t>
      </w:r>
    </w:p>
    <w:p>
      <w:pPr>
        <w:spacing w:line="400" w:lineRule="exact"/>
        <w:ind w:firstLine="480" w:firstLineChars="200"/>
        <w:jc w:val="left"/>
        <w:rPr>
          <w:color w:val="auto"/>
          <w:sz w:val="24"/>
          <w:szCs w:val="24"/>
          <w:highlight w:val="none"/>
        </w:rPr>
      </w:pPr>
      <w:r>
        <w:rPr>
          <w:rFonts w:hint="eastAsia"/>
          <w:color w:val="auto"/>
          <w:sz w:val="24"/>
          <w:szCs w:val="24"/>
          <w:highlight w:val="none"/>
        </w:rPr>
        <w:t>32.l中标人必须按中标通知书规定的时间、地点,按照招标文件确定的事项签订政府采购合同，</w:t>
      </w:r>
      <w:r>
        <w:rPr>
          <w:rFonts w:hint="eastAsia" w:ascii="宋体" w:hAnsi="宋体"/>
          <w:color w:val="auto"/>
          <w:sz w:val="24"/>
          <w:szCs w:val="24"/>
          <w:highlight w:val="none"/>
        </w:rPr>
        <w:t xml:space="preserve">且不得迟于中标通知书发出之日起十五日内。对于满足合同约定支付条件的，采购人自收到发票后15日内将资金支付到合同约定的供应商账户。    </w:t>
      </w:r>
    </w:p>
    <w:p>
      <w:pPr>
        <w:spacing w:line="400" w:lineRule="exact"/>
        <w:ind w:firstLine="480" w:firstLineChars="200"/>
        <w:jc w:val="left"/>
        <w:rPr>
          <w:color w:val="auto"/>
          <w:sz w:val="24"/>
          <w:szCs w:val="24"/>
          <w:highlight w:val="none"/>
        </w:rPr>
      </w:pPr>
      <w:r>
        <w:rPr>
          <w:rFonts w:hint="eastAsia"/>
          <w:color w:val="auto"/>
          <w:sz w:val="24"/>
          <w:szCs w:val="24"/>
          <w:highlight w:val="none"/>
        </w:rPr>
        <w:t>32.2 招标文件、中标人的投标文件及招标过程中有关澄清、承诺文件均应作为合同附件。</w:t>
      </w:r>
    </w:p>
    <w:p>
      <w:pPr>
        <w:spacing w:line="380" w:lineRule="exact"/>
        <w:ind w:firstLine="480" w:firstLineChars="200"/>
        <w:jc w:val="left"/>
        <w:rPr>
          <w:color w:val="auto"/>
          <w:sz w:val="24"/>
          <w:szCs w:val="24"/>
          <w:highlight w:val="none"/>
        </w:rPr>
      </w:pPr>
      <w:r>
        <w:rPr>
          <w:rFonts w:hint="eastAsia"/>
          <w:color w:val="auto"/>
          <w:sz w:val="24"/>
          <w:szCs w:val="24"/>
          <w:highlight w:val="none"/>
        </w:rPr>
        <w:t>32.3在合同签订之前，采购人有权对中标单位的履约能力进行最后审查，审查方式包括询问、调查和实地考察，如发现中标单位提供的材料虚假或对标书所要求说明的情况故意隐瞒或虚报，则招标采购人有权取消其签约资格，没收其投标保证金，并在标书有效期内另行评定中标者，或重新招标。</w:t>
      </w:r>
    </w:p>
    <w:p>
      <w:pPr>
        <w:spacing w:line="380" w:lineRule="exact"/>
        <w:ind w:firstLine="480" w:firstLineChars="200"/>
        <w:jc w:val="left"/>
        <w:rPr>
          <w:color w:val="auto"/>
          <w:sz w:val="24"/>
          <w:szCs w:val="24"/>
          <w:highlight w:val="none"/>
        </w:rPr>
      </w:pPr>
      <w:r>
        <w:rPr>
          <w:rFonts w:hint="eastAsia"/>
          <w:color w:val="auto"/>
          <w:sz w:val="24"/>
          <w:szCs w:val="24"/>
          <w:highlight w:val="none"/>
        </w:rPr>
        <w:t>32.4签订合同后，中标人不得将货物及其他相关服务进行转包。未经采购人同意，中标人也不得随意采用分包的形式履行合同，否则采购人有权终止合同，中标人的履约保证金将不予退还。转包或分包造成采购人损失的，中标人应承担相应赔偿责任。</w:t>
      </w:r>
    </w:p>
    <w:p>
      <w:pPr>
        <w:spacing w:line="380" w:lineRule="exact"/>
        <w:ind w:firstLine="560" w:firstLineChars="200"/>
        <w:jc w:val="left"/>
        <w:rPr>
          <w:color w:val="auto"/>
          <w:sz w:val="28"/>
          <w:szCs w:val="28"/>
          <w:highlight w:val="none"/>
        </w:rPr>
      </w:pPr>
      <w:r>
        <w:rPr>
          <w:rFonts w:hint="eastAsia"/>
          <w:color w:val="auto"/>
          <w:sz w:val="28"/>
          <w:szCs w:val="28"/>
          <w:highlight w:val="none"/>
        </w:rPr>
        <w:t>33．货物和服务的追加、调减</w:t>
      </w:r>
    </w:p>
    <w:p>
      <w:pPr>
        <w:spacing w:line="380" w:lineRule="exact"/>
        <w:ind w:firstLine="480" w:firstLineChars="200"/>
        <w:jc w:val="left"/>
        <w:rPr>
          <w:color w:val="auto"/>
          <w:sz w:val="24"/>
          <w:szCs w:val="24"/>
          <w:highlight w:val="none"/>
        </w:rPr>
      </w:pPr>
      <w:r>
        <w:rPr>
          <w:rFonts w:hint="eastAsia"/>
          <w:color w:val="auto"/>
          <w:sz w:val="24"/>
          <w:szCs w:val="24"/>
          <w:highlight w:val="none"/>
        </w:rPr>
        <w:t>33.1政府采购合同履行中，需追加与合同标的相同的货物和服务的，在不改变价格水平、合同及其他条款的前提下，采购人可以与中标人协商签订补充合同。</w:t>
      </w:r>
    </w:p>
    <w:p>
      <w:pPr>
        <w:spacing w:line="380" w:lineRule="exact"/>
        <w:ind w:firstLine="480" w:firstLineChars="200"/>
        <w:jc w:val="left"/>
        <w:rPr>
          <w:color w:val="auto"/>
          <w:sz w:val="24"/>
          <w:szCs w:val="24"/>
          <w:highlight w:val="none"/>
        </w:rPr>
      </w:pPr>
      <w:r>
        <w:rPr>
          <w:rFonts w:hint="eastAsia"/>
          <w:color w:val="auto"/>
          <w:sz w:val="24"/>
          <w:szCs w:val="24"/>
          <w:highlight w:val="none"/>
        </w:rPr>
        <w:t>33.2采购结束后，采购人若由于各种客观原因，必须对采购项目所牵涉的货物和服务进行适当的减少时，在双方协商一致的前提下，可以按照招标采购时的价格水平做相应的调减，并据此签订补充合同。</w:t>
      </w:r>
    </w:p>
    <w:p>
      <w:pPr>
        <w:spacing w:line="380" w:lineRule="exact"/>
        <w:ind w:firstLine="480" w:firstLineChars="200"/>
        <w:jc w:val="left"/>
        <w:rPr>
          <w:color w:val="auto"/>
          <w:sz w:val="24"/>
          <w:szCs w:val="24"/>
          <w:highlight w:val="none"/>
        </w:rPr>
      </w:pPr>
      <w:r>
        <w:rPr>
          <w:rFonts w:hint="eastAsia"/>
          <w:color w:val="auto"/>
          <w:sz w:val="24"/>
          <w:szCs w:val="24"/>
          <w:highlight w:val="none"/>
        </w:rPr>
        <w:t>33.3项目结束后，采购人若由于各种客观原因，必须对采购项目所牵涉的货物和服务进行适当的添购时，由于须保证原有采购项目一致性或者服务配套的要求，必须符合《政府采购法》的规定并经相关部门批准，可以继续从中标人处按照单一来源采购的方式进行添购，且所牵涉的货物和服务的价格水平不得超过本次公开招标的水平且低于当时的社会平均价。货物和服务的添购，应在本次政府采购合同的基础上，另行签订货物和服务的添购合同。</w:t>
      </w:r>
    </w:p>
    <w:p>
      <w:pPr>
        <w:spacing w:line="380" w:lineRule="exact"/>
        <w:ind w:firstLine="560" w:firstLineChars="200"/>
        <w:jc w:val="left"/>
        <w:rPr>
          <w:rFonts w:hint="eastAsia"/>
          <w:color w:val="auto"/>
          <w:sz w:val="24"/>
          <w:szCs w:val="24"/>
          <w:highlight w:val="none"/>
        </w:rPr>
      </w:pPr>
      <w:r>
        <w:rPr>
          <w:rFonts w:hint="eastAsia"/>
          <w:color w:val="auto"/>
          <w:sz w:val="28"/>
          <w:szCs w:val="28"/>
          <w:highlight w:val="none"/>
        </w:rPr>
        <w:t>34</w:t>
      </w:r>
      <w:r>
        <w:rPr>
          <w:rFonts w:hint="eastAsia"/>
          <w:color w:val="auto"/>
          <w:sz w:val="28"/>
          <w:szCs w:val="28"/>
          <w:highlight w:val="none"/>
          <w:lang w:val="en-US" w:eastAsia="zh-CN"/>
        </w:rPr>
        <w:t>.</w:t>
      </w:r>
      <w:r>
        <w:rPr>
          <w:rFonts w:hint="eastAsia"/>
          <w:b/>
          <w:bCs/>
          <w:color w:val="auto"/>
          <w:sz w:val="24"/>
          <w:szCs w:val="24"/>
          <w:highlight w:val="none"/>
        </w:rPr>
        <w:t>政府采购履约保证资金、合同信用融资扶持政策</w:t>
      </w:r>
    </w:p>
    <w:p>
      <w:pPr>
        <w:spacing w:line="380" w:lineRule="exact"/>
        <w:ind w:firstLine="480" w:firstLineChars="200"/>
        <w:jc w:val="left"/>
        <w:rPr>
          <w:rFonts w:hint="eastAsia"/>
          <w:color w:val="auto"/>
          <w:sz w:val="24"/>
          <w:szCs w:val="24"/>
          <w:highlight w:val="none"/>
        </w:rPr>
      </w:pPr>
      <w:r>
        <w:rPr>
          <w:rFonts w:hint="eastAsia"/>
          <w:color w:val="auto"/>
          <w:sz w:val="24"/>
          <w:szCs w:val="24"/>
          <w:highlight w:val="none"/>
        </w:rPr>
        <w:t>3</w:t>
      </w:r>
      <w:r>
        <w:rPr>
          <w:rFonts w:hint="eastAsia"/>
          <w:color w:val="auto"/>
          <w:sz w:val="24"/>
          <w:szCs w:val="24"/>
          <w:highlight w:val="none"/>
          <w:lang w:val="en-US" w:eastAsia="zh-CN"/>
        </w:rPr>
        <w:t>4</w:t>
      </w:r>
      <w:r>
        <w:rPr>
          <w:rFonts w:hint="eastAsia"/>
          <w:color w:val="auto"/>
          <w:sz w:val="24"/>
          <w:szCs w:val="24"/>
          <w:highlight w:val="none"/>
        </w:rPr>
        <w:t>.1成交供应商如需获得履约保证金支持，可在南通市政府采购网直接线上办理线上履约保证保险申请，详情请见南通市政府采购网首页 “易企服”综合服务平台-金融产品全周期-履约保证保险专栏。</w:t>
      </w:r>
    </w:p>
    <w:p>
      <w:pPr>
        <w:spacing w:line="380" w:lineRule="exact"/>
        <w:ind w:firstLine="480" w:firstLineChars="200"/>
        <w:jc w:val="left"/>
        <w:rPr>
          <w:color w:val="auto"/>
          <w:sz w:val="24"/>
          <w:szCs w:val="24"/>
          <w:highlight w:val="none"/>
        </w:rPr>
      </w:pPr>
      <w:r>
        <w:rPr>
          <w:rFonts w:hint="eastAsia"/>
          <w:color w:val="auto"/>
          <w:sz w:val="24"/>
          <w:szCs w:val="24"/>
          <w:highlight w:val="none"/>
        </w:rPr>
        <w:t>3</w:t>
      </w:r>
      <w:r>
        <w:rPr>
          <w:rFonts w:hint="eastAsia"/>
          <w:color w:val="auto"/>
          <w:sz w:val="24"/>
          <w:szCs w:val="24"/>
          <w:highlight w:val="none"/>
          <w:lang w:val="en-US" w:eastAsia="zh-CN"/>
        </w:rPr>
        <w:t>4</w:t>
      </w:r>
      <w:r>
        <w:rPr>
          <w:rFonts w:hint="eastAsia"/>
          <w:color w:val="auto"/>
          <w:sz w:val="24"/>
          <w:szCs w:val="24"/>
          <w:highlight w:val="none"/>
        </w:rPr>
        <w:t>.2根据《关于转发江苏省财政厅、中国人民银行南京分行&lt;关于深入推进政府采购线上合同信用融资工作的通知&gt;的通知》（通财购〔2021〕41号），对政府采购成交供应商提出“政采贷”融资申请的，采购人应当依法按时在“苏采云”系统中录入并公开政府采购合同信息，勾选“融资贷款”选项，并在合同签订、验收付款、账号维护等环节提供必要便利，持续降低参与政府采购的中小企业融资成本。成交供应商如需获得合同信用融资支持，可凭政府采购合同办理“政采贷”融资贷款，详情请见南通市政府采购网 “易企服”综合服务平台-金融产品全周期-贷款产品专栏。</w:t>
      </w:r>
    </w:p>
    <w:p>
      <w:pPr>
        <w:keepNext w:val="0"/>
        <w:keepLines w:val="0"/>
        <w:pageBreakBefore w:val="0"/>
        <w:widowControl w:val="0"/>
        <w:kinsoku/>
        <w:wordWrap/>
        <w:overflowPunct/>
        <w:topLinePunct w:val="0"/>
        <w:autoSpaceDE/>
        <w:autoSpaceDN/>
        <w:bidi w:val="0"/>
        <w:adjustRightInd w:val="0"/>
        <w:snapToGrid w:val="0"/>
        <w:spacing w:line="400" w:lineRule="exact"/>
        <w:ind w:firstLine="240" w:firstLineChars="100"/>
        <w:textAlignment w:val="auto"/>
        <w:rPr>
          <w:rFonts w:hint="eastAsia" w:ascii="宋体" w:hAnsi="宋体" w:eastAsia="宋体" w:cs="宋体"/>
          <w:b/>
          <w:color w:val="auto"/>
          <w:sz w:val="24"/>
          <w:szCs w:val="24"/>
          <w:highlight w:val="none"/>
          <w:lang w:val="zh-CN"/>
        </w:rPr>
      </w:pPr>
      <w:r>
        <w:rPr>
          <w:rFonts w:hint="eastAsia"/>
          <w:color w:val="auto"/>
          <w:sz w:val="24"/>
          <w:szCs w:val="24"/>
          <w:highlight w:val="none"/>
          <w:lang w:val="en-US" w:eastAsia="zh-CN"/>
        </w:rPr>
        <w:t>35.</w:t>
      </w:r>
      <w:r>
        <w:rPr>
          <w:rFonts w:hint="eastAsia" w:ascii="宋体" w:hAnsi="宋体" w:eastAsia="宋体" w:cs="宋体"/>
          <w:b/>
          <w:color w:val="auto"/>
          <w:sz w:val="24"/>
          <w:szCs w:val="24"/>
          <w:highlight w:val="none"/>
          <w:lang w:val="zh-CN"/>
        </w:rPr>
        <w:t>履约保证金</w:t>
      </w:r>
    </w:p>
    <w:p>
      <w:pPr>
        <w:pStyle w:val="23"/>
        <w:keepNext w:val="0"/>
        <w:keepLines w:val="0"/>
        <w:pageBreakBefore w:val="0"/>
        <w:widowControl w:val="0"/>
        <w:kinsoku/>
        <w:wordWrap/>
        <w:overflowPunct/>
        <w:topLinePunct w:val="0"/>
        <w:autoSpaceDE/>
        <w:autoSpaceDN/>
        <w:bidi w:val="0"/>
        <w:adjustRightInd/>
        <w:snapToGrid/>
        <w:spacing w:line="400" w:lineRule="exact"/>
        <w:ind w:left="0" w:leftChars="0" w:firstLine="240" w:firstLineChars="1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35.1</w:t>
      </w:r>
      <w:r>
        <w:rPr>
          <w:rFonts w:hint="eastAsia" w:ascii="宋体" w:hAnsi="宋体" w:eastAsia="宋体" w:cs="宋体"/>
          <w:b/>
          <w:bCs/>
          <w:color w:val="auto"/>
          <w:sz w:val="24"/>
          <w:szCs w:val="24"/>
          <w:highlight w:val="none"/>
          <w:lang w:val="en-US" w:eastAsia="zh-CN"/>
        </w:rPr>
        <w:t>本项目成交后的履约保证金为中标价*10%，</w:t>
      </w:r>
      <w:r>
        <w:rPr>
          <w:rFonts w:hint="eastAsia" w:ascii="宋体" w:hAnsi="宋体" w:eastAsia="宋体" w:cs="宋体"/>
          <w:color w:val="auto"/>
          <w:sz w:val="24"/>
          <w:szCs w:val="24"/>
          <w:highlight w:val="none"/>
          <w:lang w:val="en-US" w:eastAsia="zh-CN"/>
        </w:rPr>
        <w:t>成交供应商的履约保证金须在成交通知书发出之日起至合同签订前汇入采购单位账户（应当以支票、汇票或者金融机构、担保机构出具的保函等非现金形式提交），成交供应商凭成交通知书与采购单位签订合同。超期或未有协商，则视为自动放弃成交资格。</w:t>
      </w:r>
    </w:p>
    <w:p>
      <w:pPr>
        <w:pStyle w:val="23"/>
        <w:keepNext w:val="0"/>
        <w:keepLines w:val="0"/>
        <w:pageBreakBefore w:val="0"/>
        <w:widowControl w:val="0"/>
        <w:kinsoku/>
        <w:wordWrap/>
        <w:overflowPunct/>
        <w:topLinePunct w:val="0"/>
        <w:autoSpaceDE/>
        <w:autoSpaceDN/>
        <w:bidi w:val="0"/>
        <w:adjustRightInd/>
        <w:snapToGrid/>
        <w:spacing w:line="400" w:lineRule="exact"/>
        <w:ind w:left="0" w:leftChars="0" w:firstLine="240" w:firstLineChars="1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35.2成交供应商全部履约合同义务，经采购单位验收合格无质量、进度等问题的，采购人在验收合格后一次性退还履约保证金；</w:t>
      </w:r>
    </w:p>
    <w:p>
      <w:pPr>
        <w:pStyle w:val="23"/>
        <w:keepNext w:val="0"/>
        <w:keepLines w:val="0"/>
        <w:pageBreakBefore w:val="0"/>
        <w:widowControl w:val="0"/>
        <w:kinsoku/>
        <w:wordWrap/>
        <w:overflowPunct/>
        <w:topLinePunct w:val="0"/>
        <w:autoSpaceDE/>
        <w:autoSpaceDN/>
        <w:bidi w:val="0"/>
        <w:adjustRightInd/>
        <w:snapToGrid/>
        <w:spacing w:line="400" w:lineRule="exact"/>
        <w:ind w:left="0" w:leftChars="0" w:firstLine="240" w:firstLineChars="100"/>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35.3</w:t>
      </w:r>
      <w:r>
        <w:rPr>
          <w:rFonts w:hint="eastAsia" w:ascii="宋体" w:hAnsi="宋体" w:eastAsia="宋体" w:cs="宋体"/>
          <w:color w:val="auto"/>
          <w:sz w:val="24"/>
          <w:szCs w:val="24"/>
          <w:highlight w:val="none"/>
        </w:rPr>
        <w:t>发生以下情况的，履约保证金不予退还或部分退还：</w:t>
      </w:r>
    </w:p>
    <w:p>
      <w:pPr>
        <w:pStyle w:val="23"/>
        <w:keepNext w:val="0"/>
        <w:keepLines w:val="0"/>
        <w:pageBreakBefore w:val="0"/>
        <w:widowControl w:val="0"/>
        <w:kinsoku/>
        <w:wordWrap/>
        <w:overflowPunct/>
        <w:topLinePunct w:val="0"/>
        <w:autoSpaceDE/>
        <w:autoSpaceDN/>
        <w:bidi w:val="0"/>
        <w:adjustRightInd/>
        <w:snapToGrid/>
        <w:spacing w:line="400" w:lineRule="exact"/>
        <w:ind w:left="0" w:leftChars="0" w:firstLine="240" w:firstLineChars="1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a.签订合同后，成交供应商不履行合同义务的，采购单位有权全额扣除履约保证金，全额不予退还，同时采购单位亦有权终止合同，</w:t>
      </w:r>
      <w:r>
        <w:rPr>
          <w:rFonts w:hint="eastAsia" w:ascii="宋体" w:hAnsi="宋体" w:eastAsia="宋体" w:cs="宋体"/>
          <w:color w:val="auto"/>
          <w:sz w:val="24"/>
          <w:szCs w:val="24"/>
          <w:highlight w:val="none"/>
          <w:lang w:eastAsia="zh-CN"/>
        </w:rPr>
        <w:t>成交</w:t>
      </w:r>
      <w:r>
        <w:rPr>
          <w:rFonts w:hint="eastAsia" w:ascii="宋体" w:hAnsi="宋体" w:eastAsia="宋体" w:cs="宋体"/>
          <w:color w:val="auto"/>
          <w:sz w:val="24"/>
          <w:szCs w:val="24"/>
          <w:highlight w:val="none"/>
        </w:rPr>
        <w:t>供应商还须承担相应的法律赔偿责任。</w:t>
      </w: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b.成交供应商在履约过程中发生违约行为，给采购单位造成损失的，采购单位有权在成交供应商缴纳的履约保证金中予以扣款，以弥补采购单位经济损失，不足的部分成交供应商另外补齐。</w:t>
      </w:r>
    </w:p>
    <w:p>
      <w:pPr>
        <w:keepNext w:val="0"/>
        <w:keepLines w:val="0"/>
        <w:pageBreakBefore w:val="0"/>
        <w:widowControl w:val="0"/>
        <w:kinsoku/>
        <w:wordWrap/>
        <w:overflowPunct/>
        <w:topLinePunct w:val="0"/>
        <w:autoSpaceDE/>
        <w:autoSpaceDN/>
        <w:bidi w:val="0"/>
        <w:adjustRightInd/>
        <w:snapToGrid/>
        <w:spacing w:line="400" w:lineRule="exact"/>
        <w:ind w:firstLine="240" w:firstLineChars="100"/>
        <w:textAlignment w:val="auto"/>
        <w:rPr>
          <w:rFonts w:hint="default"/>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35.4</w:t>
      </w:r>
      <w:r>
        <w:rPr>
          <w:rFonts w:hint="eastAsia" w:ascii="宋体" w:hAnsi="宋体" w:eastAsia="宋体" w:cs="宋体"/>
          <w:b w:val="0"/>
          <w:bCs w:val="0"/>
          <w:color w:val="auto"/>
          <w:sz w:val="24"/>
          <w:szCs w:val="24"/>
          <w:highlight w:val="none"/>
        </w:rPr>
        <w:t>根据《关于进一步加大政府采购支持中小企业力度的通知》（东财购〔2022〕8号）精神，鼓励采购人对政府采购信用档案中无不良记录的中小企业免收履约保证金。确需收取履约保证金的，按照《关于转发南通市财政局 南通市行政审批局 中国银保监会南通监管分局&lt;关于在政府采购领域开展履约保证保险网上办理试行工作的通知&gt;的通知》（东财购〔2022〕1号），直接在网上办理履约保证保险替代实质性的履约保证金缴纳，进一步减轻企业现金流压力。集中采购的中标（成交）供应商可在南通市公共资源交易金融服务平台（</w:t>
      </w:r>
      <w:r>
        <w:rPr>
          <w:rFonts w:hint="eastAsia" w:ascii="宋体" w:hAnsi="宋体" w:eastAsia="宋体" w:cs="宋体"/>
          <w:b w:val="0"/>
          <w:bCs w:val="0"/>
          <w:color w:val="auto"/>
          <w:sz w:val="24"/>
          <w:szCs w:val="24"/>
          <w:highlight w:val="none"/>
        </w:rPr>
        <w:fldChar w:fldCharType="begin"/>
      </w:r>
      <w:r>
        <w:rPr>
          <w:rFonts w:hint="eastAsia" w:ascii="宋体" w:hAnsi="宋体" w:eastAsia="宋体" w:cs="宋体"/>
          <w:b w:val="0"/>
          <w:bCs w:val="0"/>
          <w:color w:val="auto"/>
          <w:sz w:val="24"/>
          <w:szCs w:val="24"/>
          <w:highlight w:val="none"/>
        </w:rPr>
        <w:instrText xml:space="preserve"> HYPERLINK "http://ggzyjy.nantong.gov.cn/NTdzbhweb/supermarket/" </w:instrText>
      </w:r>
      <w:r>
        <w:rPr>
          <w:rFonts w:hint="eastAsia" w:ascii="宋体" w:hAnsi="宋体" w:eastAsia="宋体" w:cs="宋体"/>
          <w:b w:val="0"/>
          <w:bCs w:val="0"/>
          <w:color w:val="auto"/>
          <w:sz w:val="24"/>
          <w:szCs w:val="24"/>
          <w:highlight w:val="none"/>
        </w:rPr>
        <w:fldChar w:fldCharType="separate"/>
      </w:r>
      <w:r>
        <w:rPr>
          <w:rFonts w:hint="eastAsia" w:ascii="宋体" w:hAnsi="宋体" w:eastAsia="宋体" w:cs="宋体"/>
          <w:b w:val="0"/>
          <w:bCs w:val="0"/>
          <w:color w:val="auto"/>
          <w:sz w:val="24"/>
          <w:szCs w:val="24"/>
          <w:highlight w:val="none"/>
        </w:rPr>
        <w:t>http://ggzyjy.nantong.gov.cn/NTdzbhweb/supermarket/</w:t>
      </w:r>
      <w:r>
        <w:rPr>
          <w:rFonts w:hint="eastAsia" w:ascii="宋体" w:hAnsi="宋体" w:eastAsia="宋体" w:cs="宋体"/>
          <w:b w:val="0"/>
          <w:bCs w:val="0"/>
          <w:color w:val="auto"/>
          <w:sz w:val="24"/>
          <w:szCs w:val="24"/>
          <w:highlight w:val="none"/>
        </w:rPr>
        <w:fldChar w:fldCharType="end"/>
      </w:r>
      <w:r>
        <w:rPr>
          <w:rFonts w:hint="eastAsia" w:ascii="宋体" w:hAnsi="宋体" w:eastAsia="宋体" w:cs="宋体"/>
          <w:b w:val="0"/>
          <w:bCs w:val="0"/>
          <w:color w:val="auto"/>
          <w:sz w:val="24"/>
          <w:szCs w:val="24"/>
          <w:highlight w:val="none"/>
        </w:rPr>
        <w:t>）“履约保证保险”模块在线申请履约保证保险投保。</w:t>
      </w:r>
    </w:p>
    <w:p>
      <w:pPr>
        <w:spacing w:line="380" w:lineRule="exact"/>
        <w:ind w:firstLine="480" w:firstLineChars="200"/>
        <w:jc w:val="left"/>
        <w:rPr>
          <w:rFonts w:asciiTheme="minorEastAsia" w:hAnsiTheme="minorEastAsia" w:eastAsiaTheme="minorEastAsia"/>
          <w:color w:val="auto"/>
          <w:sz w:val="24"/>
          <w:szCs w:val="24"/>
          <w:highlight w:val="none"/>
        </w:rPr>
      </w:pPr>
      <w:r>
        <w:rPr>
          <w:rFonts w:hint="eastAsia"/>
          <w:color w:val="auto"/>
          <w:sz w:val="24"/>
          <w:szCs w:val="24"/>
          <w:highlight w:val="none"/>
          <w:lang w:val="en-US" w:eastAsia="zh-CN"/>
        </w:rPr>
        <w:t>36.</w:t>
      </w:r>
      <w:r>
        <w:rPr>
          <w:rFonts w:hint="eastAsia"/>
          <w:color w:val="auto"/>
          <w:sz w:val="24"/>
          <w:szCs w:val="24"/>
          <w:highlight w:val="none"/>
        </w:rPr>
        <w:t>投标人如对本招标文件中的采购需求（包括详细方案、技术参数、技术需求和服务要求、供应商资格条件、评标方法与评标标准等）有疑问或不明之处，可与采购人联系。采购人对采购项目的采购需求有解释权。在招标过程中如出现投标人针对本项目采购需求提出</w:t>
      </w:r>
      <w:r>
        <w:rPr>
          <w:rFonts w:hint="eastAsia" w:asciiTheme="minorEastAsia" w:hAnsiTheme="minorEastAsia" w:eastAsiaTheme="minorEastAsia"/>
          <w:color w:val="auto"/>
          <w:sz w:val="24"/>
          <w:szCs w:val="24"/>
          <w:highlight w:val="none"/>
        </w:rPr>
        <w:t>质疑、疑问，由采购人负责并按规定进行答复。采购人：如东县林业服务站；采购人联系人：张雷；联系电话：</w:t>
      </w:r>
      <w:r>
        <w:rPr>
          <w:rFonts w:asciiTheme="minorEastAsia" w:hAnsiTheme="minorEastAsia" w:eastAsiaTheme="minorEastAsia"/>
          <w:color w:val="auto"/>
          <w:sz w:val="24"/>
          <w:szCs w:val="24"/>
          <w:highlight w:val="none"/>
        </w:rPr>
        <w:t>18068108087</w:t>
      </w:r>
      <w:r>
        <w:rPr>
          <w:rFonts w:hint="eastAsia" w:asciiTheme="minorEastAsia" w:hAnsiTheme="minorEastAsia" w:eastAsiaTheme="minorEastAsia"/>
          <w:color w:val="auto"/>
          <w:sz w:val="24"/>
          <w:szCs w:val="24"/>
          <w:highlight w:val="none"/>
        </w:rPr>
        <w:t>。</w:t>
      </w:r>
    </w:p>
    <w:p>
      <w:pPr>
        <w:spacing w:line="380" w:lineRule="exact"/>
        <w:ind w:firstLine="480" w:firstLineChars="200"/>
        <w:jc w:val="left"/>
        <w:rPr>
          <w:color w:val="auto"/>
          <w:sz w:val="24"/>
          <w:szCs w:val="24"/>
          <w:highlight w:val="none"/>
        </w:rPr>
      </w:pPr>
      <w:r>
        <w:rPr>
          <w:rFonts w:hint="eastAsia"/>
          <w:color w:val="auto"/>
          <w:sz w:val="24"/>
          <w:szCs w:val="24"/>
          <w:highlight w:val="none"/>
        </w:rPr>
        <w:t>如投标人对本项目有投诉，可与如东县财政局政府采购管理科联系，联系电话：0513-84112918。</w:t>
      </w:r>
    </w:p>
    <w:p>
      <w:pPr>
        <w:rPr>
          <w:color w:val="auto"/>
          <w:highlight w:val="none"/>
        </w:rPr>
      </w:pPr>
      <w:r>
        <w:rPr>
          <w:color w:val="auto"/>
          <w:highlight w:val="none"/>
        </w:rPr>
        <w:br w:type="page"/>
      </w:r>
    </w:p>
    <w:p>
      <w:pPr>
        <w:pStyle w:val="43"/>
        <w:adjustRightInd w:val="0"/>
        <w:snapToGrid w:val="0"/>
        <w:spacing w:after="240" w:line="520" w:lineRule="exact"/>
        <w:ind w:firstLine="1767" w:firstLineChars="400"/>
        <w:jc w:val="both"/>
        <w:rPr>
          <w:rFonts w:ascii="宋体" w:hAnsi="宋体"/>
          <w:color w:val="auto"/>
          <w:sz w:val="28"/>
          <w:szCs w:val="28"/>
          <w:highlight w:val="none"/>
        </w:rPr>
      </w:pPr>
      <w:r>
        <w:rPr>
          <w:rFonts w:hint="eastAsia" w:ascii="宋体" w:hAnsi="宋体" w:eastAsia="宋体" w:cs="宋体"/>
          <w:color w:val="auto"/>
          <w:highlight w:val="none"/>
        </w:rPr>
        <w:t>第三章  项目技术需求</w:t>
      </w:r>
    </w:p>
    <w:p>
      <w:pPr>
        <w:spacing w:line="480" w:lineRule="exact"/>
        <w:jc w:val="left"/>
        <w:rPr>
          <w:rFonts w:ascii="宋体" w:hAnsi="宋体"/>
          <w:b/>
          <w:color w:val="auto"/>
          <w:sz w:val="28"/>
          <w:szCs w:val="28"/>
          <w:highlight w:val="none"/>
        </w:rPr>
      </w:pPr>
      <w:r>
        <w:rPr>
          <w:rFonts w:hint="eastAsia" w:ascii="宋体" w:hAnsi="宋体"/>
          <w:b/>
          <w:color w:val="auto"/>
          <w:sz w:val="28"/>
          <w:szCs w:val="28"/>
          <w:highlight w:val="none"/>
        </w:rPr>
        <w:t>一、项目背景</w:t>
      </w:r>
    </w:p>
    <w:p>
      <w:pPr>
        <w:spacing w:line="480" w:lineRule="exact"/>
        <w:ind w:firstLine="560" w:firstLineChars="200"/>
        <w:jc w:val="left"/>
        <w:rPr>
          <w:rFonts w:asciiTheme="minorEastAsia" w:hAnsiTheme="minorEastAsia" w:eastAsiaTheme="minorEastAsia"/>
          <w:bCs/>
          <w:color w:val="auto"/>
          <w:sz w:val="28"/>
          <w:szCs w:val="28"/>
          <w:highlight w:val="none"/>
        </w:rPr>
      </w:pPr>
      <w:r>
        <w:rPr>
          <w:rFonts w:hint="eastAsia" w:cs="仿宋_GB2312" w:asciiTheme="minorEastAsia" w:hAnsiTheme="minorEastAsia" w:eastAsiaTheme="minorEastAsia"/>
          <w:color w:val="auto"/>
          <w:sz w:val="28"/>
          <w:szCs w:val="28"/>
          <w:highlight w:val="none"/>
        </w:rPr>
        <w:t>为改善沿海湿地生态环境和生态系统，根据国家、省、市关于治理沿海互花米草的相关文件要求，我县2023年至2025年须完成治理沿海约65920亩互花米草的目标任务，今年洋口镇风电母港西侧开展先行试点治理的约7101亩</w:t>
      </w:r>
      <w:r>
        <w:rPr>
          <w:rFonts w:hint="eastAsia" w:asciiTheme="minorEastAsia" w:hAnsiTheme="minorEastAsia" w:eastAsiaTheme="minorEastAsia"/>
          <w:bCs/>
          <w:color w:val="auto"/>
          <w:sz w:val="28"/>
          <w:szCs w:val="28"/>
          <w:highlight w:val="none"/>
        </w:rPr>
        <w:t>。</w:t>
      </w:r>
    </w:p>
    <w:p>
      <w:pPr>
        <w:spacing w:line="480" w:lineRule="exact"/>
        <w:jc w:val="left"/>
        <w:rPr>
          <w:rFonts w:ascii="宋体" w:hAnsi="宋体"/>
          <w:b/>
          <w:color w:val="auto"/>
          <w:sz w:val="28"/>
          <w:szCs w:val="28"/>
          <w:highlight w:val="none"/>
        </w:rPr>
      </w:pPr>
      <w:r>
        <w:rPr>
          <w:rFonts w:hint="eastAsia" w:ascii="宋体" w:hAnsi="宋体"/>
          <w:b/>
          <w:color w:val="auto"/>
          <w:sz w:val="28"/>
          <w:szCs w:val="28"/>
          <w:highlight w:val="none"/>
        </w:rPr>
        <w:t>二、项目需求</w:t>
      </w:r>
    </w:p>
    <w:p>
      <w:pPr>
        <w:spacing w:line="480" w:lineRule="exact"/>
        <w:ind w:firstLine="560" w:firstLineChars="200"/>
        <w:jc w:val="left"/>
        <w:rPr>
          <w:rFonts w:ascii="宋体" w:hAnsi="宋体"/>
          <w:bCs/>
          <w:color w:val="auto"/>
          <w:sz w:val="28"/>
          <w:szCs w:val="28"/>
          <w:highlight w:val="none"/>
        </w:rPr>
      </w:pPr>
      <w:r>
        <w:rPr>
          <w:rFonts w:hint="eastAsia" w:ascii="宋体" w:hAnsi="宋体"/>
          <w:color w:val="auto"/>
          <w:sz w:val="28"/>
          <w:szCs w:val="28"/>
          <w:highlight w:val="none"/>
        </w:rPr>
        <w:t>如东县本次试点除治区治理面积 473.4337公顷 (含1个新增图斑面积 21.1817 公顷)。 根据除治区互花米草分布特征及地形地貌条件，共划分为 5个不同治理技术手段除治区，分别采用</w:t>
      </w:r>
      <w:r>
        <w:rPr>
          <w:rFonts w:hint="eastAsia" w:cs="仿宋" w:asciiTheme="minorEastAsia" w:hAnsiTheme="minorEastAsia" w:eastAsiaTheme="minorEastAsia"/>
          <w:color w:val="auto"/>
          <w:sz w:val="28"/>
          <w:szCs w:val="28"/>
          <w:highlight w:val="none"/>
        </w:rPr>
        <w:t>刈</w:t>
      </w:r>
      <w:r>
        <w:rPr>
          <w:rFonts w:hint="eastAsia" w:ascii="宋体" w:hAnsi="宋体"/>
          <w:color w:val="auto"/>
          <w:sz w:val="28"/>
          <w:szCs w:val="28"/>
          <w:highlight w:val="none"/>
        </w:rPr>
        <w:t>割+围淹 (272.2917 公顷占57.51%)、翻根深埋 (58.9745 公顷，占12.46%)、人工清除43.5900公顷，占9.21%)、生物药剂(39.5192公顷，占8.35%)和生物药剂+人工清除(59.0583 公顷，占12.47%)等除治方式进行治理。</w:t>
      </w:r>
    </w:p>
    <w:tbl>
      <w:tblPr>
        <w:tblStyle w:val="24"/>
        <w:tblW w:w="8859"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53"/>
        <w:gridCol w:w="5223"/>
        <w:gridCol w:w="877"/>
        <w:gridCol w:w="15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atLeast"/>
        </w:trPr>
        <w:tc>
          <w:tcPr>
            <w:tcW w:w="1253"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项目名称</w:t>
            </w:r>
          </w:p>
        </w:tc>
        <w:tc>
          <w:tcPr>
            <w:tcW w:w="5223"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治理方式</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单位</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4" w:hRule="atLeast"/>
        </w:trPr>
        <w:tc>
          <w:tcPr>
            <w:tcW w:w="1253" w:type="dxa"/>
            <w:vMerge w:val="restart"/>
            <w:noWrap/>
            <w:vAlign w:val="center"/>
          </w:tcPr>
          <w:p>
            <w:pPr>
              <w:spacing w:line="440" w:lineRule="exac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bCs/>
                <w:color w:val="auto"/>
                <w:sz w:val="24"/>
                <w:szCs w:val="24"/>
                <w:highlight w:val="none"/>
              </w:rPr>
              <w:t>如东县2023年互花米草治理（试点）项目</w:t>
            </w:r>
          </w:p>
        </w:tc>
        <w:tc>
          <w:tcPr>
            <w:tcW w:w="5223" w:type="dxa"/>
            <w:noWrap/>
            <w:vAlign w:val="center"/>
          </w:tcPr>
          <w:p>
            <w:pPr>
              <w:spacing w:line="440" w:lineRule="exact"/>
              <w:jc w:val="left"/>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“刈割+围淹”除治方式治理：吹沙袋蓄水围堰，中间设隔仓，每个区域需设出工通道。海水灌填，含排管、每个隔仓设水位标志，及时补水，保证6个月内淹没区互花米草刈割后草根部分的蓄水水位不低于0.5米</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272.2917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1253" w:type="dxa"/>
            <w:vMerge w:val="continue"/>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5223" w:type="dxa"/>
            <w:noWrap/>
            <w:vAlign w:val="center"/>
          </w:tcPr>
          <w:p>
            <w:pPr>
              <w:spacing w:line="44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翻根深埋</w:t>
            </w:r>
            <w:r>
              <w:rPr>
                <w:rFonts w:hint="eastAsia" w:cs="仿宋" w:asciiTheme="minorEastAsia" w:hAnsiTheme="minorEastAsia" w:eastAsiaTheme="minorEastAsia"/>
                <w:color w:val="auto"/>
                <w:sz w:val="24"/>
                <w:szCs w:val="24"/>
                <w:highlight w:val="none"/>
              </w:rPr>
              <w:t>除治方式治理</w:t>
            </w:r>
            <w:r>
              <w:rPr>
                <w:rFonts w:hint="eastAsia" w:asciiTheme="minorEastAsia" w:hAnsiTheme="minorEastAsia" w:eastAsiaTheme="minorEastAsia"/>
                <w:color w:val="auto"/>
                <w:sz w:val="24"/>
                <w:szCs w:val="24"/>
                <w:highlight w:val="none"/>
              </w:rPr>
              <w:t>：</w:t>
            </w:r>
            <w:r>
              <w:rPr>
                <w:rFonts w:hint="eastAsia" w:cs="仿宋" w:asciiTheme="minorEastAsia" w:hAnsiTheme="minorEastAsia" w:eastAsiaTheme="minorEastAsia"/>
                <w:color w:val="auto"/>
                <w:sz w:val="24"/>
                <w:szCs w:val="24"/>
                <w:highlight w:val="none"/>
              </w:rPr>
              <w:t>翻根深埋的深度不低于1米，也可以采取“连根挖出+迁移离场”的方法</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58.9745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1253" w:type="dxa"/>
            <w:vMerge w:val="continue"/>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5223" w:type="dxa"/>
            <w:noWrap/>
            <w:vAlign w:val="center"/>
          </w:tcPr>
          <w:p>
            <w:pPr>
              <w:spacing w:line="44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人工清除方式</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43.5900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1253" w:type="dxa"/>
            <w:vMerge w:val="continue"/>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5223" w:type="dxa"/>
            <w:noWrap/>
            <w:vAlign w:val="center"/>
          </w:tcPr>
          <w:p>
            <w:pPr>
              <w:spacing w:line="440" w:lineRule="exact"/>
              <w:jc w:val="left"/>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生物药剂</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39.5192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1253" w:type="dxa"/>
            <w:vMerge w:val="continue"/>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5223" w:type="dxa"/>
            <w:noWrap/>
            <w:vAlign w:val="center"/>
          </w:tcPr>
          <w:p>
            <w:pPr>
              <w:spacing w:line="44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生物药剂+人工清除</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506" w:type="dxa"/>
            <w:noWrap/>
            <w:vAlign w:val="center"/>
          </w:tcPr>
          <w:p>
            <w:pPr>
              <w:spacing w:line="44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59.0583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1253" w:type="dxa"/>
            <w:vMerge w:val="continue"/>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5223" w:type="dxa"/>
            <w:noWrap/>
            <w:vAlign w:val="center"/>
          </w:tcPr>
          <w:p>
            <w:pPr>
              <w:spacing w:line="440" w:lineRule="exact"/>
              <w:jc w:val="left"/>
              <w:rPr>
                <w:rFonts w:asciiTheme="minorEastAsia" w:hAnsiTheme="minorEastAsia" w:eastAsiaTheme="minorEastAsia"/>
                <w:color w:val="auto"/>
                <w:sz w:val="24"/>
                <w:szCs w:val="24"/>
                <w:highlight w:val="none"/>
              </w:rPr>
            </w:pPr>
            <w:r>
              <w:rPr>
                <w:rFonts w:hint="eastAsia" w:ascii="宋体" w:hAnsi="宋体"/>
                <w:color w:val="auto"/>
                <w:sz w:val="24"/>
                <w:szCs w:val="24"/>
                <w:highlight w:val="none"/>
              </w:rPr>
              <w:t>其他治理措施试验</w:t>
            </w:r>
          </w:p>
        </w:tc>
        <w:tc>
          <w:tcPr>
            <w:tcW w:w="877" w:type="dxa"/>
            <w:noWrap/>
            <w:vAlign w:val="center"/>
          </w:tcPr>
          <w:p>
            <w:pPr>
              <w:spacing w:line="440" w:lineRule="exact"/>
              <w:jc w:val="center"/>
              <w:rPr>
                <w:rFonts w:cs="仿宋" w:asciiTheme="minorEastAsia" w:hAnsiTheme="minorEastAsia" w:eastAsiaTheme="minorEastAsia"/>
                <w:color w:val="auto"/>
                <w:sz w:val="24"/>
                <w:szCs w:val="24"/>
                <w:highlight w:val="none"/>
              </w:rPr>
            </w:pPr>
          </w:p>
        </w:tc>
        <w:tc>
          <w:tcPr>
            <w:tcW w:w="1506" w:type="dxa"/>
            <w:noWrap/>
            <w:vAlign w:val="center"/>
          </w:tcPr>
          <w:p>
            <w:pPr>
              <w:spacing w:line="440" w:lineRule="exact"/>
              <w:jc w:val="center"/>
              <w:rPr>
                <w:rFonts w:asciiTheme="minorEastAsia" w:hAnsiTheme="minorEastAsia" w:eastAsiaTheme="minorEastAsia"/>
                <w:color w:val="auto"/>
                <w:sz w:val="24"/>
                <w:szCs w:val="24"/>
                <w:highlight w:val="none"/>
              </w:rPr>
            </w:pPr>
          </w:p>
        </w:tc>
      </w:tr>
    </w:tbl>
    <w:p>
      <w:pPr>
        <w:spacing w:line="480" w:lineRule="exact"/>
        <w:jc w:val="left"/>
        <w:rPr>
          <w:rFonts w:asciiTheme="minorEastAsia" w:hAnsiTheme="minorEastAsia" w:eastAsiaTheme="minorEastAsia"/>
          <w:b/>
          <w:color w:val="auto"/>
          <w:sz w:val="28"/>
          <w:szCs w:val="28"/>
          <w:highlight w:val="none"/>
        </w:rPr>
      </w:pPr>
      <w:r>
        <w:rPr>
          <w:rFonts w:hint="eastAsia" w:cs="仿宋" w:asciiTheme="minorEastAsia" w:hAnsiTheme="minorEastAsia" w:eastAsiaTheme="minorEastAsia"/>
          <w:color w:val="auto"/>
          <w:sz w:val="28"/>
          <w:szCs w:val="28"/>
          <w:highlight w:val="none"/>
        </w:rPr>
        <w:t>注：海水涨落中心区域零星除草不另列，由投标人自行测算计入报价。</w:t>
      </w:r>
    </w:p>
    <w:p>
      <w:pPr>
        <w:spacing w:line="480" w:lineRule="exact"/>
        <w:jc w:val="left"/>
        <w:rPr>
          <w:rFonts w:hint="eastAsia" w:cs="仿宋" w:asciiTheme="minorEastAsia" w:hAnsiTheme="minorEastAsia" w:eastAsiaTheme="minorEastAsia"/>
          <w:color w:val="auto"/>
          <w:sz w:val="28"/>
          <w:szCs w:val="28"/>
          <w:highlight w:val="none"/>
          <w:lang w:eastAsia="zh-CN"/>
        </w:rPr>
      </w:pPr>
      <w:r>
        <w:rPr>
          <w:rFonts w:hint="eastAsia" w:cs="仿宋" w:asciiTheme="minorEastAsia" w:hAnsiTheme="minorEastAsia" w:eastAsiaTheme="minorEastAsia"/>
          <w:color w:val="auto"/>
          <w:sz w:val="28"/>
          <w:szCs w:val="28"/>
          <w:highlight w:val="none"/>
        </w:rPr>
        <w:t>投标人必须按《如东县2023年互花米草治理（试点）技术方案》”编制投标方案，投标人可以向采购人索要《如东县2023年互花米草治理（试点）技术方案》</w:t>
      </w:r>
      <w:r>
        <w:rPr>
          <w:rFonts w:hint="eastAsia" w:cs="仿宋" w:asciiTheme="minorEastAsia" w:hAnsiTheme="minorEastAsia" w:eastAsiaTheme="minorEastAsia"/>
          <w:color w:val="auto"/>
          <w:sz w:val="28"/>
          <w:szCs w:val="28"/>
          <w:highlight w:val="none"/>
          <w:lang w:eastAsia="zh-CN"/>
        </w:rPr>
        <w:t>。</w:t>
      </w:r>
    </w:p>
    <w:p>
      <w:pPr>
        <w:spacing w:line="480" w:lineRule="exact"/>
        <w:jc w:val="left"/>
        <w:rPr>
          <w:rFonts w:ascii="宋体" w:hAnsi="宋体"/>
          <w:b/>
          <w:color w:val="auto"/>
          <w:sz w:val="28"/>
          <w:szCs w:val="28"/>
          <w:highlight w:val="none"/>
        </w:rPr>
      </w:pPr>
      <w:r>
        <w:rPr>
          <w:rFonts w:hint="eastAsia" w:ascii="宋体" w:hAnsi="宋体"/>
          <w:b/>
          <w:color w:val="auto"/>
          <w:sz w:val="28"/>
          <w:szCs w:val="28"/>
          <w:highlight w:val="none"/>
        </w:rPr>
        <w:t>三、进度要求</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bCs/>
          <w:color w:val="auto"/>
          <w:sz w:val="28"/>
          <w:szCs w:val="28"/>
          <w:highlight w:val="none"/>
        </w:rPr>
        <w:t xml:space="preserve"> </w:t>
      </w:r>
      <w:r>
        <w:rPr>
          <w:rFonts w:hint="eastAsia" w:ascii="宋体" w:hAnsi="宋体"/>
          <w:color w:val="auto"/>
          <w:sz w:val="28"/>
          <w:szCs w:val="28"/>
          <w:highlight w:val="none"/>
        </w:rPr>
        <w:t>2023年10月为前期阶段，开展现状调查、补充调查、实施方案评审及报批；</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color w:val="auto"/>
          <w:sz w:val="28"/>
          <w:szCs w:val="28"/>
          <w:highlight w:val="none"/>
        </w:rPr>
        <w:t>2023年10月- 12月31日为除治阶段，全面完成除治任务(涉及到生物药剂的安排在10月份前完成)；</w:t>
      </w:r>
    </w:p>
    <w:p>
      <w:pPr>
        <w:snapToGrid w:val="0"/>
        <w:spacing w:line="480" w:lineRule="exact"/>
        <w:ind w:firstLine="560" w:firstLineChars="200"/>
        <w:jc w:val="left"/>
        <w:rPr>
          <w:rFonts w:ascii="宋体" w:hAnsi="宋体"/>
          <w:b/>
          <w:bCs/>
          <w:color w:val="auto"/>
          <w:sz w:val="28"/>
          <w:szCs w:val="28"/>
          <w:highlight w:val="none"/>
        </w:rPr>
      </w:pPr>
      <w:r>
        <w:rPr>
          <w:rFonts w:hint="eastAsia" w:ascii="宋体" w:hAnsi="宋体"/>
          <w:color w:val="auto"/>
          <w:sz w:val="28"/>
          <w:szCs w:val="28"/>
          <w:highlight w:val="none"/>
        </w:rPr>
        <w:t>2024年1月1日至2025年12月为后期管护阶段，巩固除治成果进行监测评估。</w:t>
      </w:r>
    </w:p>
    <w:p>
      <w:pPr>
        <w:snapToGrid w:val="0"/>
        <w:spacing w:line="480" w:lineRule="exact"/>
        <w:ind w:firstLine="562" w:firstLineChars="200"/>
        <w:jc w:val="left"/>
        <w:rPr>
          <w:rFonts w:ascii="宋体" w:hAnsi="宋体"/>
          <w:b/>
          <w:color w:val="auto"/>
          <w:sz w:val="28"/>
          <w:szCs w:val="28"/>
          <w:highlight w:val="none"/>
        </w:rPr>
      </w:pPr>
      <w:r>
        <w:rPr>
          <w:rFonts w:hint="eastAsia" w:ascii="宋体" w:hAnsi="宋体"/>
          <w:b/>
          <w:color w:val="auto"/>
          <w:sz w:val="28"/>
          <w:szCs w:val="28"/>
          <w:highlight w:val="none"/>
        </w:rPr>
        <w:t>四、成果要求：</w:t>
      </w:r>
    </w:p>
    <w:p>
      <w:pPr>
        <w:snapToGrid w:val="0"/>
        <w:spacing w:line="480" w:lineRule="exact"/>
        <w:ind w:firstLine="560" w:firstLineChars="200"/>
        <w:jc w:val="left"/>
        <w:rPr>
          <w:rFonts w:ascii="宋体" w:hAnsi="宋体"/>
          <w:color w:val="auto"/>
          <w:sz w:val="28"/>
          <w:szCs w:val="28"/>
          <w:highlight w:val="none"/>
        </w:rPr>
      </w:pPr>
      <w:r>
        <w:rPr>
          <w:rFonts w:hint="eastAsia" w:ascii="宋体" w:hAnsi="宋体"/>
          <w:bCs/>
          <w:color w:val="auto"/>
          <w:sz w:val="28"/>
          <w:szCs w:val="28"/>
          <w:highlight w:val="none"/>
        </w:rPr>
        <w:t>本项目</w:t>
      </w:r>
      <w:r>
        <w:rPr>
          <w:rFonts w:hint="eastAsia" w:ascii="宋体" w:hAnsi="宋体"/>
          <w:color w:val="auto"/>
          <w:sz w:val="28"/>
          <w:szCs w:val="28"/>
          <w:highlight w:val="none"/>
        </w:rPr>
        <w:t>前期阶段开展现状调查、补充调查、实施方案评审及报批。</w:t>
      </w:r>
    </w:p>
    <w:p>
      <w:pPr>
        <w:spacing w:line="480" w:lineRule="exact"/>
        <w:jc w:val="left"/>
        <w:rPr>
          <w:rFonts w:ascii="宋体" w:hAnsi="宋体"/>
          <w:bCs/>
          <w:color w:val="auto"/>
          <w:sz w:val="28"/>
          <w:szCs w:val="28"/>
          <w:highlight w:val="none"/>
        </w:rPr>
      </w:pPr>
      <w:r>
        <w:rPr>
          <w:rFonts w:hint="eastAsia" w:ascii="宋体" w:hAnsi="宋体"/>
          <w:bCs/>
          <w:color w:val="auto"/>
          <w:sz w:val="28"/>
          <w:szCs w:val="28"/>
          <w:highlight w:val="none"/>
        </w:rPr>
        <w:t>实施方案成果应达到</w:t>
      </w:r>
      <w:r>
        <w:rPr>
          <w:rFonts w:hint="eastAsia" w:cs="仿宋_GB2312" w:asciiTheme="minorEastAsia" w:hAnsiTheme="minorEastAsia" w:eastAsiaTheme="minorEastAsia"/>
          <w:color w:val="auto"/>
          <w:sz w:val="28"/>
          <w:szCs w:val="28"/>
          <w:highlight w:val="none"/>
        </w:rPr>
        <w:t>国家、省、市关于治理沿海互花米草的相关文件要求</w:t>
      </w:r>
      <w:r>
        <w:rPr>
          <w:rFonts w:hint="eastAsia" w:ascii="宋体" w:hAnsi="宋体"/>
          <w:bCs/>
          <w:color w:val="auto"/>
          <w:sz w:val="28"/>
          <w:szCs w:val="28"/>
          <w:highlight w:val="none"/>
        </w:rPr>
        <w:t>。初步成果、中间成果的纸质成果数量视采购人要求而定。最终成果应以相关文件要求为准，形成的纸质成果数量至少八套，具体数量视采购人需求而定，纸质成果及电子数据成果所有权归采购人所有。</w:t>
      </w:r>
    </w:p>
    <w:p>
      <w:pPr>
        <w:spacing w:line="480" w:lineRule="exact"/>
        <w:rPr>
          <w:rFonts w:ascii="宋体" w:hAnsi="宋体" w:cs="楷体"/>
          <w:b/>
          <w:color w:val="auto"/>
          <w:sz w:val="28"/>
          <w:szCs w:val="28"/>
          <w:highlight w:val="none"/>
        </w:rPr>
      </w:pPr>
      <w:r>
        <w:rPr>
          <w:rFonts w:hint="eastAsia" w:ascii="宋体" w:hAnsi="宋体" w:cs="楷体"/>
          <w:color w:val="auto"/>
          <w:sz w:val="28"/>
          <w:szCs w:val="28"/>
          <w:highlight w:val="none"/>
        </w:rPr>
        <w:t>　</w:t>
      </w:r>
      <w:r>
        <w:rPr>
          <w:rFonts w:hint="eastAsia" w:ascii="宋体" w:hAnsi="宋体" w:cs="楷体"/>
          <w:b/>
          <w:color w:val="auto"/>
          <w:sz w:val="28"/>
          <w:szCs w:val="28"/>
          <w:highlight w:val="none"/>
        </w:rPr>
        <w:t>五、质量及验收方法</w:t>
      </w:r>
    </w:p>
    <w:p>
      <w:pPr>
        <w:spacing w:line="480" w:lineRule="exact"/>
        <w:ind w:firstLine="420"/>
        <w:rPr>
          <w:rFonts w:ascii="宋体" w:hAnsi="宋体" w:cs="楷体"/>
          <w:color w:val="auto"/>
          <w:sz w:val="28"/>
          <w:szCs w:val="28"/>
          <w:highlight w:val="none"/>
        </w:rPr>
      </w:pPr>
      <w:r>
        <w:rPr>
          <w:rFonts w:hint="eastAsia" w:ascii="宋体" w:hAnsi="宋体" w:cs="楷体"/>
          <w:color w:val="auto"/>
          <w:sz w:val="28"/>
          <w:szCs w:val="28"/>
          <w:highlight w:val="none"/>
        </w:rPr>
        <w:t>1、以除草实效为质量考核目标，当年实际除杀率必须在90％以上，次年对残存及新生草继续除杀，同样达90％以上，并持续保持至       2025年12月31日。</w:t>
      </w:r>
    </w:p>
    <w:p>
      <w:pPr>
        <w:spacing w:line="480" w:lineRule="exact"/>
        <w:ind w:firstLine="420"/>
        <w:rPr>
          <w:rFonts w:ascii="宋体" w:hAnsi="宋体" w:cs="楷体"/>
          <w:color w:val="auto"/>
          <w:sz w:val="28"/>
          <w:szCs w:val="28"/>
          <w:highlight w:val="none"/>
        </w:rPr>
      </w:pPr>
      <w:r>
        <w:rPr>
          <w:rFonts w:hint="eastAsia" w:ascii="宋体" w:hAnsi="宋体" w:cs="楷体"/>
          <w:color w:val="auto"/>
          <w:sz w:val="28"/>
          <w:szCs w:val="28"/>
          <w:highlight w:val="none"/>
        </w:rPr>
        <w:t>2、验收方法：以第三方实时监测结论为依据，以主管部门组织验收的结果为最终标准。</w:t>
      </w:r>
    </w:p>
    <w:p>
      <w:pPr>
        <w:spacing w:line="480" w:lineRule="exact"/>
        <w:jc w:val="left"/>
        <w:rPr>
          <w:rFonts w:ascii="宋体" w:hAnsi="宋体"/>
          <w:bCs/>
          <w:color w:val="auto"/>
          <w:sz w:val="28"/>
          <w:szCs w:val="28"/>
          <w:highlight w:val="none"/>
        </w:rPr>
      </w:pPr>
      <w:r>
        <w:rPr>
          <w:rFonts w:hint="eastAsia" w:ascii="宋体" w:hAnsi="宋体"/>
          <w:b/>
          <w:color w:val="auto"/>
          <w:sz w:val="28"/>
          <w:szCs w:val="28"/>
          <w:highlight w:val="none"/>
        </w:rPr>
        <w:t>六、售后服务：</w:t>
      </w:r>
      <w:r>
        <w:rPr>
          <w:rFonts w:hint="eastAsia" w:ascii="宋体" w:hAnsi="宋体"/>
          <w:bCs/>
          <w:color w:val="auto"/>
          <w:sz w:val="28"/>
          <w:szCs w:val="28"/>
          <w:highlight w:val="none"/>
        </w:rPr>
        <w:t xml:space="preserve"> </w:t>
      </w:r>
    </w:p>
    <w:p>
      <w:pPr>
        <w:spacing w:line="480" w:lineRule="exact"/>
        <w:ind w:firstLine="420"/>
        <w:rPr>
          <w:rFonts w:ascii="宋体" w:hAnsi="宋体" w:cs="楷体"/>
          <w:color w:val="auto"/>
          <w:sz w:val="28"/>
          <w:szCs w:val="28"/>
          <w:highlight w:val="none"/>
        </w:rPr>
      </w:pPr>
      <w:r>
        <w:rPr>
          <w:rFonts w:hint="eastAsia" w:ascii="宋体" w:hAnsi="宋体" w:cs="楷体"/>
          <w:color w:val="auto"/>
          <w:sz w:val="28"/>
          <w:szCs w:val="28"/>
          <w:highlight w:val="none"/>
        </w:rPr>
        <w:t>在两年管护期内，中标供应商须成立专门的管护小组，每周至少一次对合同区域互花米草除治情况巡查上报并采取措施除治到位。</w:t>
      </w:r>
    </w:p>
    <w:p>
      <w:pPr>
        <w:spacing w:line="560" w:lineRule="exact"/>
        <w:jc w:val="left"/>
        <w:rPr>
          <w:b/>
          <w:color w:val="auto"/>
          <w:sz w:val="28"/>
          <w:szCs w:val="28"/>
          <w:highlight w:val="none"/>
        </w:rPr>
      </w:pPr>
      <w:r>
        <w:rPr>
          <w:rFonts w:hint="eastAsia"/>
          <w:b/>
          <w:color w:val="auto"/>
          <w:sz w:val="28"/>
          <w:szCs w:val="28"/>
          <w:highlight w:val="none"/>
        </w:rPr>
        <w:t>七、付款方式：</w:t>
      </w:r>
    </w:p>
    <w:p>
      <w:pPr>
        <w:spacing w:line="480" w:lineRule="exact"/>
        <w:ind w:firstLine="490" w:firstLineChars="175"/>
        <w:rPr>
          <w:rFonts w:cs="楷体" w:asciiTheme="minorEastAsia" w:hAnsiTheme="minorEastAsia" w:eastAsiaTheme="minorEastAsia"/>
          <w:color w:val="auto"/>
          <w:sz w:val="28"/>
          <w:szCs w:val="28"/>
          <w:highlight w:val="none"/>
        </w:rPr>
      </w:pPr>
      <w:bookmarkStart w:id="33" w:name="_Toc335123871"/>
      <w:bookmarkStart w:id="34" w:name="_Toc307561711"/>
      <w:bookmarkStart w:id="35" w:name="_Toc335124682"/>
      <w:r>
        <w:rPr>
          <w:rFonts w:hint="eastAsia" w:cs="楷体" w:asciiTheme="minorEastAsia" w:hAnsiTheme="minorEastAsia" w:eastAsiaTheme="minorEastAsia"/>
          <w:color w:val="auto"/>
          <w:sz w:val="28"/>
          <w:szCs w:val="28"/>
          <w:highlight w:val="none"/>
        </w:rPr>
        <w:t>1、2023年底除治主要措施完成，经考核验收达到90％的除杀率，付至合同金额的30％。</w:t>
      </w:r>
    </w:p>
    <w:p>
      <w:pPr>
        <w:spacing w:line="480" w:lineRule="exact"/>
        <w:ind w:firstLine="490" w:firstLineChars="175"/>
        <w:rPr>
          <w:rFonts w:cs="楷体" w:asciiTheme="minorEastAsia" w:hAnsiTheme="minorEastAsia" w:eastAsiaTheme="minorEastAsia"/>
          <w:color w:val="auto"/>
          <w:sz w:val="28"/>
          <w:szCs w:val="28"/>
          <w:highlight w:val="none"/>
        </w:rPr>
      </w:pPr>
      <w:r>
        <w:rPr>
          <w:rFonts w:hint="eastAsia" w:cs="楷体" w:asciiTheme="minorEastAsia" w:hAnsiTheme="minorEastAsia" w:eastAsiaTheme="minorEastAsia"/>
          <w:color w:val="auto"/>
          <w:sz w:val="28"/>
          <w:szCs w:val="28"/>
          <w:highlight w:val="none"/>
        </w:rPr>
        <w:t>2、2024年，若2023年已除治区域互花米草复生率低于14％，乙方需按照管护方案继续开展除治工作，按90％的除杀率进行考核，验收通过付至合同金额80％；若2023年已除治区域互花米草复生率超过14％，则2024年不付款，乙方仍需采取必要措施开展除治工作。复生率依据第三方实时监测结论确定。</w:t>
      </w:r>
    </w:p>
    <w:p>
      <w:pPr>
        <w:spacing w:line="480" w:lineRule="exact"/>
        <w:ind w:firstLine="420" w:firstLineChars="150"/>
        <w:jc w:val="left"/>
        <w:rPr>
          <w:rFonts w:cs="楷体" w:asciiTheme="minorEastAsia" w:hAnsiTheme="minorEastAsia" w:eastAsiaTheme="minorEastAsia"/>
          <w:color w:val="auto"/>
          <w:sz w:val="28"/>
          <w:szCs w:val="28"/>
          <w:highlight w:val="none"/>
        </w:rPr>
      </w:pPr>
      <w:r>
        <w:rPr>
          <w:rFonts w:hint="eastAsia" w:cs="楷体" w:asciiTheme="minorEastAsia" w:hAnsiTheme="minorEastAsia" w:eastAsiaTheme="minorEastAsia"/>
          <w:color w:val="auto"/>
          <w:sz w:val="28"/>
          <w:szCs w:val="28"/>
          <w:highlight w:val="none"/>
        </w:rPr>
        <w:t>3、2025年，若2024年未付款的且未采取有效措施，采购人有权采取终止合同、引入新的实施单位开展除治，乙方的履约保证金不予退还、剩余款项不予支付；若2024年未付款但已采取有效措施且除杀率达到90%的，以及2024年已付至合同金额80％的，乙方必须按管护方案继续开展除治，经主管部门考核验收合格后付清余款。</w:t>
      </w:r>
    </w:p>
    <w:p>
      <w:pPr>
        <w:spacing w:line="480" w:lineRule="exact"/>
        <w:ind w:firstLine="420" w:firstLineChars="150"/>
        <w:jc w:val="left"/>
        <w:rPr>
          <w:rFonts w:asciiTheme="minorEastAsia" w:hAnsiTheme="minorEastAsia" w:eastAsiaTheme="minorEastAsia"/>
          <w:b/>
          <w:color w:val="auto"/>
          <w:sz w:val="28"/>
          <w:szCs w:val="28"/>
          <w:highlight w:val="none"/>
        </w:rPr>
      </w:pPr>
      <w:r>
        <w:rPr>
          <w:rFonts w:hint="eastAsia" w:cs="楷体" w:asciiTheme="minorEastAsia" w:hAnsiTheme="minorEastAsia" w:eastAsiaTheme="minorEastAsia"/>
          <w:color w:val="auto"/>
          <w:sz w:val="28"/>
          <w:szCs w:val="28"/>
          <w:highlight w:val="none"/>
        </w:rPr>
        <w:t>4、</w:t>
      </w:r>
      <w:r>
        <w:rPr>
          <w:rFonts w:hint="eastAsia" w:ascii="宋体" w:hAnsi="宋体"/>
          <w:color w:val="auto"/>
          <w:sz w:val="28"/>
          <w:szCs w:val="28"/>
          <w:highlight w:val="none"/>
        </w:rPr>
        <w:t>其他治理措施试验费用90万元，根据采购人要求，若采购人要求实施此项工作，则在按采购人要求完成此项工作后经验收合格于实施当年付清款项，若采购人未要求实施此项工作，则不付款。</w:t>
      </w:r>
    </w:p>
    <w:p>
      <w:pPr>
        <w:spacing w:line="480" w:lineRule="exact"/>
        <w:ind w:firstLine="562" w:firstLineChars="200"/>
        <w:jc w:val="left"/>
        <w:rPr>
          <w:rFonts w:ascii="宋体" w:hAnsi="宋体"/>
          <w:b/>
          <w:color w:val="auto"/>
          <w:sz w:val="24"/>
          <w:szCs w:val="24"/>
          <w:highlight w:val="none"/>
        </w:rPr>
      </w:pPr>
      <w:r>
        <w:rPr>
          <w:rFonts w:hint="eastAsia" w:ascii="宋体" w:hAnsi="宋体"/>
          <w:b/>
          <w:color w:val="auto"/>
          <w:sz w:val="28"/>
          <w:szCs w:val="28"/>
          <w:highlight w:val="none"/>
        </w:rPr>
        <w:t>以上付款均不计息。</w:t>
      </w:r>
    </w:p>
    <w:p>
      <w:pPr>
        <w:numPr>
          <w:ilvl w:val="255"/>
          <w:numId w:val="0"/>
        </w:numPr>
        <w:spacing w:line="480" w:lineRule="exact"/>
        <w:ind w:firstLine="560" w:firstLineChars="200"/>
        <w:jc w:val="left"/>
        <w:rPr>
          <w:color w:val="auto"/>
          <w:highlight w:val="none"/>
        </w:rPr>
      </w:pPr>
      <w:r>
        <w:rPr>
          <w:rFonts w:hint="eastAsia" w:ascii="宋体" w:hAnsi="宋体"/>
          <w:bCs/>
          <w:color w:val="auto"/>
          <w:sz w:val="28"/>
          <w:szCs w:val="28"/>
          <w:highlight w:val="none"/>
        </w:rPr>
        <w:t>中标供应商凭经采购合同、验收单（经验收合格）及正式发票按规定进行资金结算。</w:t>
      </w:r>
    </w:p>
    <w:p>
      <w:pPr>
        <w:pStyle w:val="43"/>
        <w:adjustRightInd w:val="0"/>
        <w:snapToGrid w:val="0"/>
        <w:spacing w:afterLines="0" w:line="480" w:lineRule="exact"/>
        <w:jc w:val="both"/>
        <w:rPr>
          <w:rFonts w:ascii="宋体" w:hAnsi="宋体" w:eastAsia="宋体" w:cs="宋体"/>
          <w:color w:val="auto"/>
          <w:sz w:val="28"/>
          <w:szCs w:val="28"/>
          <w:highlight w:val="none"/>
        </w:rPr>
      </w:pPr>
      <w:r>
        <w:rPr>
          <w:rFonts w:hint="eastAsia" w:ascii="宋体" w:hAnsi="宋体" w:eastAsia="宋体" w:cs="宋体"/>
          <w:color w:val="auto"/>
          <w:sz w:val="28"/>
          <w:szCs w:val="28"/>
          <w:highlight w:val="none"/>
        </w:rPr>
        <w:t>八、约定事项</w:t>
      </w:r>
    </w:p>
    <w:p>
      <w:pPr>
        <w:pStyle w:val="43"/>
        <w:adjustRightInd w:val="0"/>
        <w:snapToGrid w:val="0"/>
        <w:spacing w:afterLines="0" w:line="480" w:lineRule="exact"/>
        <w:ind w:firstLine="560" w:firstLineChars="200"/>
        <w:jc w:val="both"/>
        <w:rPr>
          <w:rFonts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1、本项目实施人员必须是投标文件中提供的人员，中标供应商不得以任何原因和方式将合同转包、分包或雇用其他作业人员进行生产。一经发现有上述情况的，将按违约处理，采购人有权拒付合同额。</w:t>
      </w:r>
    </w:p>
    <w:p>
      <w:pPr>
        <w:pStyle w:val="43"/>
        <w:adjustRightInd w:val="0"/>
        <w:snapToGrid w:val="0"/>
        <w:spacing w:afterLines="0" w:line="480" w:lineRule="exact"/>
        <w:ind w:firstLine="560" w:firstLineChars="200"/>
        <w:jc w:val="both"/>
        <w:rPr>
          <w:rFonts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2、本项目最终的检查验收由采购人组织，其经费由中标供应商承担。</w:t>
      </w:r>
    </w:p>
    <w:p>
      <w:pPr>
        <w:pStyle w:val="43"/>
        <w:adjustRightInd w:val="0"/>
        <w:snapToGrid w:val="0"/>
        <w:spacing w:afterLines="0" w:line="480" w:lineRule="exact"/>
        <w:ind w:firstLine="560" w:firstLineChars="200"/>
        <w:jc w:val="both"/>
        <w:rPr>
          <w:rFonts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 xml:space="preserve">3、中标供应商不按合同规定的日期完成时，每延期一天，应扣除其所应得费用的0.5%，作为违约罚金。      </w:t>
      </w:r>
    </w:p>
    <w:p>
      <w:pPr>
        <w:pStyle w:val="43"/>
        <w:adjustRightInd w:val="0"/>
        <w:snapToGrid w:val="0"/>
        <w:spacing w:afterLines="0" w:line="480" w:lineRule="exact"/>
        <w:ind w:firstLine="560" w:firstLineChars="200"/>
        <w:jc w:val="both"/>
        <w:rPr>
          <w:rFonts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4、投标人的投标报价，在合同实施期间，中标价不随国家政策或法规、标准及任何市场因素的变化而进行调整。</w:t>
      </w:r>
    </w:p>
    <w:p>
      <w:pPr>
        <w:pStyle w:val="43"/>
        <w:adjustRightInd w:val="0"/>
        <w:snapToGrid w:val="0"/>
        <w:spacing w:afterLines="0" w:line="480" w:lineRule="exact"/>
        <w:ind w:firstLine="560" w:firstLineChars="200"/>
        <w:jc w:val="both"/>
        <w:rPr>
          <w:rFonts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5、中标供应商在履行合同过程中，一切事故其责任由中标供应商承担，采购人不承担任何责任。</w:t>
      </w:r>
    </w:p>
    <w:p>
      <w:pPr>
        <w:spacing w:line="480" w:lineRule="exact"/>
        <w:rPr>
          <w:color w:val="auto"/>
          <w:highlight w:val="none"/>
        </w:rPr>
      </w:pPr>
    </w:p>
    <w:p>
      <w:pPr>
        <w:pStyle w:val="8"/>
        <w:spacing w:after="0" w:line="480" w:lineRule="exact"/>
        <w:rPr>
          <w:color w:val="auto"/>
          <w:highlight w:val="none"/>
        </w:rPr>
      </w:pPr>
    </w:p>
    <w:p>
      <w:pPr>
        <w:spacing w:line="480" w:lineRule="exact"/>
        <w:rPr>
          <w:color w:val="auto"/>
          <w:highlight w:val="none"/>
        </w:rPr>
      </w:pPr>
    </w:p>
    <w:p>
      <w:pPr>
        <w:pStyle w:val="8"/>
        <w:spacing w:after="0" w:line="480" w:lineRule="exact"/>
        <w:rPr>
          <w:color w:val="auto"/>
          <w:highlight w:val="none"/>
        </w:rPr>
      </w:pPr>
    </w:p>
    <w:p>
      <w:pPr>
        <w:pStyle w:val="22"/>
        <w:ind w:left="0" w:leftChars="0" w:firstLine="0" w:firstLineChars="0"/>
        <w:rPr>
          <w:color w:val="auto"/>
          <w:highlight w:val="none"/>
        </w:rPr>
      </w:pPr>
    </w:p>
    <w:p>
      <w:pPr>
        <w:pStyle w:val="43"/>
        <w:adjustRightInd w:val="0"/>
        <w:snapToGrid w:val="0"/>
        <w:spacing w:after="240" w:line="520" w:lineRule="exact"/>
        <w:ind w:firstLine="1767" w:firstLineChars="400"/>
        <w:jc w:val="both"/>
        <w:rPr>
          <w:rFonts w:ascii="宋体" w:hAnsi="宋体" w:eastAsia="宋体" w:cs="宋体"/>
          <w:color w:val="auto"/>
          <w:szCs w:val="24"/>
          <w:highlight w:val="none"/>
        </w:rPr>
      </w:pPr>
      <w:r>
        <w:rPr>
          <w:rFonts w:hint="eastAsia" w:ascii="宋体" w:hAnsi="宋体" w:eastAsia="宋体" w:cs="宋体"/>
          <w:color w:val="auto"/>
          <w:highlight w:val="none"/>
        </w:rPr>
        <w:t>第四章  评标方法</w:t>
      </w:r>
      <w:bookmarkEnd w:id="33"/>
      <w:bookmarkEnd w:id="34"/>
      <w:bookmarkEnd w:id="35"/>
      <w:r>
        <w:rPr>
          <w:rFonts w:hint="eastAsia" w:ascii="宋体" w:hAnsi="宋体" w:eastAsia="宋体" w:cs="宋体"/>
          <w:color w:val="auto"/>
          <w:highlight w:val="none"/>
        </w:rPr>
        <w:t>与评标标准</w:t>
      </w:r>
    </w:p>
    <w:p>
      <w:pPr>
        <w:spacing w:line="400" w:lineRule="exact"/>
        <w:ind w:firstLine="482" w:firstLineChars="200"/>
        <w:jc w:val="left"/>
        <w:rPr>
          <w:b/>
          <w:color w:val="auto"/>
          <w:sz w:val="24"/>
          <w:szCs w:val="24"/>
          <w:highlight w:val="none"/>
        </w:rPr>
      </w:pPr>
      <w:r>
        <w:rPr>
          <w:rFonts w:hint="eastAsia"/>
          <w:b/>
          <w:color w:val="auto"/>
          <w:sz w:val="24"/>
          <w:szCs w:val="24"/>
          <w:highlight w:val="none"/>
        </w:rPr>
        <w:t>一、评标方法与定标原则</w:t>
      </w:r>
    </w:p>
    <w:p>
      <w:pPr>
        <w:spacing w:line="400" w:lineRule="exact"/>
        <w:ind w:firstLine="480" w:firstLineChars="200"/>
        <w:jc w:val="left"/>
        <w:rPr>
          <w:color w:val="auto"/>
          <w:sz w:val="24"/>
          <w:szCs w:val="24"/>
          <w:highlight w:val="none"/>
        </w:rPr>
      </w:pPr>
      <w:r>
        <w:rPr>
          <w:rFonts w:hint="eastAsia"/>
          <w:color w:val="auto"/>
          <w:sz w:val="24"/>
          <w:szCs w:val="24"/>
          <w:highlight w:val="none"/>
        </w:rPr>
        <w:t>评委会将对确定为实质性响应招标文件要求的投标文件进行评价和比较，评标采用综合评分法。具体方法如下：</w:t>
      </w:r>
    </w:p>
    <w:p>
      <w:pPr>
        <w:spacing w:line="400" w:lineRule="exact"/>
        <w:ind w:firstLine="482" w:firstLineChars="200"/>
        <w:jc w:val="left"/>
        <w:rPr>
          <w:color w:val="auto"/>
          <w:sz w:val="24"/>
          <w:szCs w:val="24"/>
          <w:highlight w:val="none"/>
        </w:rPr>
      </w:pPr>
      <w:r>
        <w:rPr>
          <w:rFonts w:hint="eastAsia"/>
          <w:b/>
          <w:color w:val="auto"/>
          <w:sz w:val="24"/>
          <w:szCs w:val="24"/>
          <w:highlight w:val="none"/>
        </w:rPr>
        <w:t>按评审后各评委打分平均得分由高到低顺序排列。得分相同的，按投标报价由低到高顺序排列。</w:t>
      </w:r>
      <w:r>
        <w:rPr>
          <w:rFonts w:hint="eastAsia"/>
          <w:color w:val="auto"/>
          <w:sz w:val="24"/>
          <w:szCs w:val="24"/>
          <w:highlight w:val="none"/>
        </w:rPr>
        <w:t>得分且投标报得分相同的，按服务方案得分由高到低顺序排列。评委会根据本招标文件规定评标方法与评标标准，按照各投标人的得分由高到低的顺序确定中标候选人。</w:t>
      </w:r>
    </w:p>
    <w:p>
      <w:pPr>
        <w:spacing w:line="400" w:lineRule="exact"/>
        <w:ind w:firstLine="480" w:firstLineChars="200"/>
        <w:jc w:val="left"/>
        <w:rPr>
          <w:color w:val="auto"/>
          <w:sz w:val="24"/>
          <w:szCs w:val="24"/>
          <w:highlight w:val="none"/>
        </w:rPr>
      </w:pPr>
      <w:r>
        <w:rPr>
          <w:rFonts w:hint="eastAsia"/>
          <w:color w:val="auto"/>
          <w:sz w:val="24"/>
          <w:szCs w:val="24"/>
          <w:highlight w:val="none"/>
        </w:rPr>
        <w:t>评分计算方法过程中采用“四舍五入”法，并保留小数2位。</w:t>
      </w:r>
    </w:p>
    <w:p>
      <w:pPr>
        <w:spacing w:line="400" w:lineRule="exact"/>
        <w:ind w:firstLine="480" w:firstLineChars="200"/>
        <w:jc w:val="left"/>
        <w:rPr>
          <w:color w:val="auto"/>
          <w:sz w:val="24"/>
          <w:szCs w:val="24"/>
          <w:highlight w:val="none"/>
        </w:rPr>
      </w:pPr>
      <w:r>
        <w:rPr>
          <w:rFonts w:hint="eastAsia"/>
          <w:color w:val="auto"/>
          <w:sz w:val="24"/>
          <w:szCs w:val="24"/>
          <w:highlight w:val="none"/>
        </w:rPr>
        <w:t>评标委员会认为，排在前面的中标候选供应商的最低投标价或者某些分项报价明显不合理或者低于成本，有可能影响项目质量和不能诚信履约的，应当要求其在规定的期限内提供书面文件予以解释说明，并提交相关证明材料；否则，评标委员会可以取消该投标人的中标资格。</w:t>
      </w:r>
    </w:p>
    <w:p>
      <w:pPr>
        <w:spacing w:line="400" w:lineRule="exact"/>
        <w:ind w:firstLine="480" w:firstLineChars="200"/>
        <w:jc w:val="left"/>
        <w:rPr>
          <w:color w:val="auto"/>
          <w:sz w:val="24"/>
          <w:szCs w:val="24"/>
          <w:highlight w:val="none"/>
        </w:rPr>
      </w:pPr>
      <w:r>
        <w:rPr>
          <w:rFonts w:hint="eastAsia"/>
          <w:color w:val="auto"/>
          <w:sz w:val="24"/>
          <w:szCs w:val="24"/>
          <w:highlight w:val="none"/>
        </w:rPr>
        <w:t>中标供应商有涉及对标书实质性内容的隐瞒、欺诈或违法违规行为，将被取消中标资格。</w:t>
      </w:r>
    </w:p>
    <w:p>
      <w:pPr>
        <w:spacing w:line="400" w:lineRule="exact"/>
        <w:ind w:firstLine="480" w:firstLineChars="200"/>
        <w:jc w:val="left"/>
        <w:rPr>
          <w:color w:val="auto"/>
          <w:sz w:val="24"/>
          <w:szCs w:val="24"/>
          <w:highlight w:val="none"/>
        </w:rPr>
      </w:pPr>
      <w:r>
        <w:rPr>
          <w:rFonts w:hint="eastAsia"/>
          <w:color w:val="auto"/>
          <w:sz w:val="24"/>
          <w:szCs w:val="24"/>
          <w:highlight w:val="none"/>
        </w:rPr>
        <w:t>评分标准（总分100分）：</w:t>
      </w:r>
    </w:p>
    <w:tbl>
      <w:tblPr>
        <w:tblStyle w:val="24"/>
        <w:tblW w:w="5009" w:type="pct"/>
        <w:tblInd w:w="0" w:type="dxa"/>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0" w:type="dxa"/>
          <w:left w:w="0" w:type="dxa"/>
          <w:bottom w:w="0" w:type="dxa"/>
          <w:right w:w="0" w:type="dxa"/>
        </w:tblCellMar>
      </w:tblPr>
      <w:tblGrid>
        <w:gridCol w:w="766"/>
        <w:gridCol w:w="1143"/>
        <w:gridCol w:w="5336"/>
        <w:gridCol w:w="762"/>
        <w:gridCol w:w="755"/>
      </w:tblGrid>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blHeader/>
        </w:trPr>
        <w:tc>
          <w:tcPr>
            <w:tcW w:w="1089" w:type="pct"/>
            <w:gridSpan w:val="2"/>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宋体" w:hAnsi="宋体"/>
                <w:color w:val="auto"/>
                <w:highlight w:val="none"/>
              </w:rPr>
            </w:pPr>
            <w:r>
              <w:rPr>
                <w:rFonts w:hint="eastAsia" w:ascii="宋体" w:hAnsi="宋体"/>
                <w:color w:val="auto"/>
                <w:highlight w:val="none"/>
              </w:rPr>
              <w:t>评审因素</w:t>
            </w:r>
          </w:p>
        </w:tc>
        <w:tc>
          <w:tcPr>
            <w:tcW w:w="304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宋体" w:hAnsi="宋体"/>
                <w:color w:val="auto"/>
                <w:highlight w:val="none"/>
              </w:rPr>
            </w:pPr>
            <w:r>
              <w:rPr>
                <w:rFonts w:hint="eastAsia" w:ascii="宋体" w:hAnsi="宋体"/>
                <w:color w:val="auto"/>
                <w:highlight w:val="none"/>
              </w:rPr>
              <w:t>评审标准</w:t>
            </w:r>
          </w:p>
        </w:tc>
        <w:tc>
          <w:tcPr>
            <w:tcW w:w="435" w:type="pct"/>
            <w:tcBorders>
              <w:top w:val="outset" w:color="auto" w:sz="6" w:space="0"/>
              <w:left w:val="outset" w:color="auto" w:sz="6" w:space="0"/>
              <w:bottom w:val="outset" w:color="auto" w:sz="6" w:space="0"/>
              <w:right w:val="outset" w:color="auto" w:sz="6" w:space="0"/>
            </w:tcBorders>
            <w:vAlign w:val="center"/>
          </w:tcPr>
          <w:p>
            <w:pPr>
              <w:spacing w:line="280" w:lineRule="exact"/>
              <w:jc w:val="center"/>
              <w:rPr>
                <w:rFonts w:ascii="宋体" w:hAnsi="宋体"/>
                <w:color w:val="auto"/>
                <w:highlight w:val="none"/>
              </w:rPr>
            </w:pPr>
            <w:r>
              <w:rPr>
                <w:rFonts w:hint="eastAsia" w:ascii="宋体" w:hAnsi="宋体"/>
                <w:color w:val="auto"/>
                <w:highlight w:val="none"/>
              </w:rPr>
              <w:t>单项分值</w:t>
            </w:r>
          </w:p>
        </w:tc>
        <w:tc>
          <w:tcPr>
            <w:tcW w:w="431" w:type="pct"/>
            <w:tcBorders>
              <w:top w:val="outset" w:color="auto" w:sz="6" w:space="0"/>
              <w:left w:val="outset" w:color="auto" w:sz="6" w:space="0"/>
              <w:bottom w:val="outset" w:color="auto" w:sz="6" w:space="0"/>
              <w:right w:val="outset" w:color="auto" w:sz="6" w:space="0"/>
            </w:tcBorders>
            <w:vAlign w:val="center"/>
          </w:tcPr>
          <w:p>
            <w:pPr>
              <w:spacing w:line="280" w:lineRule="exact"/>
              <w:jc w:val="center"/>
              <w:rPr>
                <w:rFonts w:ascii="宋体" w:hAnsi="宋体"/>
                <w:color w:val="auto"/>
                <w:highlight w:val="none"/>
              </w:rPr>
            </w:pPr>
            <w:r>
              <w:rPr>
                <w:rFonts w:hint="eastAsia" w:ascii="宋体" w:hAnsi="宋体"/>
                <w:color w:val="auto"/>
                <w:highlight w:val="none"/>
              </w:rPr>
              <w:t>分值小计</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437"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1.报价得分</w:t>
            </w:r>
          </w:p>
        </w:tc>
        <w:tc>
          <w:tcPr>
            <w:tcW w:w="652"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投标报价</w:t>
            </w:r>
          </w:p>
        </w:tc>
        <w:tc>
          <w:tcPr>
            <w:tcW w:w="3045" w:type="pct"/>
            <w:tcBorders>
              <w:top w:val="outset" w:color="auto" w:sz="6" w:space="0"/>
              <w:left w:val="outset" w:color="auto" w:sz="6" w:space="0"/>
              <w:bottom w:val="outset" w:color="auto" w:sz="6"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价格分采用低价优先法计算，即满足招标文件要求且投标报价最低的投标人报价为评标基准价，其价格分为满分10分，其他投标人的价格分统一按照以下公式计算：报价得分=（评标基准价/投标报价）×</w:t>
            </w:r>
            <w:r>
              <w:rPr>
                <w:rFonts w:asciiTheme="minorEastAsia" w:hAnsiTheme="minorEastAsia" w:eastAsiaTheme="minorEastAsia"/>
                <w:color w:val="auto"/>
                <w:szCs w:val="21"/>
                <w:highlight w:val="none"/>
              </w:rPr>
              <w:t>1</w:t>
            </w:r>
            <w:r>
              <w:rPr>
                <w:rFonts w:hint="eastAsia" w:asciiTheme="minorEastAsia" w:hAnsiTheme="minorEastAsia" w:eastAsiaTheme="minorEastAsia"/>
                <w:color w:val="auto"/>
                <w:szCs w:val="21"/>
                <w:highlight w:val="none"/>
              </w:rPr>
              <w:t>0分。小数点保留2位。</w:t>
            </w:r>
          </w:p>
        </w:tc>
        <w:tc>
          <w:tcPr>
            <w:tcW w:w="43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10.00分</w:t>
            </w:r>
          </w:p>
        </w:tc>
        <w:tc>
          <w:tcPr>
            <w:tcW w:w="431"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1</w:t>
            </w:r>
            <w:r>
              <w:rPr>
                <w:rFonts w:hint="eastAsia" w:asciiTheme="minorEastAsia" w:hAnsiTheme="minorEastAsia" w:eastAsiaTheme="minorEastAsia"/>
                <w:color w:val="auto"/>
                <w:szCs w:val="21"/>
                <w:highlight w:val="none"/>
              </w:rPr>
              <w:t>0.00分</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1337" w:hRule="atLeast"/>
        </w:trPr>
        <w:tc>
          <w:tcPr>
            <w:tcW w:w="437" w:type="pct"/>
            <w:vMerge w:val="restar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2.服务方案</w:t>
            </w:r>
          </w:p>
        </w:tc>
        <w:tc>
          <w:tcPr>
            <w:tcW w:w="652"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项目现场</w:t>
            </w:r>
          </w:p>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调查</w:t>
            </w:r>
          </w:p>
        </w:tc>
        <w:tc>
          <w:tcPr>
            <w:tcW w:w="3045" w:type="pct"/>
            <w:tcBorders>
              <w:top w:val="outset" w:color="auto" w:sz="6" w:space="0"/>
              <w:left w:val="outset" w:color="auto" w:sz="6" w:space="0"/>
              <w:bottom w:val="outset" w:color="auto" w:sz="6"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根据投标人对本项目的</w:t>
            </w:r>
            <w:r>
              <w:rPr>
                <w:rFonts w:asciiTheme="minorEastAsia" w:hAnsiTheme="minorEastAsia" w:eastAsiaTheme="minorEastAsia"/>
                <w:color w:val="auto"/>
                <w:szCs w:val="21"/>
                <w:highlight w:val="none"/>
              </w:rPr>
              <w:t>现场调查报告，包含项目实施区域范围</w:t>
            </w:r>
            <w:r>
              <w:rPr>
                <w:rFonts w:hint="eastAsia" w:asciiTheme="minorEastAsia" w:hAnsiTheme="minorEastAsia" w:eastAsiaTheme="minorEastAsia"/>
                <w:color w:val="auto"/>
                <w:szCs w:val="21"/>
                <w:highlight w:val="none"/>
              </w:rPr>
              <w:t>、</w:t>
            </w:r>
            <w:r>
              <w:rPr>
                <w:rFonts w:asciiTheme="minorEastAsia" w:hAnsiTheme="minorEastAsia" w:eastAsiaTheme="minorEastAsia"/>
                <w:color w:val="auto"/>
                <w:szCs w:val="21"/>
                <w:highlight w:val="none"/>
              </w:rPr>
              <w:t>位置、地质地貌、滩面高程坡度、自然港</w:t>
            </w:r>
            <w:r>
              <w:rPr>
                <w:rFonts w:hint="eastAsia" w:asciiTheme="minorEastAsia" w:hAnsiTheme="minorEastAsia" w:eastAsiaTheme="minorEastAsia"/>
                <w:color w:val="auto"/>
                <w:szCs w:val="21"/>
                <w:highlight w:val="none"/>
              </w:rPr>
              <w:t>汊</w:t>
            </w:r>
            <w:r>
              <w:rPr>
                <w:rFonts w:asciiTheme="minorEastAsia" w:hAnsiTheme="minorEastAsia" w:eastAsiaTheme="minorEastAsia"/>
                <w:color w:val="auto"/>
                <w:szCs w:val="21"/>
                <w:highlight w:val="none"/>
              </w:rPr>
              <w:t>分布与走向、潮汐情况等。由评</w:t>
            </w:r>
            <w:r>
              <w:rPr>
                <w:rFonts w:hint="eastAsia" w:asciiTheme="minorEastAsia" w:hAnsiTheme="minorEastAsia" w:eastAsiaTheme="minorEastAsia"/>
                <w:color w:val="auto"/>
                <w:szCs w:val="21"/>
                <w:highlight w:val="none"/>
              </w:rPr>
              <w:t>委依据投标人方案中①</w:t>
            </w:r>
            <w:r>
              <w:rPr>
                <w:rFonts w:asciiTheme="minorEastAsia" w:hAnsiTheme="minorEastAsia" w:eastAsiaTheme="minorEastAsia"/>
                <w:color w:val="auto"/>
                <w:szCs w:val="21"/>
                <w:highlight w:val="none"/>
              </w:rPr>
              <w:t>范围</w:t>
            </w:r>
            <w:r>
              <w:rPr>
                <w:rFonts w:hint="eastAsia" w:asciiTheme="minorEastAsia" w:hAnsiTheme="minorEastAsia" w:eastAsiaTheme="minorEastAsia"/>
                <w:color w:val="auto"/>
                <w:szCs w:val="21"/>
                <w:highlight w:val="none"/>
              </w:rPr>
              <w:t>、</w:t>
            </w:r>
            <w:r>
              <w:rPr>
                <w:rFonts w:asciiTheme="minorEastAsia" w:hAnsiTheme="minorEastAsia" w:eastAsiaTheme="minorEastAsia"/>
                <w:color w:val="auto"/>
                <w:szCs w:val="21"/>
                <w:highlight w:val="none"/>
              </w:rPr>
              <w:t>位置</w:t>
            </w:r>
            <w:r>
              <w:rPr>
                <w:rFonts w:hint="eastAsia" w:asciiTheme="minorEastAsia" w:hAnsiTheme="minorEastAsia" w:eastAsiaTheme="minorEastAsia"/>
                <w:color w:val="auto"/>
                <w:szCs w:val="21"/>
                <w:highlight w:val="none"/>
              </w:rPr>
              <w:t>②</w:t>
            </w:r>
            <w:r>
              <w:rPr>
                <w:rFonts w:asciiTheme="minorEastAsia" w:hAnsiTheme="minorEastAsia" w:eastAsiaTheme="minorEastAsia"/>
                <w:color w:val="auto"/>
                <w:szCs w:val="21"/>
                <w:highlight w:val="none"/>
              </w:rPr>
              <w:t>地质地貌</w:t>
            </w:r>
            <w:r>
              <w:rPr>
                <w:rFonts w:hint="eastAsia" w:asciiTheme="minorEastAsia" w:hAnsiTheme="minorEastAsia" w:eastAsiaTheme="minorEastAsia"/>
                <w:color w:val="auto"/>
                <w:szCs w:val="21"/>
                <w:highlight w:val="none"/>
              </w:rPr>
              <w:t>③</w:t>
            </w:r>
            <w:r>
              <w:rPr>
                <w:rFonts w:asciiTheme="minorEastAsia" w:hAnsiTheme="minorEastAsia" w:eastAsiaTheme="minorEastAsia"/>
                <w:color w:val="auto"/>
                <w:szCs w:val="21"/>
                <w:highlight w:val="none"/>
              </w:rPr>
              <w:t>滩面高程坡度</w:t>
            </w:r>
            <w:r>
              <w:rPr>
                <w:rFonts w:hint="eastAsia" w:asciiTheme="minorEastAsia" w:hAnsiTheme="minorEastAsia" w:eastAsiaTheme="minorEastAsia"/>
                <w:color w:val="auto"/>
                <w:szCs w:val="21"/>
                <w:highlight w:val="none"/>
              </w:rPr>
              <w:t>④</w:t>
            </w:r>
            <w:r>
              <w:rPr>
                <w:rFonts w:asciiTheme="minorEastAsia" w:hAnsiTheme="minorEastAsia" w:eastAsiaTheme="minorEastAsia"/>
                <w:color w:val="auto"/>
                <w:szCs w:val="21"/>
                <w:highlight w:val="none"/>
              </w:rPr>
              <w:t>自然港</w:t>
            </w:r>
            <w:r>
              <w:rPr>
                <w:rFonts w:hint="eastAsia" w:asciiTheme="minorEastAsia" w:hAnsiTheme="minorEastAsia" w:eastAsiaTheme="minorEastAsia"/>
                <w:color w:val="auto"/>
                <w:szCs w:val="21"/>
                <w:highlight w:val="none"/>
              </w:rPr>
              <w:t>汊</w:t>
            </w:r>
            <w:r>
              <w:rPr>
                <w:rFonts w:asciiTheme="minorEastAsia" w:hAnsiTheme="minorEastAsia" w:eastAsiaTheme="minorEastAsia"/>
                <w:color w:val="auto"/>
                <w:szCs w:val="21"/>
                <w:highlight w:val="none"/>
              </w:rPr>
              <w:t>分布与走向</w:t>
            </w:r>
            <w:r>
              <w:rPr>
                <w:rFonts w:hint="eastAsia" w:asciiTheme="minorEastAsia" w:hAnsiTheme="minorEastAsia" w:eastAsiaTheme="minorEastAsia"/>
                <w:color w:val="auto"/>
                <w:szCs w:val="21"/>
                <w:highlight w:val="none"/>
              </w:rPr>
              <w:t>⑤</w:t>
            </w:r>
            <w:r>
              <w:rPr>
                <w:rFonts w:asciiTheme="minorEastAsia" w:hAnsiTheme="minorEastAsia" w:eastAsiaTheme="minorEastAsia"/>
                <w:color w:val="auto"/>
                <w:szCs w:val="21"/>
                <w:highlight w:val="none"/>
              </w:rPr>
              <w:t>潮汐情况</w:t>
            </w:r>
            <w:r>
              <w:rPr>
                <w:rFonts w:hint="eastAsia" w:asciiTheme="minorEastAsia" w:hAnsiTheme="minorEastAsia" w:eastAsiaTheme="minorEastAsia"/>
                <w:color w:val="auto"/>
                <w:szCs w:val="21"/>
                <w:highlight w:val="none"/>
              </w:rPr>
              <w:t>进行综合评定。</w:t>
            </w:r>
            <w:r>
              <w:rPr>
                <w:rFonts w:hint="eastAsia" w:asciiTheme="minorEastAsia" w:hAnsiTheme="minorEastAsia" w:eastAsiaTheme="minorEastAsia"/>
                <w:color w:val="auto"/>
                <w:kern w:val="0"/>
                <w:szCs w:val="21"/>
                <w:highlight w:val="none"/>
              </w:rPr>
              <w:t>方案详细、内容完整、科学合理的得20分；方案一般详细，科学合理性一般的得12分；内容较为简单，描述不够详尽的得6分；内容明显欠缺的不得分。</w:t>
            </w:r>
          </w:p>
        </w:tc>
        <w:tc>
          <w:tcPr>
            <w:tcW w:w="43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20.00分</w:t>
            </w:r>
          </w:p>
        </w:tc>
        <w:tc>
          <w:tcPr>
            <w:tcW w:w="431" w:type="pct"/>
            <w:vMerge w:val="restar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72.00分</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1337" w:hRule="atLeast"/>
        </w:trPr>
        <w:tc>
          <w:tcPr>
            <w:tcW w:w="437"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总体施工</w:t>
            </w:r>
          </w:p>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方案</w:t>
            </w:r>
          </w:p>
        </w:tc>
        <w:tc>
          <w:tcPr>
            <w:tcW w:w="3045" w:type="pct"/>
            <w:tcBorders>
              <w:top w:val="outset" w:color="auto" w:sz="6" w:space="0"/>
              <w:left w:val="outset" w:color="auto" w:sz="6" w:space="0"/>
              <w:bottom w:val="outset" w:color="auto" w:sz="6" w:space="0"/>
              <w:right w:val="outset" w:color="auto" w:sz="6" w:space="0"/>
            </w:tcBorders>
            <w:vAlign w:val="center"/>
          </w:tcPr>
          <w:p>
            <w:pPr>
              <w:widowControl/>
              <w:spacing w:line="460" w:lineRule="exact"/>
              <w:jc w:val="left"/>
              <w:rPr>
                <w:rFonts w:asciiTheme="minorEastAsia" w:hAnsiTheme="minorEastAsia" w:eastAsiaTheme="minorEastAsia"/>
                <w:color w:val="auto"/>
                <w:kern w:val="0"/>
                <w:szCs w:val="21"/>
                <w:highlight w:val="none"/>
              </w:rPr>
            </w:pPr>
            <w:r>
              <w:rPr>
                <w:rFonts w:asciiTheme="minorEastAsia" w:hAnsiTheme="minorEastAsia" w:eastAsiaTheme="minorEastAsia"/>
                <w:color w:val="auto"/>
                <w:szCs w:val="21"/>
                <w:highlight w:val="none"/>
              </w:rPr>
              <w:t>拟投入本项目的主要设备情况、劳动力计划等；结合项目特点提出切实可行的工程质量、安全生产、文明施工、实施进度、技术组织措施，同时针对潮汐情况对关键工序环节影响重点提出相应技术措施，如防台、防潮对围堰、隔仓的保护加固措施等，以上措施须分别阐述。由评</w:t>
            </w:r>
            <w:r>
              <w:rPr>
                <w:rFonts w:hint="eastAsia" w:asciiTheme="minorEastAsia" w:hAnsiTheme="minorEastAsia" w:eastAsiaTheme="minorEastAsia"/>
                <w:color w:val="auto"/>
                <w:szCs w:val="21"/>
                <w:highlight w:val="none"/>
              </w:rPr>
              <w:t>委依据投标人方案中①</w:t>
            </w:r>
            <w:r>
              <w:rPr>
                <w:rFonts w:asciiTheme="minorEastAsia" w:hAnsiTheme="minorEastAsia" w:eastAsiaTheme="minorEastAsia"/>
                <w:color w:val="auto"/>
                <w:szCs w:val="21"/>
                <w:highlight w:val="none"/>
              </w:rPr>
              <w:t>主要设备、劳动力</w:t>
            </w:r>
            <w:r>
              <w:rPr>
                <w:rFonts w:hint="eastAsia" w:asciiTheme="minorEastAsia" w:hAnsiTheme="minorEastAsia" w:eastAsiaTheme="minorEastAsia"/>
                <w:color w:val="auto"/>
                <w:szCs w:val="21"/>
                <w:highlight w:val="none"/>
              </w:rPr>
              <w:t>投入②质量保证措施③安全生产措施④文明施工措施⑤除治进度保证措施进行综合评定。</w:t>
            </w:r>
            <w:r>
              <w:rPr>
                <w:rFonts w:hint="eastAsia" w:asciiTheme="minorEastAsia" w:hAnsiTheme="minorEastAsia" w:eastAsiaTheme="minorEastAsia"/>
                <w:color w:val="auto"/>
                <w:kern w:val="0"/>
                <w:szCs w:val="21"/>
                <w:highlight w:val="none"/>
              </w:rPr>
              <w:t>方案详细、内容完整、科学合理的得20分；方案一般详细，科学合理性一般的得12分；内容较为简单，描述不够详尽的得6分；内容明显欠缺的不得分。</w:t>
            </w:r>
          </w:p>
        </w:tc>
        <w:tc>
          <w:tcPr>
            <w:tcW w:w="43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20.00分</w:t>
            </w:r>
          </w:p>
        </w:tc>
        <w:tc>
          <w:tcPr>
            <w:tcW w:w="431"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682" w:hRule="atLeast"/>
        </w:trPr>
        <w:tc>
          <w:tcPr>
            <w:tcW w:w="437"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具体施工</w:t>
            </w:r>
          </w:p>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措施</w:t>
            </w:r>
          </w:p>
        </w:tc>
        <w:tc>
          <w:tcPr>
            <w:tcW w:w="3045" w:type="pct"/>
            <w:tcBorders>
              <w:top w:val="outset" w:color="auto" w:sz="6" w:space="0"/>
              <w:left w:val="outset" w:color="auto" w:sz="6" w:space="0"/>
              <w:bottom w:val="outset" w:color="auto" w:sz="6" w:space="0"/>
              <w:right w:val="outset" w:color="auto" w:sz="6" w:space="0"/>
            </w:tcBorders>
            <w:vAlign w:val="center"/>
          </w:tcPr>
          <w:p>
            <w:pPr>
              <w:widowControl/>
              <w:spacing w:line="460" w:lineRule="exact"/>
              <w:jc w:val="lef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采用</w:t>
            </w:r>
            <w:r>
              <w:rPr>
                <w:rFonts w:hint="eastAsia" w:asciiTheme="minorEastAsia" w:hAnsiTheme="minorEastAsia" w:eastAsiaTheme="minorEastAsia"/>
                <w:color w:val="auto"/>
                <w:szCs w:val="21"/>
                <w:highlight w:val="none"/>
              </w:rPr>
              <w:t>人工挖除、</w:t>
            </w:r>
            <w:r>
              <w:rPr>
                <w:rFonts w:asciiTheme="minorEastAsia" w:hAnsiTheme="minorEastAsia" w:eastAsiaTheme="minorEastAsia"/>
                <w:color w:val="auto"/>
                <w:szCs w:val="21"/>
                <w:highlight w:val="none"/>
              </w:rPr>
              <w:t>刈割</w:t>
            </w:r>
            <w:r>
              <w:rPr>
                <w:rFonts w:hint="eastAsia" w:asciiTheme="minorEastAsia" w:hAnsiTheme="minorEastAsia" w:eastAsiaTheme="minorEastAsia"/>
                <w:color w:val="auto"/>
                <w:szCs w:val="21"/>
                <w:highlight w:val="none"/>
              </w:rPr>
              <w:t>+旋耕</w:t>
            </w:r>
            <w:r>
              <w:rPr>
                <w:rFonts w:asciiTheme="minorEastAsia" w:hAnsiTheme="minorEastAsia" w:eastAsiaTheme="minorEastAsia"/>
                <w:color w:val="auto"/>
                <w:szCs w:val="21"/>
                <w:highlight w:val="none"/>
              </w:rPr>
              <w:t>、</w:t>
            </w:r>
            <w:r>
              <w:rPr>
                <w:rFonts w:hint="eastAsia" w:asciiTheme="minorEastAsia" w:hAnsiTheme="minorEastAsia" w:eastAsiaTheme="minorEastAsia"/>
                <w:color w:val="auto"/>
                <w:szCs w:val="21"/>
                <w:highlight w:val="none"/>
              </w:rPr>
              <w:t>翻根</w:t>
            </w:r>
            <w:r>
              <w:rPr>
                <w:rFonts w:asciiTheme="minorEastAsia" w:hAnsiTheme="minorEastAsia" w:eastAsiaTheme="minorEastAsia"/>
                <w:color w:val="auto"/>
                <w:szCs w:val="21"/>
                <w:highlight w:val="none"/>
              </w:rPr>
              <w:t>深埋方式的区域要提供详细的施工措施，采用</w:t>
            </w:r>
            <w:r>
              <w:rPr>
                <w:rFonts w:hint="eastAsia" w:asciiTheme="minorEastAsia" w:hAnsiTheme="minorEastAsia" w:eastAsiaTheme="minorEastAsia"/>
                <w:color w:val="auto"/>
                <w:szCs w:val="21"/>
                <w:highlight w:val="none"/>
              </w:rPr>
              <w:t>刈割+</w:t>
            </w:r>
            <w:r>
              <w:rPr>
                <w:rFonts w:asciiTheme="minorEastAsia" w:hAnsiTheme="minorEastAsia" w:eastAsiaTheme="minorEastAsia"/>
                <w:color w:val="auto"/>
                <w:szCs w:val="21"/>
                <w:highlight w:val="none"/>
              </w:rPr>
              <w:t>围淹方式的区域需具体到施工平面布置图、围堰和隔仓的</w:t>
            </w:r>
            <w:r>
              <w:rPr>
                <w:rFonts w:hint="eastAsia" w:asciiTheme="minorEastAsia" w:hAnsiTheme="minorEastAsia" w:eastAsiaTheme="minorEastAsia"/>
                <w:color w:val="auto"/>
                <w:szCs w:val="21"/>
                <w:highlight w:val="none"/>
              </w:rPr>
              <w:t>结</w:t>
            </w:r>
            <w:r>
              <w:rPr>
                <w:rFonts w:asciiTheme="minorEastAsia" w:hAnsiTheme="minorEastAsia" w:eastAsiaTheme="minorEastAsia"/>
                <w:color w:val="auto"/>
                <w:szCs w:val="21"/>
                <w:highlight w:val="none"/>
              </w:rPr>
              <w:t>构设计图、</w:t>
            </w:r>
            <w:r>
              <w:rPr>
                <w:rFonts w:hint="eastAsia" w:asciiTheme="minorEastAsia" w:hAnsiTheme="minorEastAsia" w:eastAsiaTheme="minorEastAsia"/>
                <w:color w:val="auto"/>
                <w:szCs w:val="21"/>
                <w:highlight w:val="none"/>
              </w:rPr>
              <w:t>水位控制方案、</w:t>
            </w:r>
            <w:r>
              <w:rPr>
                <w:rFonts w:asciiTheme="minorEastAsia" w:hAnsiTheme="minorEastAsia" w:eastAsiaTheme="minorEastAsia"/>
                <w:color w:val="auto"/>
                <w:szCs w:val="21"/>
                <w:highlight w:val="none"/>
              </w:rPr>
              <w:t>工期安排、安全措施、施工机械</w:t>
            </w:r>
            <w:r>
              <w:rPr>
                <w:rFonts w:hint="eastAsia" w:asciiTheme="minorEastAsia" w:hAnsiTheme="minorEastAsia" w:eastAsiaTheme="minorEastAsia"/>
                <w:color w:val="auto"/>
                <w:szCs w:val="21"/>
                <w:highlight w:val="none"/>
              </w:rPr>
              <w:t>组织</w:t>
            </w:r>
            <w:r>
              <w:rPr>
                <w:rFonts w:asciiTheme="minorEastAsia" w:hAnsiTheme="minorEastAsia" w:eastAsiaTheme="minorEastAsia"/>
                <w:color w:val="auto"/>
                <w:szCs w:val="21"/>
                <w:highlight w:val="none"/>
              </w:rPr>
              <w:t>、吹填方</w:t>
            </w:r>
            <w:r>
              <w:rPr>
                <w:rFonts w:hint="eastAsia" w:asciiTheme="minorEastAsia" w:hAnsiTheme="minorEastAsia" w:eastAsiaTheme="minorEastAsia"/>
                <w:color w:val="auto"/>
                <w:szCs w:val="21"/>
                <w:highlight w:val="none"/>
              </w:rPr>
              <w:t>案</w:t>
            </w:r>
            <w:r>
              <w:rPr>
                <w:rFonts w:asciiTheme="minorEastAsia" w:hAnsiTheme="minorEastAsia" w:eastAsiaTheme="minorEastAsia"/>
                <w:color w:val="auto"/>
                <w:szCs w:val="21"/>
                <w:highlight w:val="none"/>
              </w:rPr>
              <w:t>、用电线路等。由评</w:t>
            </w:r>
            <w:r>
              <w:rPr>
                <w:rFonts w:hint="eastAsia" w:asciiTheme="minorEastAsia" w:hAnsiTheme="minorEastAsia" w:eastAsiaTheme="minorEastAsia"/>
                <w:color w:val="auto"/>
                <w:szCs w:val="21"/>
                <w:highlight w:val="none"/>
              </w:rPr>
              <w:t>委依据投标人措施中①人工挖除、</w:t>
            </w:r>
            <w:r>
              <w:rPr>
                <w:rFonts w:asciiTheme="minorEastAsia" w:hAnsiTheme="minorEastAsia" w:eastAsiaTheme="minorEastAsia"/>
                <w:color w:val="auto"/>
                <w:szCs w:val="21"/>
                <w:highlight w:val="none"/>
              </w:rPr>
              <w:t>刈割</w:t>
            </w:r>
            <w:r>
              <w:rPr>
                <w:rFonts w:hint="eastAsia" w:asciiTheme="minorEastAsia" w:hAnsiTheme="minorEastAsia" w:eastAsiaTheme="minorEastAsia"/>
                <w:color w:val="auto"/>
                <w:szCs w:val="21"/>
                <w:highlight w:val="none"/>
              </w:rPr>
              <w:t>+旋耕及清理措施②翻根</w:t>
            </w:r>
            <w:r>
              <w:rPr>
                <w:rFonts w:asciiTheme="minorEastAsia" w:hAnsiTheme="minorEastAsia" w:eastAsiaTheme="minorEastAsia"/>
                <w:color w:val="auto"/>
                <w:szCs w:val="21"/>
                <w:highlight w:val="none"/>
              </w:rPr>
              <w:t>深埋</w:t>
            </w:r>
            <w:r>
              <w:rPr>
                <w:rFonts w:hint="eastAsia" w:asciiTheme="minorEastAsia" w:hAnsiTheme="minorEastAsia" w:eastAsiaTheme="minorEastAsia"/>
                <w:color w:val="auto"/>
                <w:szCs w:val="21"/>
                <w:highlight w:val="none"/>
              </w:rPr>
              <w:t>措施③平面布置图④</w:t>
            </w:r>
            <w:r>
              <w:rPr>
                <w:rFonts w:asciiTheme="minorEastAsia" w:hAnsiTheme="minorEastAsia" w:eastAsiaTheme="minorEastAsia"/>
                <w:color w:val="auto"/>
                <w:szCs w:val="21"/>
                <w:highlight w:val="none"/>
              </w:rPr>
              <w:t>围堰和隔仓的</w:t>
            </w:r>
            <w:r>
              <w:rPr>
                <w:rFonts w:hint="eastAsia" w:asciiTheme="minorEastAsia" w:hAnsiTheme="minorEastAsia" w:eastAsiaTheme="minorEastAsia"/>
                <w:color w:val="auto"/>
                <w:szCs w:val="21"/>
                <w:highlight w:val="none"/>
              </w:rPr>
              <w:t>结</w:t>
            </w:r>
            <w:r>
              <w:rPr>
                <w:rFonts w:asciiTheme="minorEastAsia" w:hAnsiTheme="minorEastAsia" w:eastAsiaTheme="minorEastAsia"/>
                <w:color w:val="auto"/>
                <w:szCs w:val="21"/>
                <w:highlight w:val="none"/>
              </w:rPr>
              <w:t>构设计图</w:t>
            </w:r>
            <w:r>
              <w:rPr>
                <w:rFonts w:hint="eastAsia" w:asciiTheme="minorEastAsia" w:hAnsiTheme="minorEastAsia" w:eastAsiaTheme="minorEastAsia"/>
                <w:color w:val="auto"/>
                <w:szCs w:val="21"/>
                <w:highlight w:val="none"/>
              </w:rPr>
              <w:t>⑤水位控制措施⑥工期安排⑦安全措施⑧施工机械组织⑨吹填措施⑩用电线路等进行综合评定</w:t>
            </w:r>
            <w:r>
              <w:rPr>
                <w:rFonts w:asciiTheme="minorEastAsia" w:hAnsiTheme="minorEastAsia" w:eastAsiaTheme="minorEastAsia"/>
                <w:color w:val="auto"/>
                <w:szCs w:val="21"/>
                <w:highlight w:val="none"/>
              </w:rPr>
              <w:t>。</w:t>
            </w:r>
            <w:r>
              <w:rPr>
                <w:rFonts w:hint="eastAsia" w:asciiTheme="minorEastAsia" w:hAnsiTheme="minorEastAsia" w:eastAsiaTheme="minorEastAsia"/>
                <w:color w:val="auto"/>
                <w:kern w:val="0"/>
                <w:szCs w:val="21"/>
                <w:highlight w:val="none"/>
              </w:rPr>
              <w:t>措施详细、内容完整、科学合理的得10分；措施一般详细，科学合理性一般的得6分；措施内容较为简单，描述不够详尽的得3分；内容明显欠缺的不得分。</w:t>
            </w:r>
          </w:p>
        </w:tc>
        <w:tc>
          <w:tcPr>
            <w:tcW w:w="43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10.00分</w:t>
            </w:r>
          </w:p>
        </w:tc>
        <w:tc>
          <w:tcPr>
            <w:tcW w:w="431"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437"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现场组织机构配备</w:t>
            </w:r>
          </w:p>
        </w:tc>
        <w:tc>
          <w:tcPr>
            <w:tcW w:w="3045" w:type="pct"/>
            <w:tcBorders>
              <w:top w:val="outset" w:color="auto" w:sz="6" w:space="0"/>
              <w:left w:val="outset" w:color="auto" w:sz="6" w:space="0"/>
              <w:bottom w:val="outset" w:color="auto" w:sz="6"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根据投标人对</w:t>
            </w:r>
            <w:r>
              <w:rPr>
                <w:rFonts w:asciiTheme="minorEastAsia" w:hAnsiTheme="minorEastAsia" w:eastAsiaTheme="minorEastAsia"/>
                <w:color w:val="auto"/>
                <w:szCs w:val="21"/>
                <w:highlight w:val="none"/>
              </w:rPr>
              <w:t>现场组织机构安排健全、合理，部门、人员职责分工明确，主要负责人（项目负责人、技术负责人）年富力强，工作经验丰富等是否符合本项目的实际情况进行</w:t>
            </w:r>
            <w:r>
              <w:rPr>
                <w:rFonts w:hint="eastAsia" w:asciiTheme="minorEastAsia" w:hAnsiTheme="minorEastAsia" w:eastAsiaTheme="minorEastAsia"/>
                <w:color w:val="auto"/>
                <w:szCs w:val="21"/>
                <w:highlight w:val="none"/>
              </w:rPr>
              <w:t>综合评定。安排合理、分工明确、配备人员素质高的得7分；安排较合理、分工较明确、配备人员素质较高的得4分；安排、分工、配备人员均一般的得1分，没有内容不得分。</w:t>
            </w:r>
          </w:p>
        </w:tc>
        <w:tc>
          <w:tcPr>
            <w:tcW w:w="435" w:type="pct"/>
            <w:tcBorders>
              <w:top w:val="outset" w:color="auto" w:sz="6" w:space="0"/>
              <w:left w:val="outset" w:color="auto" w:sz="6" w:space="0"/>
              <w:bottom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7</w:t>
            </w:r>
            <w:r>
              <w:rPr>
                <w:rFonts w:asciiTheme="minorEastAsia" w:hAnsiTheme="minorEastAsia" w:eastAsiaTheme="minorEastAsia"/>
                <w:color w:val="auto"/>
                <w:szCs w:val="21"/>
                <w:highlight w:val="none"/>
              </w:rPr>
              <w:t>.00</w:t>
            </w:r>
            <w:r>
              <w:rPr>
                <w:rFonts w:hint="eastAsia" w:asciiTheme="minorEastAsia" w:hAnsiTheme="minorEastAsia" w:eastAsiaTheme="minorEastAsia"/>
                <w:color w:val="auto"/>
                <w:szCs w:val="21"/>
                <w:highlight w:val="none"/>
              </w:rPr>
              <w:t>分</w:t>
            </w:r>
          </w:p>
        </w:tc>
        <w:tc>
          <w:tcPr>
            <w:tcW w:w="431" w:type="pct"/>
            <w:vMerge w:val="continue"/>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1104" w:hRule="atLeast"/>
        </w:trPr>
        <w:tc>
          <w:tcPr>
            <w:tcW w:w="437" w:type="pct"/>
            <w:vMerge w:val="continue"/>
            <w:tcBorders>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重难点分析</w:t>
            </w:r>
          </w:p>
        </w:tc>
        <w:tc>
          <w:tcPr>
            <w:tcW w:w="3045" w:type="pct"/>
            <w:tcBorders>
              <w:top w:val="outset" w:color="auto" w:sz="6" w:space="0"/>
              <w:left w:val="outset" w:color="auto" w:sz="6"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依据投标人对本项目重点、难点的分析和解决思路进行综合评定。分析精准、思路清晰明了、便于执行的得10分；分析较精准、思路较清晰且可执行的得6分；分析思路一般、可执行度一般的得3分，没有内容不得分。</w:t>
            </w:r>
          </w:p>
        </w:tc>
        <w:tc>
          <w:tcPr>
            <w:tcW w:w="435" w:type="pc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10.00分</w:t>
            </w:r>
          </w:p>
        </w:tc>
        <w:tc>
          <w:tcPr>
            <w:tcW w:w="431" w:type="pct"/>
            <w:vMerge w:val="continue"/>
            <w:tcBorders>
              <w:left w:val="outset" w:color="auto" w:sz="6" w:space="0"/>
              <w:right w:val="outset" w:color="auto" w:sz="6" w:space="0"/>
            </w:tcBorders>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480" w:hRule="atLeast"/>
        </w:trPr>
        <w:tc>
          <w:tcPr>
            <w:tcW w:w="437" w:type="pct"/>
            <w:vMerge w:val="continue"/>
            <w:tcBorders>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vMerge w:val="restar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竣工后管护方案</w:t>
            </w:r>
          </w:p>
        </w:tc>
        <w:tc>
          <w:tcPr>
            <w:tcW w:w="3045" w:type="pct"/>
            <w:vMerge w:val="restart"/>
            <w:tcBorders>
              <w:top w:val="outset" w:color="auto" w:sz="6" w:space="0"/>
              <w:left w:val="outset" w:color="auto" w:sz="6"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r>
              <w:rPr>
                <w:rFonts w:asciiTheme="minorEastAsia" w:hAnsiTheme="minorEastAsia" w:eastAsiaTheme="minorEastAsia"/>
                <w:color w:val="auto"/>
                <w:szCs w:val="21"/>
                <w:highlight w:val="none"/>
              </w:rPr>
              <w:t>针对第一年实际除杀率必须在90％以上，第二年对残存</w:t>
            </w:r>
            <w:r>
              <w:rPr>
                <w:rFonts w:hint="eastAsia" w:asciiTheme="minorEastAsia" w:hAnsiTheme="minorEastAsia" w:eastAsiaTheme="minorEastAsia"/>
                <w:color w:val="auto"/>
                <w:szCs w:val="21"/>
                <w:highlight w:val="none"/>
              </w:rPr>
              <w:t>和新生</w:t>
            </w:r>
            <w:r>
              <w:rPr>
                <w:rFonts w:asciiTheme="minorEastAsia" w:hAnsiTheme="minorEastAsia" w:eastAsiaTheme="minorEastAsia"/>
                <w:color w:val="auto"/>
                <w:szCs w:val="21"/>
                <w:highlight w:val="none"/>
              </w:rPr>
              <w:t>草体连续除杀，同样达90％以上质量管控目标，制定切实可行的巡检、除治</w:t>
            </w:r>
            <w:r>
              <w:rPr>
                <w:rFonts w:hint="eastAsia" w:asciiTheme="minorEastAsia" w:hAnsiTheme="minorEastAsia" w:eastAsiaTheme="minorEastAsia"/>
                <w:color w:val="auto"/>
                <w:szCs w:val="21"/>
                <w:highlight w:val="none"/>
              </w:rPr>
              <w:t>的</w:t>
            </w:r>
            <w:r>
              <w:rPr>
                <w:rFonts w:asciiTheme="minorEastAsia" w:hAnsiTheme="minorEastAsia" w:eastAsiaTheme="minorEastAsia"/>
                <w:color w:val="auto"/>
                <w:szCs w:val="21"/>
                <w:highlight w:val="none"/>
              </w:rPr>
              <w:t>管护方案</w:t>
            </w:r>
            <w:r>
              <w:rPr>
                <w:rFonts w:hint="eastAsia" w:asciiTheme="minorEastAsia" w:hAnsiTheme="minorEastAsia" w:eastAsiaTheme="minorEastAsia"/>
                <w:color w:val="auto"/>
                <w:szCs w:val="21"/>
                <w:highlight w:val="none"/>
              </w:rPr>
              <w:t>。</w:t>
            </w:r>
            <w:r>
              <w:rPr>
                <w:rFonts w:hint="eastAsia" w:asciiTheme="minorEastAsia" w:hAnsiTheme="minorEastAsia" w:eastAsiaTheme="minorEastAsia"/>
                <w:color w:val="auto"/>
                <w:kern w:val="0"/>
                <w:szCs w:val="21"/>
                <w:highlight w:val="none"/>
              </w:rPr>
              <w:t>方案详细、内容完整、科学合理的得5分；方案一般详细，科学合理性一般的得3分；内容较为简单，描述不够详尽的得1分；内容明显欠缺的不得分。</w:t>
            </w:r>
          </w:p>
        </w:tc>
        <w:tc>
          <w:tcPr>
            <w:tcW w:w="435" w:type="pct"/>
            <w:vMerge w:val="restart"/>
            <w:tcBorders>
              <w:top w:val="outset" w:color="auto" w:sz="6" w:space="0"/>
              <w:left w:val="outset" w:color="auto" w:sz="6"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5.00分</w:t>
            </w:r>
          </w:p>
        </w:tc>
        <w:tc>
          <w:tcPr>
            <w:tcW w:w="431" w:type="pct"/>
            <w:vMerge w:val="continue"/>
            <w:tcBorders>
              <w:left w:val="outset" w:color="auto" w:sz="6" w:space="0"/>
              <w:right w:val="outset" w:color="auto" w:sz="6" w:space="0"/>
            </w:tcBorders>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437" w:type="pct"/>
            <w:tcBorders>
              <w:left w:val="outset" w:color="auto" w:sz="6" w:space="0"/>
              <w:bottom w:val="single" w:color="auto" w:sz="4"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vMerge w:val="continue"/>
            <w:tcBorders>
              <w:left w:val="outset" w:color="auto" w:sz="6" w:space="0"/>
              <w:bottom w:val="single" w:color="auto" w:sz="4"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3045" w:type="pct"/>
            <w:vMerge w:val="continue"/>
            <w:tcBorders>
              <w:left w:val="outset" w:color="auto" w:sz="6" w:space="0"/>
              <w:bottom w:val="single" w:color="auto" w:sz="4" w:space="0"/>
              <w:right w:val="outset" w:color="auto" w:sz="6" w:space="0"/>
            </w:tcBorders>
            <w:vAlign w:val="center"/>
          </w:tcPr>
          <w:p>
            <w:pPr>
              <w:spacing w:line="460" w:lineRule="exact"/>
              <w:jc w:val="left"/>
              <w:rPr>
                <w:rFonts w:asciiTheme="minorEastAsia" w:hAnsiTheme="minorEastAsia" w:eastAsiaTheme="minorEastAsia"/>
                <w:color w:val="auto"/>
                <w:szCs w:val="21"/>
                <w:highlight w:val="none"/>
              </w:rPr>
            </w:pPr>
          </w:p>
        </w:tc>
        <w:tc>
          <w:tcPr>
            <w:tcW w:w="435" w:type="pct"/>
            <w:vMerge w:val="continue"/>
            <w:tcBorders>
              <w:left w:val="outset" w:color="auto" w:sz="6" w:space="0"/>
              <w:bottom w:val="single" w:color="auto" w:sz="4" w:space="0"/>
              <w:right w:val="outset" w:color="auto" w:sz="6" w:space="0"/>
            </w:tcBorders>
            <w:vAlign w:val="center"/>
          </w:tcPr>
          <w:p>
            <w:pPr>
              <w:spacing w:line="460" w:lineRule="exact"/>
              <w:jc w:val="center"/>
              <w:rPr>
                <w:rFonts w:asciiTheme="minorEastAsia" w:hAnsiTheme="minorEastAsia" w:eastAsiaTheme="minorEastAsia"/>
                <w:color w:val="auto"/>
                <w:szCs w:val="21"/>
                <w:highlight w:val="none"/>
              </w:rPr>
            </w:pPr>
          </w:p>
        </w:tc>
        <w:tc>
          <w:tcPr>
            <w:tcW w:w="431" w:type="pct"/>
            <w:tcBorders>
              <w:left w:val="outset" w:color="auto" w:sz="6" w:space="0"/>
              <w:bottom w:val="single" w:color="auto" w:sz="4" w:space="0"/>
              <w:right w:val="outset" w:color="auto" w:sz="6" w:space="0"/>
            </w:tcBorders>
          </w:tcPr>
          <w:p>
            <w:pPr>
              <w:spacing w:line="460" w:lineRule="exact"/>
              <w:jc w:val="center"/>
              <w:rPr>
                <w:rFonts w:asciiTheme="minorEastAsia" w:hAnsiTheme="minorEastAsia" w:eastAsiaTheme="minorEastAsia"/>
                <w:color w:val="auto"/>
                <w:szCs w:val="21"/>
                <w:highlight w:val="none"/>
              </w:rPr>
            </w:pP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c>
          <w:tcPr>
            <w:tcW w:w="437" w:type="pct"/>
            <w:vMerge w:val="restart"/>
            <w:tcBorders>
              <w:top w:val="single" w:color="auto" w:sz="4" w:space="0"/>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3.企业综合实力</w:t>
            </w:r>
          </w:p>
        </w:tc>
        <w:tc>
          <w:tcPr>
            <w:tcW w:w="652" w:type="pct"/>
            <w:tcBorders>
              <w:top w:val="single" w:color="auto" w:sz="4" w:space="0"/>
              <w:left w:val="single" w:color="auto" w:sz="4" w:space="0"/>
              <w:bottom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企业荣誉</w:t>
            </w:r>
          </w:p>
        </w:tc>
        <w:tc>
          <w:tcPr>
            <w:tcW w:w="3045" w:type="pct"/>
            <w:tcBorders>
              <w:top w:val="single" w:color="auto" w:sz="4" w:space="0"/>
              <w:left w:val="single" w:color="auto" w:sz="4" w:space="0"/>
              <w:bottom w:val="single" w:color="auto" w:sz="4" w:space="0"/>
              <w:right w:val="single" w:color="auto" w:sz="4" w:space="0"/>
            </w:tcBorders>
            <w:vAlign w:val="center"/>
          </w:tcPr>
          <w:p>
            <w:pPr>
              <w:spacing w:line="460" w:lineRule="exact"/>
              <w:rPr>
                <w:color w:val="auto"/>
                <w:highlight w:val="none"/>
              </w:rPr>
            </w:pPr>
            <w:r>
              <w:rPr>
                <w:rFonts w:hint="eastAsia"/>
                <w:color w:val="auto"/>
                <w:highlight w:val="none"/>
              </w:rPr>
              <w:t>投标人承担的类似项目获得国优的每个得2分。本项最高得10分。</w:t>
            </w:r>
          </w:p>
          <w:p>
            <w:pPr>
              <w:spacing w:line="460" w:lineRule="exact"/>
              <w:rPr>
                <w:color w:val="auto"/>
                <w:highlight w:val="none"/>
              </w:rPr>
            </w:pPr>
            <w:r>
              <w:rPr>
                <w:rFonts w:hint="eastAsia"/>
                <w:color w:val="auto"/>
                <w:highlight w:val="none"/>
              </w:rPr>
              <w:t xml:space="preserve">类似项目：指与海岸海堤水道施工修复、或湿地生态修复和保护、或水系综合治理(仅限江、河、湖、海相关的水系综合治理）、闸、站施工工程。 </w:t>
            </w:r>
          </w:p>
          <w:p>
            <w:pPr>
              <w:spacing w:line="460" w:lineRule="exact"/>
              <w:rPr>
                <w:color w:val="auto"/>
                <w:highlight w:val="none"/>
              </w:rPr>
            </w:pPr>
            <w:r>
              <w:rPr>
                <w:rFonts w:hint="eastAsia"/>
                <w:color w:val="auto"/>
                <w:highlight w:val="none"/>
              </w:rPr>
              <w:t>注：国优仅认可鲁班奖、中国水利工程优质“大禹奖”。奖励必须是投标方直接拥有，共同获得表彰的，必须为第一位获奖人。同一个项目获不同奖项不重复计分，以最高奖项计分。</w:t>
            </w:r>
          </w:p>
          <w:p>
            <w:pPr>
              <w:spacing w:line="460" w:lineRule="exact"/>
              <w:rPr>
                <w:color w:val="auto"/>
                <w:highlight w:val="none"/>
              </w:rPr>
            </w:pPr>
            <w:r>
              <w:rPr>
                <w:rFonts w:hint="eastAsia"/>
                <w:color w:val="auto"/>
                <w:highlight w:val="none"/>
              </w:rPr>
              <w:t>（提供有效证书或文件复印件并加盖公章，否则不得分）</w:t>
            </w:r>
          </w:p>
        </w:tc>
        <w:tc>
          <w:tcPr>
            <w:tcW w:w="435" w:type="pct"/>
            <w:tcBorders>
              <w:top w:val="single" w:color="auto" w:sz="4" w:space="0"/>
              <w:left w:val="single" w:color="auto" w:sz="4" w:space="0"/>
              <w:bottom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10.00分</w:t>
            </w:r>
          </w:p>
        </w:tc>
        <w:tc>
          <w:tcPr>
            <w:tcW w:w="431" w:type="pct"/>
            <w:vMerge w:val="restart"/>
            <w:tcBorders>
              <w:top w:val="single" w:color="auto" w:sz="4" w:space="0"/>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18.00分</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1371" w:hRule="atLeast"/>
        </w:trPr>
        <w:tc>
          <w:tcPr>
            <w:tcW w:w="437" w:type="pct"/>
            <w:vMerge w:val="continue"/>
            <w:tcBorders>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p>
        </w:tc>
        <w:tc>
          <w:tcPr>
            <w:tcW w:w="652" w:type="pct"/>
            <w:tcBorders>
              <w:top w:val="single" w:color="auto" w:sz="4" w:space="0"/>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企业业绩</w:t>
            </w:r>
          </w:p>
        </w:tc>
        <w:tc>
          <w:tcPr>
            <w:tcW w:w="3045" w:type="pct"/>
            <w:tcBorders>
              <w:top w:val="single" w:color="auto" w:sz="4" w:space="0"/>
              <w:left w:val="single" w:color="auto" w:sz="4" w:space="0"/>
              <w:right w:val="single" w:color="auto" w:sz="4" w:space="0"/>
            </w:tcBorders>
            <w:vAlign w:val="center"/>
          </w:tcPr>
          <w:p>
            <w:pPr>
              <w:spacing w:line="460" w:lineRule="exact"/>
              <w:rPr>
                <w:color w:val="auto"/>
                <w:highlight w:val="none"/>
              </w:rPr>
            </w:pPr>
            <w:r>
              <w:rPr>
                <w:rFonts w:hint="eastAsia"/>
                <w:color w:val="auto"/>
                <w:highlight w:val="none"/>
              </w:rPr>
              <w:t>投标人2015年以来（以竣工验收日期为准）承担过海堤施工业绩的，有一个得2分，最高得8分。需提供中标通知书、合同、竣工验收证书三者缺一不可，</w:t>
            </w:r>
            <w:r>
              <w:rPr>
                <w:rFonts w:hint="eastAsia" w:asciiTheme="minorEastAsia" w:hAnsiTheme="minorEastAsia" w:eastAsiaTheme="minorEastAsia"/>
                <w:color w:val="auto"/>
                <w:highlight w:val="none"/>
              </w:rPr>
              <w:t>上述材料加盖投标人公章，</w:t>
            </w:r>
            <w:r>
              <w:rPr>
                <w:rFonts w:hint="eastAsia"/>
                <w:color w:val="auto"/>
                <w:highlight w:val="none"/>
              </w:rPr>
              <w:t>否则不予计分。</w:t>
            </w:r>
          </w:p>
        </w:tc>
        <w:tc>
          <w:tcPr>
            <w:tcW w:w="435" w:type="pct"/>
            <w:tcBorders>
              <w:top w:val="single" w:color="auto" w:sz="4" w:space="0"/>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r>
              <w:rPr>
                <w:rFonts w:hint="eastAsia" w:asciiTheme="minorEastAsia" w:hAnsiTheme="minorEastAsia" w:eastAsiaTheme="minorEastAsia"/>
                <w:color w:val="auto"/>
                <w:szCs w:val="21"/>
                <w:highlight w:val="none"/>
              </w:rPr>
              <w:t>8.00分</w:t>
            </w:r>
          </w:p>
        </w:tc>
        <w:tc>
          <w:tcPr>
            <w:tcW w:w="431" w:type="pct"/>
            <w:vMerge w:val="continue"/>
            <w:tcBorders>
              <w:left w:val="single" w:color="auto" w:sz="4" w:space="0"/>
              <w:right w:val="single" w:color="auto" w:sz="4" w:space="0"/>
            </w:tcBorders>
            <w:vAlign w:val="center"/>
          </w:tcPr>
          <w:p>
            <w:pPr>
              <w:spacing w:line="460" w:lineRule="exact"/>
              <w:jc w:val="center"/>
              <w:rPr>
                <w:rFonts w:asciiTheme="minorEastAsia" w:hAnsiTheme="minorEastAsia" w:eastAsiaTheme="minorEastAsia"/>
                <w:color w:val="auto"/>
                <w:szCs w:val="21"/>
                <w:highlight w:val="none"/>
              </w:rPr>
            </w:pPr>
          </w:p>
        </w:tc>
      </w:tr>
    </w:tbl>
    <w:p>
      <w:pPr>
        <w:spacing w:line="300" w:lineRule="auto"/>
        <w:jc w:val="left"/>
        <w:rPr>
          <w:b/>
          <w:color w:val="auto"/>
          <w:sz w:val="24"/>
          <w:szCs w:val="24"/>
          <w:highlight w:val="none"/>
        </w:rPr>
      </w:pPr>
      <w:r>
        <w:rPr>
          <w:rFonts w:hint="eastAsia"/>
          <w:b/>
          <w:color w:val="auto"/>
          <w:sz w:val="24"/>
          <w:szCs w:val="24"/>
          <w:highlight w:val="none"/>
        </w:rPr>
        <w:t>注:</w:t>
      </w:r>
    </w:p>
    <w:p>
      <w:pPr>
        <w:pStyle w:val="23"/>
        <w:spacing w:after="0" w:line="300" w:lineRule="auto"/>
        <w:ind w:left="0" w:leftChars="0" w:firstLine="482"/>
        <w:rPr>
          <w:b/>
          <w:color w:val="auto"/>
          <w:sz w:val="24"/>
          <w:szCs w:val="24"/>
          <w:highlight w:val="none"/>
        </w:rPr>
      </w:pPr>
      <w:r>
        <w:rPr>
          <w:rFonts w:hint="eastAsia"/>
          <w:b/>
          <w:color w:val="auto"/>
          <w:sz w:val="24"/>
          <w:szCs w:val="24"/>
          <w:highlight w:val="none"/>
        </w:rPr>
        <w:t>1.请各投标人按照以下文件的要求格式、内容，顺序制作投标文件，并请编制目录及页码，以最大限度的避免造成评委误判或漏判。</w:t>
      </w:r>
    </w:p>
    <w:p>
      <w:pPr>
        <w:spacing w:line="300" w:lineRule="auto"/>
        <w:ind w:firstLine="482" w:firstLineChars="200"/>
        <w:jc w:val="left"/>
        <w:rPr>
          <w:b/>
          <w:color w:val="auto"/>
          <w:sz w:val="24"/>
          <w:szCs w:val="24"/>
          <w:highlight w:val="none"/>
        </w:rPr>
      </w:pPr>
      <w:r>
        <w:rPr>
          <w:rFonts w:hint="eastAsia"/>
          <w:b/>
          <w:color w:val="auto"/>
          <w:sz w:val="24"/>
          <w:szCs w:val="24"/>
          <w:highlight w:val="none"/>
        </w:rPr>
        <w:t>2.所有打分项均以采购人所提供的招标文件进行评分，招标文件中未提及的不予认可，投标截止时间后不得修改或是补充投标文件。</w:t>
      </w:r>
    </w:p>
    <w:p>
      <w:pPr>
        <w:spacing w:line="400" w:lineRule="exact"/>
        <w:ind w:firstLine="472" w:firstLineChars="196"/>
        <w:jc w:val="left"/>
        <w:rPr>
          <w:rFonts w:eastAsiaTheme="minorEastAsia"/>
          <w:color w:val="auto"/>
          <w:highlight w:val="none"/>
        </w:rPr>
      </w:pPr>
      <w:r>
        <w:rPr>
          <w:rFonts w:hint="eastAsia"/>
          <w:b/>
          <w:color w:val="auto"/>
          <w:sz w:val="24"/>
          <w:szCs w:val="24"/>
          <w:highlight w:val="none"/>
        </w:rPr>
        <w:t>3.如投标方组成联合体投标的，则上述打分标准中投标人企业荣誉、企业业绩等打分项，联合体各方至少一方满足打分标准要求方可得分。</w:t>
      </w:r>
    </w:p>
    <w:p>
      <w:pPr>
        <w:pStyle w:val="8"/>
        <w:spacing w:after="0" w:line="300" w:lineRule="auto"/>
        <w:ind w:firstLine="472" w:firstLineChars="196"/>
        <w:rPr>
          <w:b/>
          <w:color w:val="auto"/>
          <w:sz w:val="24"/>
          <w:szCs w:val="24"/>
          <w:highlight w:val="none"/>
        </w:rPr>
      </w:pPr>
      <w:r>
        <w:rPr>
          <w:rFonts w:hint="eastAsia"/>
          <w:b/>
          <w:color w:val="auto"/>
          <w:sz w:val="24"/>
          <w:szCs w:val="24"/>
          <w:highlight w:val="none"/>
        </w:rPr>
        <w:t>4.政府采购政策功能落实</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一、小微型企业价格扣除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（1）本项目对小型和微型企业产品给予10%的扣除价格，用扣除后的价格参与评审。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（2）供应商需按照《政府采购促进中小企业发展管理办法》（财库﹝2020﹞46 号）的规定提供相应的《中小企业声明函》。</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（3）企业标准请参照《关于印发中小企业划型标准规定的通知》（工信部联企业[2011]300号）文件规定自行填写。</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二、残疾人福利单位价格扣除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（1）本项目对残疾人福利性单位，给予10%的价格扣除，用扣除后的价格参与评审。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（2）残疾人福利单位需按照采购文件的要求提供《残疾人福利性单位声明函》。</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（3）残疾人福利单位标准请参照《关于促进残疾人就业政府采购政策的通知》（财库〔2017〕141号）。</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三、监狱和戒毒企业价格扣除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（1）本项目对监狱和戒毒企业（简称监狱企业）给予10%的价格扣除，用扣除后的价格参与评审。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（2）监狱企业参加政府采购活动时，需提供由省级以上监狱管理局、戒毒管理局(含新疆生产建设兵团)出具的属于监狱企业的证明文件。供应商如不提供上述证明文件，价格将不做相应扣除。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（3）监狱企业标准请参照《关于政府采购支持监狱企业发展有关问题的通知》（财库[2014]68号）。</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四、残疾人福利单位、监狱企业属于小型、微型企业的，不重复享受政策。</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五、大中型企业与小微企业（残疾人福利单位、监狱企业）组成联合体或者大中型企业向小微企业（残疾人福利单位、监狱企业）分包的，对联合协议或者分包意向协议约定小微企业合同份额占到合同总金额30%以上的，对联合体或者大中型企业的报价给予4%的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六、联合体各方均为小型、微型企业（残疾人福利单位、监狱企业）的，联合体享受上述同类价格扣除，用扣除后的价格参与评审。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七、专门面向中小企业采购的项目或者采购包，不再执行价格评审优惠的扶持政策。</w:t>
      </w:r>
    </w:p>
    <w:p>
      <w:pPr>
        <w:snapToGrid w:val="0"/>
        <w:spacing w:line="300" w:lineRule="auto"/>
        <w:ind w:firstLine="480" w:firstLineChars="200"/>
        <w:rPr>
          <w:rFonts w:ascii="宋体" w:hAnsi="宋体" w:cs="Times New Roman"/>
          <w:bCs/>
          <w:color w:val="auto"/>
          <w:sz w:val="24"/>
          <w:szCs w:val="24"/>
          <w:highlight w:val="none"/>
        </w:rPr>
      </w:pPr>
    </w:p>
    <w:p>
      <w:pPr>
        <w:rPr>
          <w:rFonts w:ascii="宋体" w:hAnsi="宋体"/>
          <w:color w:val="auto"/>
          <w:highlight w:val="none"/>
        </w:rPr>
      </w:pPr>
      <w:r>
        <w:rPr>
          <w:rFonts w:ascii="宋体" w:hAnsi="宋体"/>
          <w:color w:val="auto"/>
          <w:highlight w:val="none"/>
        </w:rPr>
        <w:br w:type="page"/>
      </w:r>
    </w:p>
    <w:p>
      <w:pPr>
        <w:pStyle w:val="43"/>
        <w:spacing w:after="240"/>
        <w:rPr>
          <w:rFonts w:ascii="宋体" w:hAnsi="宋体" w:eastAsia="宋体" w:cs="宋体"/>
          <w:color w:val="auto"/>
          <w:sz w:val="72"/>
          <w:szCs w:val="21"/>
          <w:highlight w:val="none"/>
        </w:rPr>
      </w:pPr>
      <w:r>
        <w:rPr>
          <w:rFonts w:hint="eastAsia" w:ascii="宋体" w:hAnsi="宋体" w:eastAsia="宋体" w:cs="宋体"/>
          <w:color w:val="auto"/>
          <w:highlight w:val="none"/>
        </w:rPr>
        <w:t>第五章  投标文件格式</w:t>
      </w:r>
    </w:p>
    <w:p>
      <w:pPr>
        <w:ind w:firstLine="1446"/>
        <w:jc w:val="center"/>
        <w:rPr>
          <w:rFonts w:ascii="宋体" w:hAnsi="宋体"/>
          <w:b/>
          <w:bCs/>
          <w:color w:val="auto"/>
          <w:sz w:val="36"/>
          <w:szCs w:val="36"/>
          <w:highlight w:val="none"/>
          <w:lang w:val="zh-CN"/>
        </w:rPr>
      </w:pPr>
      <w:bookmarkStart w:id="36" w:name="_Hlt26955039"/>
      <w:bookmarkEnd w:id="36"/>
      <w:bookmarkStart w:id="37" w:name="_Hlt26671244"/>
      <w:bookmarkEnd w:id="37"/>
      <w:bookmarkStart w:id="38" w:name="_Toc120614282"/>
      <w:bookmarkStart w:id="39" w:name="_Toc49090576"/>
      <w:bookmarkStart w:id="40" w:name="_Toc26554094"/>
      <w:r>
        <w:rPr>
          <w:rFonts w:hint="eastAsia" w:ascii="宋体" w:hAnsi="宋体"/>
          <w:b/>
          <w:bCs/>
          <w:color w:val="auto"/>
          <w:sz w:val="36"/>
          <w:szCs w:val="36"/>
          <w:highlight w:val="none"/>
          <w:lang w:val="zh-CN"/>
        </w:rPr>
        <w:t xml:space="preserve">                       （正本或副本）</w:t>
      </w:r>
    </w:p>
    <w:p>
      <w:pPr>
        <w:ind w:firstLine="1446"/>
        <w:jc w:val="center"/>
        <w:rPr>
          <w:rFonts w:ascii="宋体" w:hAnsi="宋体"/>
          <w:b/>
          <w:color w:val="auto"/>
          <w:sz w:val="72"/>
          <w:highlight w:val="none"/>
        </w:rPr>
      </w:pPr>
    </w:p>
    <w:p>
      <w:pPr>
        <w:ind w:firstLine="420"/>
        <w:jc w:val="center"/>
        <w:rPr>
          <w:rFonts w:ascii="宋体" w:hAnsi="宋体"/>
          <w:b/>
          <w:color w:val="auto"/>
          <w:sz w:val="72"/>
          <w:highlight w:val="none"/>
        </w:rPr>
      </w:pPr>
      <w:r>
        <w:rPr>
          <w:rFonts w:hint="eastAsia" w:ascii="宋体" w:hAnsi="宋体"/>
          <w:b/>
          <w:color w:val="auto"/>
          <w:sz w:val="72"/>
          <w:highlight w:val="none"/>
        </w:rPr>
        <w:t>投  标  文  件</w:t>
      </w:r>
    </w:p>
    <w:p>
      <w:pPr>
        <w:ind w:firstLine="420"/>
        <w:jc w:val="center"/>
        <w:rPr>
          <w:rFonts w:ascii="宋体" w:hAnsi="宋体"/>
          <w:b/>
          <w:color w:val="auto"/>
          <w:sz w:val="30"/>
          <w:szCs w:val="30"/>
          <w:highlight w:val="none"/>
        </w:rPr>
      </w:pPr>
      <w:r>
        <w:rPr>
          <w:rFonts w:hint="eastAsia" w:ascii="宋体" w:hAnsi="宋体"/>
          <w:b/>
          <w:color w:val="auto"/>
          <w:sz w:val="30"/>
          <w:szCs w:val="30"/>
          <w:highlight w:val="none"/>
        </w:rPr>
        <w:t>（封面参考格式）</w:t>
      </w:r>
    </w:p>
    <w:p>
      <w:pPr>
        <w:ind w:firstLine="1446"/>
        <w:jc w:val="center"/>
        <w:rPr>
          <w:rFonts w:ascii="宋体" w:hAnsi="宋体"/>
          <w:b/>
          <w:color w:val="auto"/>
          <w:sz w:val="72"/>
          <w:highlight w:val="none"/>
        </w:rPr>
      </w:pPr>
    </w:p>
    <w:p>
      <w:pPr>
        <w:ind w:firstLine="723"/>
        <w:jc w:val="center"/>
        <w:rPr>
          <w:rFonts w:ascii="宋体" w:hAnsi="宋体"/>
          <w:b/>
          <w:color w:val="auto"/>
          <w:sz w:val="36"/>
          <w:highlight w:val="none"/>
        </w:rPr>
      </w:pPr>
    </w:p>
    <w:p>
      <w:pPr>
        <w:ind w:firstLine="2349" w:firstLineChars="650"/>
        <w:rPr>
          <w:rFonts w:ascii="宋体" w:hAnsi="宋体"/>
          <w:b/>
          <w:color w:val="auto"/>
          <w:sz w:val="36"/>
          <w:highlight w:val="none"/>
        </w:rPr>
      </w:pPr>
      <w:r>
        <w:rPr>
          <w:rFonts w:hint="eastAsia" w:ascii="宋体" w:hAnsi="宋体"/>
          <w:b/>
          <w:color w:val="auto"/>
          <w:sz w:val="36"/>
          <w:highlight w:val="none"/>
        </w:rPr>
        <w:t>项 目 名 称：</w:t>
      </w:r>
    </w:p>
    <w:p>
      <w:pPr>
        <w:ind w:firstLine="2349" w:firstLineChars="650"/>
        <w:rPr>
          <w:rFonts w:ascii="宋体" w:hAnsi="宋体"/>
          <w:b/>
          <w:color w:val="auto"/>
          <w:sz w:val="36"/>
          <w:highlight w:val="none"/>
          <w:u w:val="singl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rPr>
      </w:pPr>
    </w:p>
    <w:p>
      <w:pPr>
        <w:ind w:firstLine="723"/>
        <w:rPr>
          <w:rFonts w:ascii="宋体" w:hAnsi="宋体"/>
          <w:b/>
          <w:color w:val="auto"/>
          <w:sz w:val="36"/>
          <w:highlight w:val="none"/>
          <w:u w:val="single"/>
        </w:rPr>
      </w:pPr>
      <w:r>
        <w:rPr>
          <w:rFonts w:hint="eastAsia" w:ascii="宋体" w:hAnsi="宋体"/>
          <w:b/>
          <w:color w:val="auto"/>
          <w:sz w:val="36"/>
          <w:highlight w:val="none"/>
        </w:rPr>
        <w:t xml:space="preserve">         投标人名称 ：</w:t>
      </w:r>
    </w:p>
    <w:p>
      <w:pPr>
        <w:ind w:firstLine="723"/>
        <w:rPr>
          <w:rFonts w:ascii="宋体" w:hAnsi="宋体"/>
          <w:b/>
          <w:color w:val="auto"/>
          <w:sz w:val="36"/>
          <w:highlight w:val="none"/>
        </w:rPr>
      </w:pPr>
      <w:r>
        <w:rPr>
          <w:rFonts w:hint="eastAsia" w:ascii="宋体" w:hAnsi="宋体"/>
          <w:b/>
          <w:color w:val="auto"/>
          <w:sz w:val="36"/>
          <w:highlight w:val="none"/>
        </w:rPr>
        <w:t xml:space="preserve">         日      期 ：</w:t>
      </w:r>
    </w:p>
    <w:bookmarkEnd w:id="38"/>
    <w:bookmarkEnd w:id="39"/>
    <w:bookmarkEnd w:id="40"/>
    <w:p>
      <w:pPr>
        <w:spacing w:line="440" w:lineRule="exact"/>
        <w:ind w:firstLine="643"/>
        <w:jc w:val="center"/>
        <w:rPr>
          <w:rFonts w:ascii="宋体" w:hAnsi="宋体"/>
          <w:b/>
          <w:bCs/>
          <w:color w:val="auto"/>
          <w:sz w:val="32"/>
          <w:szCs w:val="32"/>
          <w:highlight w:val="none"/>
        </w:rPr>
      </w:pPr>
    </w:p>
    <w:p>
      <w:pPr>
        <w:spacing w:line="440" w:lineRule="exact"/>
        <w:ind w:firstLine="643"/>
        <w:jc w:val="center"/>
        <w:rPr>
          <w:rFonts w:ascii="宋体" w:hAnsi="宋体"/>
          <w:b/>
          <w:bCs/>
          <w:color w:val="auto"/>
          <w:sz w:val="32"/>
          <w:szCs w:val="32"/>
          <w:highlight w:val="none"/>
        </w:rPr>
      </w:pPr>
    </w:p>
    <w:p>
      <w:pPr>
        <w:spacing w:line="440" w:lineRule="exact"/>
        <w:ind w:firstLine="643"/>
        <w:rPr>
          <w:rFonts w:ascii="宋体" w:hAnsi="宋体"/>
          <w:b/>
          <w:bCs/>
          <w:color w:val="auto"/>
          <w:sz w:val="32"/>
          <w:szCs w:val="32"/>
          <w:highlight w:val="none"/>
        </w:rPr>
      </w:pPr>
      <w:r>
        <w:rPr>
          <w:rFonts w:hint="eastAsia" w:ascii="宋体" w:hAnsi="宋体"/>
          <w:b/>
          <w:bCs/>
          <w:color w:val="auto"/>
          <w:sz w:val="32"/>
          <w:szCs w:val="32"/>
          <w:highlight w:val="none"/>
        </w:rPr>
        <w:t>投标文件封面应注明投标项目名称、投标人名称、投标日期等内容。</w:t>
      </w:r>
    </w:p>
    <w:p>
      <w:pPr>
        <w:spacing w:line="440" w:lineRule="exact"/>
        <w:ind w:firstLine="643"/>
        <w:rPr>
          <w:rFonts w:ascii="宋体" w:hAnsi="宋体"/>
          <w:b/>
          <w:bCs/>
          <w:color w:val="auto"/>
          <w:sz w:val="32"/>
          <w:szCs w:val="32"/>
          <w:highlight w:val="none"/>
        </w:rPr>
      </w:pPr>
    </w:p>
    <w:p>
      <w:pPr>
        <w:pStyle w:val="3"/>
        <w:rPr>
          <w:rFonts w:eastAsiaTheme="minorEastAsia"/>
          <w:color w:val="auto"/>
          <w:highlight w:val="none"/>
        </w:rPr>
      </w:pPr>
    </w:p>
    <w:p>
      <w:pPr>
        <w:rPr>
          <w:color w:val="auto"/>
          <w:highlight w:val="none"/>
        </w:rPr>
      </w:pPr>
    </w:p>
    <w:p>
      <w:pPr>
        <w:spacing w:line="440" w:lineRule="exact"/>
        <w:ind w:firstLine="643"/>
        <w:rPr>
          <w:rFonts w:ascii="宋体" w:hAnsi="宋体"/>
          <w:b/>
          <w:bCs/>
          <w:color w:val="auto"/>
          <w:sz w:val="32"/>
          <w:szCs w:val="32"/>
          <w:highlight w:val="none"/>
        </w:rPr>
      </w:pPr>
    </w:p>
    <w:p>
      <w:pPr>
        <w:spacing w:line="440" w:lineRule="exact"/>
        <w:rPr>
          <w:rFonts w:ascii="宋体" w:hAnsi="宋体"/>
          <w:b/>
          <w:bCs/>
          <w:color w:val="auto"/>
          <w:sz w:val="32"/>
          <w:szCs w:val="32"/>
          <w:highlight w:val="none"/>
        </w:rPr>
      </w:pPr>
    </w:p>
    <w:p>
      <w:pPr>
        <w:spacing w:line="360" w:lineRule="exact"/>
        <w:ind w:firstLine="643" w:firstLineChars="200"/>
        <w:jc w:val="center"/>
        <w:rPr>
          <w:b/>
          <w:color w:val="auto"/>
          <w:sz w:val="32"/>
          <w:szCs w:val="32"/>
          <w:highlight w:val="none"/>
        </w:rPr>
      </w:pPr>
      <w:r>
        <w:rPr>
          <w:rFonts w:hint="eastAsia"/>
          <w:b/>
          <w:color w:val="auto"/>
          <w:sz w:val="32"/>
          <w:szCs w:val="32"/>
          <w:highlight w:val="none"/>
        </w:rPr>
        <w:t>投标主要文件目录:</w:t>
      </w:r>
    </w:p>
    <w:p>
      <w:pPr>
        <w:spacing w:line="360" w:lineRule="exact"/>
        <w:ind w:firstLine="480" w:firstLineChars="200"/>
        <w:jc w:val="left"/>
        <w:rPr>
          <w:color w:val="auto"/>
          <w:sz w:val="24"/>
          <w:szCs w:val="24"/>
          <w:highlight w:val="none"/>
        </w:rPr>
      </w:pPr>
      <w:r>
        <w:rPr>
          <w:rFonts w:hint="eastAsia"/>
          <w:color w:val="auto"/>
          <w:sz w:val="24"/>
          <w:szCs w:val="24"/>
          <w:highlight w:val="none"/>
        </w:rPr>
        <w:t>1.投标函</w:t>
      </w:r>
    </w:p>
    <w:p>
      <w:pPr>
        <w:spacing w:line="360" w:lineRule="exact"/>
        <w:ind w:firstLine="480" w:firstLineChars="200"/>
        <w:jc w:val="left"/>
        <w:rPr>
          <w:color w:val="auto"/>
          <w:sz w:val="24"/>
          <w:szCs w:val="24"/>
          <w:highlight w:val="none"/>
        </w:rPr>
      </w:pPr>
      <w:r>
        <w:rPr>
          <w:rFonts w:hint="eastAsia"/>
          <w:color w:val="auto"/>
          <w:sz w:val="24"/>
          <w:szCs w:val="24"/>
          <w:highlight w:val="none"/>
        </w:rPr>
        <w:t>2.开标一览表</w:t>
      </w:r>
    </w:p>
    <w:p>
      <w:pPr>
        <w:spacing w:line="360" w:lineRule="exact"/>
        <w:ind w:firstLine="480" w:firstLineChars="200"/>
        <w:jc w:val="left"/>
        <w:rPr>
          <w:color w:val="auto"/>
          <w:sz w:val="24"/>
          <w:szCs w:val="24"/>
          <w:highlight w:val="none"/>
        </w:rPr>
      </w:pPr>
      <w:r>
        <w:rPr>
          <w:rFonts w:hint="eastAsia"/>
          <w:color w:val="auto"/>
          <w:sz w:val="24"/>
          <w:szCs w:val="24"/>
          <w:highlight w:val="none"/>
        </w:rPr>
        <w:t>2.分项报价表</w:t>
      </w:r>
    </w:p>
    <w:p>
      <w:pPr>
        <w:spacing w:line="360" w:lineRule="exact"/>
        <w:ind w:firstLine="480" w:firstLineChars="200"/>
        <w:jc w:val="left"/>
        <w:rPr>
          <w:color w:val="auto"/>
          <w:sz w:val="24"/>
          <w:szCs w:val="24"/>
          <w:highlight w:val="none"/>
        </w:rPr>
      </w:pPr>
      <w:r>
        <w:rPr>
          <w:rFonts w:hint="eastAsia"/>
          <w:color w:val="auto"/>
          <w:sz w:val="24"/>
          <w:szCs w:val="24"/>
          <w:highlight w:val="none"/>
        </w:rPr>
        <w:t>4.商务偏离表</w:t>
      </w:r>
    </w:p>
    <w:p>
      <w:pPr>
        <w:spacing w:line="360" w:lineRule="exact"/>
        <w:ind w:firstLine="480" w:firstLineChars="200"/>
        <w:jc w:val="left"/>
        <w:rPr>
          <w:color w:val="auto"/>
          <w:sz w:val="24"/>
          <w:szCs w:val="24"/>
          <w:highlight w:val="none"/>
        </w:rPr>
      </w:pPr>
      <w:r>
        <w:rPr>
          <w:rFonts w:hint="eastAsia"/>
          <w:color w:val="auto"/>
          <w:sz w:val="24"/>
          <w:szCs w:val="24"/>
          <w:highlight w:val="none"/>
        </w:rPr>
        <w:t>5.法定代表人身份证明书</w:t>
      </w:r>
    </w:p>
    <w:p>
      <w:pPr>
        <w:spacing w:line="360" w:lineRule="exact"/>
        <w:ind w:firstLine="480" w:firstLineChars="200"/>
        <w:jc w:val="left"/>
        <w:rPr>
          <w:color w:val="auto"/>
          <w:sz w:val="24"/>
          <w:szCs w:val="24"/>
          <w:highlight w:val="none"/>
        </w:rPr>
      </w:pPr>
      <w:r>
        <w:rPr>
          <w:rFonts w:hint="eastAsia"/>
          <w:color w:val="auto"/>
          <w:sz w:val="24"/>
          <w:szCs w:val="24"/>
          <w:highlight w:val="none"/>
        </w:rPr>
        <w:t>6.法人代表授权书</w:t>
      </w:r>
    </w:p>
    <w:p>
      <w:pPr>
        <w:spacing w:line="360" w:lineRule="exact"/>
        <w:ind w:firstLine="480" w:firstLineChars="200"/>
        <w:jc w:val="left"/>
        <w:rPr>
          <w:color w:val="auto"/>
          <w:sz w:val="24"/>
          <w:szCs w:val="24"/>
          <w:highlight w:val="none"/>
        </w:rPr>
      </w:pPr>
      <w:r>
        <w:rPr>
          <w:rFonts w:hint="eastAsia"/>
          <w:color w:val="auto"/>
          <w:sz w:val="24"/>
          <w:szCs w:val="24"/>
          <w:highlight w:val="none"/>
        </w:rPr>
        <w:t>7.投标人资格声明</w:t>
      </w:r>
    </w:p>
    <w:p>
      <w:pPr>
        <w:spacing w:line="360" w:lineRule="exact"/>
        <w:ind w:firstLine="480" w:firstLineChars="200"/>
        <w:jc w:val="left"/>
        <w:rPr>
          <w:color w:val="auto"/>
          <w:sz w:val="24"/>
          <w:szCs w:val="24"/>
          <w:highlight w:val="none"/>
        </w:rPr>
      </w:pPr>
      <w:r>
        <w:rPr>
          <w:rFonts w:hint="eastAsia"/>
          <w:color w:val="auto"/>
          <w:sz w:val="24"/>
          <w:szCs w:val="24"/>
          <w:highlight w:val="none"/>
        </w:rPr>
        <w:t>8.投标人已完成与招标内容类似项目一览表</w:t>
      </w:r>
    </w:p>
    <w:p>
      <w:pPr>
        <w:spacing w:line="360" w:lineRule="exact"/>
        <w:ind w:firstLine="480" w:firstLineChars="200"/>
        <w:jc w:val="left"/>
        <w:rPr>
          <w:color w:val="auto"/>
          <w:sz w:val="24"/>
          <w:szCs w:val="24"/>
          <w:highlight w:val="none"/>
        </w:rPr>
      </w:pPr>
      <w:r>
        <w:rPr>
          <w:rFonts w:hint="eastAsia"/>
          <w:color w:val="auto"/>
          <w:sz w:val="24"/>
          <w:szCs w:val="24"/>
          <w:highlight w:val="none"/>
        </w:rPr>
        <w:t>9.</w:t>
      </w:r>
      <w:r>
        <w:rPr>
          <w:rFonts w:hint="eastAsia" w:ascii="宋体" w:hAnsi="宋体" w:cs="Arial"/>
          <w:color w:val="auto"/>
          <w:sz w:val="24"/>
          <w:highlight w:val="none"/>
        </w:rPr>
        <w:t>投标人符合《政府采购法》第二十二条规定条件的承诺函</w:t>
      </w:r>
    </w:p>
    <w:p>
      <w:pPr>
        <w:spacing w:line="360" w:lineRule="exact"/>
        <w:ind w:firstLine="480" w:firstLineChars="200"/>
        <w:jc w:val="left"/>
        <w:rPr>
          <w:color w:val="auto"/>
          <w:sz w:val="24"/>
          <w:szCs w:val="24"/>
          <w:highlight w:val="none"/>
        </w:rPr>
      </w:pPr>
      <w:r>
        <w:rPr>
          <w:rFonts w:hint="eastAsia"/>
          <w:color w:val="auto"/>
          <w:sz w:val="24"/>
          <w:szCs w:val="24"/>
          <w:highlight w:val="none"/>
        </w:rPr>
        <w:t>10.具备履行合同所必需的设备和专业技术能力的书面声明</w:t>
      </w:r>
    </w:p>
    <w:p>
      <w:pPr>
        <w:spacing w:line="360" w:lineRule="exact"/>
        <w:ind w:firstLine="480" w:firstLineChars="200"/>
        <w:jc w:val="left"/>
        <w:rPr>
          <w:color w:val="auto"/>
          <w:sz w:val="24"/>
          <w:szCs w:val="24"/>
          <w:highlight w:val="none"/>
        </w:rPr>
      </w:pPr>
      <w:r>
        <w:rPr>
          <w:rFonts w:hint="eastAsia"/>
          <w:color w:val="auto"/>
          <w:sz w:val="24"/>
          <w:szCs w:val="24"/>
          <w:highlight w:val="none"/>
        </w:rPr>
        <w:t>11.公共资源交易投标信用承诺书</w:t>
      </w:r>
    </w:p>
    <w:p>
      <w:pPr>
        <w:spacing w:line="360" w:lineRule="exact"/>
        <w:ind w:firstLine="480" w:firstLineChars="200"/>
        <w:jc w:val="left"/>
        <w:rPr>
          <w:color w:val="auto"/>
          <w:sz w:val="24"/>
          <w:szCs w:val="24"/>
          <w:highlight w:val="none"/>
        </w:rPr>
      </w:pPr>
      <w:r>
        <w:rPr>
          <w:rFonts w:hint="eastAsia"/>
          <w:color w:val="auto"/>
          <w:sz w:val="24"/>
          <w:szCs w:val="24"/>
          <w:highlight w:val="none"/>
        </w:rPr>
        <w:t>12.企业声明函（如有）</w:t>
      </w:r>
    </w:p>
    <w:p>
      <w:pPr>
        <w:spacing w:line="360" w:lineRule="exact"/>
        <w:ind w:firstLine="480" w:firstLineChars="200"/>
        <w:jc w:val="left"/>
        <w:rPr>
          <w:color w:val="auto"/>
          <w:sz w:val="24"/>
          <w:szCs w:val="24"/>
          <w:highlight w:val="none"/>
        </w:rPr>
      </w:pPr>
      <w:r>
        <w:rPr>
          <w:rFonts w:hint="eastAsia"/>
          <w:color w:val="auto"/>
          <w:sz w:val="24"/>
          <w:szCs w:val="24"/>
          <w:highlight w:val="none"/>
        </w:rPr>
        <w:t>13.残疾人福利性单位声明函（如有）</w:t>
      </w:r>
    </w:p>
    <w:p>
      <w:pPr>
        <w:spacing w:line="360" w:lineRule="exact"/>
        <w:ind w:firstLine="480" w:firstLineChars="200"/>
        <w:jc w:val="left"/>
        <w:rPr>
          <w:color w:val="auto"/>
          <w:sz w:val="24"/>
          <w:szCs w:val="24"/>
          <w:highlight w:val="none"/>
        </w:rPr>
      </w:pPr>
      <w:r>
        <w:rPr>
          <w:rFonts w:hint="eastAsia"/>
          <w:color w:val="auto"/>
          <w:sz w:val="24"/>
          <w:szCs w:val="24"/>
          <w:highlight w:val="none"/>
        </w:rPr>
        <w:t>14.监狱和戒毒企业证明材料（如有）</w:t>
      </w:r>
    </w:p>
    <w:p>
      <w:pPr>
        <w:spacing w:line="360" w:lineRule="exact"/>
        <w:ind w:firstLine="480" w:firstLineChars="200"/>
        <w:jc w:val="left"/>
        <w:rPr>
          <w:color w:val="auto"/>
          <w:sz w:val="24"/>
          <w:szCs w:val="24"/>
          <w:highlight w:val="none"/>
        </w:rPr>
      </w:pPr>
      <w:r>
        <w:rPr>
          <w:rFonts w:hint="eastAsia"/>
          <w:color w:val="auto"/>
          <w:sz w:val="24"/>
          <w:szCs w:val="24"/>
          <w:highlight w:val="none"/>
        </w:rPr>
        <w:t>15.政府采购政策功能落实说明（如有）</w:t>
      </w:r>
    </w:p>
    <w:p>
      <w:pPr>
        <w:spacing w:line="360" w:lineRule="exact"/>
        <w:ind w:firstLine="482" w:firstLineChars="200"/>
        <w:jc w:val="left"/>
        <w:rPr>
          <w:b/>
          <w:color w:val="auto"/>
          <w:sz w:val="24"/>
          <w:szCs w:val="24"/>
          <w:highlight w:val="none"/>
        </w:rPr>
      </w:pPr>
      <w:r>
        <w:rPr>
          <w:rFonts w:hint="eastAsia"/>
          <w:b/>
          <w:color w:val="auto"/>
          <w:sz w:val="24"/>
          <w:szCs w:val="24"/>
          <w:highlight w:val="none"/>
        </w:rPr>
        <w:t>16.投标人实质性资格证明文件目录</w:t>
      </w:r>
    </w:p>
    <w:p>
      <w:pPr>
        <w:spacing w:line="36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（1）营业执照（三证合一）或事业单位法人证书复印件（</w:t>
      </w:r>
      <w:r>
        <w:rPr>
          <w:rFonts w:hint="eastAsia"/>
          <w:b/>
          <w:color w:val="auto"/>
          <w:sz w:val="24"/>
          <w:szCs w:val="24"/>
          <w:highlight w:val="none"/>
        </w:rPr>
        <w:t>如为联合体投标，联合体各方均须提供）；</w:t>
      </w:r>
    </w:p>
    <w:p>
      <w:pPr>
        <w:spacing w:line="36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（2）投标人须提供</w:t>
      </w:r>
      <w:r>
        <w:rPr>
          <w:rFonts w:hint="eastAsia" w:asciiTheme="minorEastAsia" w:hAnsiTheme="minorEastAsia" w:eastAsiaTheme="minorEastAsia"/>
          <w:color w:val="auto"/>
          <w:sz w:val="24"/>
          <w:szCs w:val="24"/>
          <w:highlight w:val="none"/>
        </w:rPr>
        <w:t>企业资质</w:t>
      </w:r>
      <w:r>
        <w:rPr>
          <w:rFonts w:hint="eastAsia" w:asciiTheme="minorEastAsia" w:hAnsiTheme="minorEastAsia" w:eastAsiaTheme="minorEastAsia"/>
          <w:bCs/>
          <w:color w:val="auto"/>
          <w:sz w:val="24"/>
          <w:szCs w:val="24"/>
          <w:highlight w:val="none"/>
        </w:rPr>
        <w:t>证书复印件（</w:t>
      </w:r>
      <w:r>
        <w:rPr>
          <w:rFonts w:hint="eastAsia"/>
          <w:b/>
          <w:color w:val="auto"/>
          <w:sz w:val="24"/>
          <w:szCs w:val="24"/>
          <w:highlight w:val="none"/>
        </w:rPr>
        <w:t>如为联合体投标，联合体各方均须提供）；</w:t>
      </w:r>
    </w:p>
    <w:p>
      <w:pPr>
        <w:spacing w:line="36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（3）投标人须提供</w:t>
      </w:r>
      <w:r>
        <w:rPr>
          <w:rFonts w:hint="eastAsia" w:asciiTheme="minorEastAsia" w:hAnsiTheme="minorEastAsia" w:eastAsiaTheme="minorEastAsia"/>
          <w:color w:val="auto"/>
          <w:sz w:val="24"/>
          <w:szCs w:val="24"/>
          <w:highlight w:val="none"/>
        </w:rPr>
        <w:t>企业安全生产许可证</w:t>
      </w:r>
      <w:r>
        <w:rPr>
          <w:rFonts w:hint="eastAsia" w:asciiTheme="minorEastAsia" w:hAnsiTheme="minorEastAsia" w:eastAsiaTheme="minorEastAsia"/>
          <w:bCs/>
          <w:color w:val="auto"/>
          <w:sz w:val="24"/>
          <w:szCs w:val="24"/>
          <w:highlight w:val="none"/>
        </w:rPr>
        <w:t>复印件（</w:t>
      </w:r>
      <w:r>
        <w:rPr>
          <w:rFonts w:hint="eastAsia"/>
          <w:b/>
          <w:color w:val="auto"/>
          <w:sz w:val="24"/>
          <w:szCs w:val="24"/>
          <w:highlight w:val="none"/>
        </w:rPr>
        <w:t>如为联合体投标，联合体各方均须提供）；</w:t>
      </w:r>
    </w:p>
    <w:p>
      <w:pPr>
        <w:spacing w:line="360" w:lineRule="exact"/>
        <w:ind w:firstLine="480" w:firstLineChars="200"/>
        <w:jc w:val="left"/>
        <w:rPr>
          <w:rFonts w:asciiTheme="minorEastAsia" w:hAnsiTheme="minorEastAsia" w:eastAsiaTheme="minorEastAsia"/>
          <w:bCs/>
          <w:color w:val="auto"/>
          <w:sz w:val="24"/>
          <w:szCs w:val="24"/>
          <w:highlight w:val="none"/>
        </w:rPr>
      </w:pPr>
      <w:r>
        <w:rPr>
          <w:rFonts w:hint="eastAsia" w:asciiTheme="minorEastAsia" w:hAnsiTheme="minorEastAsia" w:eastAsiaTheme="minorEastAsia"/>
          <w:bCs/>
          <w:color w:val="auto"/>
          <w:sz w:val="24"/>
          <w:szCs w:val="24"/>
          <w:highlight w:val="none"/>
        </w:rPr>
        <w:t>（4）拟派项目负责人建造师注册证书和</w:t>
      </w:r>
      <w:r>
        <w:rPr>
          <w:rFonts w:hint="eastAsia" w:asciiTheme="minorEastAsia" w:hAnsiTheme="minorEastAsia" w:eastAsiaTheme="minorEastAsia"/>
          <w:color w:val="auto"/>
          <w:sz w:val="24"/>
          <w:szCs w:val="24"/>
          <w:highlight w:val="none"/>
        </w:rPr>
        <w:t>安全生产培训合格证B证</w:t>
      </w:r>
      <w:r>
        <w:rPr>
          <w:rFonts w:hint="eastAsia" w:asciiTheme="minorEastAsia" w:hAnsiTheme="minorEastAsia" w:eastAsiaTheme="minorEastAsia"/>
          <w:bCs/>
          <w:color w:val="auto"/>
          <w:sz w:val="24"/>
          <w:szCs w:val="24"/>
          <w:highlight w:val="none"/>
        </w:rPr>
        <w:t>复印件，同时须提供投标人近3个月为其连续缴纳的社会保险金清单复印件，如事业单位无法提供社保证明的，须提供本单位盖章的承诺证明材料复印件；</w:t>
      </w:r>
    </w:p>
    <w:p>
      <w:pPr>
        <w:pStyle w:val="3"/>
        <w:spacing w:line="360" w:lineRule="exact"/>
        <w:ind w:firstLine="361" w:firstLineChars="150"/>
        <w:jc w:val="left"/>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（5）联合体协议（如为联合体投标须提供联合体协议，明确联合体牵头人和其他成员的主要权利和义务，格式自拟）。</w:t>
      </w:r>
    </w:p>
    <w:p>
      <w:pPr>
        <w:spacing w:line="360" w:lineRule="exact"/>
        <w:ind w:firstLine="482" w:firstLineChars="200"/>
        <w:jc w:val="left"/>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17.投标人非实质性资格证明文件目录（根据评分标准要求的内容自行制作）</w:t>
      </w:r>
    </w:p>
    <w:p>
      <w:pPr>
        <w:spacing w:line="360" w:lineRule="exact"/>
        <w:ind w:firstLine="361" w:firstLineChars="150"/>
        <w:rPr>
          <w:rFonts w:asciiTheme="minorEastAsia" w:hAnsiTheme="minorEastAsia" w:eastAsiaTheme="minorEastAsia"/>
          <w:b/>
          <w:color w:val="auto"/>
          <w:kern w:val="0"/>
          <w:sz w:val="24"/>
          <w:szCs w:val="24"/>
          <w:highlight w:val="none"/>
        </w:rPr>
      </w:pPr>
      <w:r>
        <w:rPr>
          <w:rFonts w:hint="eastAsia" w:asciiTheme="minorEastAsia" w:hAnsiTheme="minorEastAsia" w:eastAsiaTheme="minorEastAsia"/>
          <w:b/>
          <w:color w:val="auto"/>
          <w:kern w:val="0"/>
          <w:sz w:val="24"/>
          <w:szCs w:val="24"/>
          <w:highlight w:val="none"/>
        </w:rPr>
        <w:t>（1）服务方案</w:t>
      </w:r>
    </w:p>
    <w:p>
      <w:pPr>
        <w:pStyle w:val="3"/>
        <w:spacing w:line="360" w:lineRule="exact"/>
        <w:ind w:firstLine="359" w:firstLineChars="149"/>
        <w:jc w:val="both"/>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（2）企业综合实力</w:t>
      </w:r>
    </w:p>
    <w:p>
      <w:pPr>
        <w:spacing w:line="360" w:lineRule="exact"/>
        <w:ind w:firstLine="354" w:firstLineChars="147"/>
        <w:jc w:val="left"/>
        <w:rPr>
          <w:b/>
          <w:color w:val="auto"/>
          <w:sz w:val="24"/>
          <w:szCs w:val="24"/>
          <w:highlight w:val="none"/>
        </w:rPr>
      </w:pPr>
      <w:r>
        <w:rPr>
          <w:rFonts w:hint="eastAsia" w:asciiTheme="minorEastAsia" w:hAnsiTheme="minorEastAsia" w:eastAsiaTheme="minorEastAsia"/>
          <w:b/>
          <w:color w:val="auto"/>
          <w:sz w:val="24"/>
          <w:szCs w:val="24"/>
          <w:highlight w:val="none"/>
        </w:rPr>
        <w:t>（3）为完成本项目投标</w:t>
      </w:r>
      <w:r>
        <w:rPr>
          <w:rFonts w:hint="eastAsia"/>
          <w:b/>
          <w:color w:val="auto"/>
          <w:sz w:val="24"/>
          <w:szCs w:val="24"/>
          <w:highlight w:val="none"/>
        </w:rPr>
        <w:t>人认为以及满足本招标文件及评标办法所需要的其它资料。</w:t>
      </w:r>
    </w:p>
    <w:p>
      <w:pPr>
        <w:spacing w:line="360" w:lineRule="exact"/>
        <w:ind w:firstLine="482" w:firstLineChars="200"/>
        <w:jc w:val="left"/>
        <w:rPr>
          <w:b/>
          <w:color w:val="auto"/>
          <w:sz w:val="24"/>
          <w:szCs w:val="24"/>
          <w:highlight w:val="none"/>
        </w:rPr>
      </w:pPr>
      <w:r>
        <w:rPr>
          <w:rFonts w:hint="eastAsia"/>
          <w:b/>
          <w:color w:val="auto"/>
          <w:sz w:val="24"/>
          <w:szCs w:val="24"/>
          <w:highlight w:val="none"/>
        </w:rPr>
        <w:t>投标文件中未提供评分标准中涉及的证书及证明材料等资料复印件加盖投标人公章的，相应条款不得分。</w:t>
      </w:r>
    </w:p>
    <w:p>
      <w:pPr>
        <w:spacing w:line="360" w:lineRule="exact"/>
        <w:ind w:firstLine="482" w:firstLineChars="200"/>
        <w:jc w:val="left"/>
        <w:rPr>
          <w:color w:val="auto"/>
          <w:sz w:val="24"/>
          <w:szCs w:val="24"/>
          <w:highlight w:val="none"/>
        </w:rPr>
      </w:pPr>
      <w:r>
        <w:rPr>
          <w:rFonts w:hint="eastAsia"/>
          <w:b/>
          <w:color w:val="auto"/>
          <w:sz w:val="24"/>
          <w:szCs w:val="24"/>
          <w:highlight w:val="none"/>
        </w:rPr>
        <w:t>18.为完成本项目投标人认为以及满足本招标文件及评标办法所需要的其它资料。</w:t>
      </w:r>
    </w:p>
    <w:p>
      <w:pPr>
        <w:spacing w:line="480" w:lineRule="exact"/>
        <w:jc w:val="center"/>
        <w:outlineLvl w:val="1"/>
        <w:rPr>
          <w:rFonts w:ascii="宋体" w:hAnsi="宋体"/>
          <w:color w:val="auto"/>
          <w:sz w:val="28"/>
          <w:szCs w:val="28"/>
          <w:highlight w:val="none"/>
        </w:rPr>
      </w:pPr>
    </w:p>
    <w:p>
      <w:pPr>
        <w:spacing w:line="480" w:lineRule="exact"/>
        <w:jc w:val="center"/>
        <w:outlineLvl w:val="1"/>
        <w:rPr>
          <w:rFonts w:ascii="宋体" w:hAnsi="宋体"/>
          <w:color w:val="auto"/>
          <w:sz w:val="28"/>
          <w:szCs w:val="28"/>
          <w:highlight w:val="none"/>
        </w:rPr>
      </w:pPr>
      <w:r>
        <w:rPr>
          <w:rFonts w:hint="eastAsia" w:ascii="宋体" w:hAnsi="宋体"/>
          <w:color w:val="auto"/>
          <w:sz w:val="28"/>
          <w:szCs w:val="28"/>
          <w:highlight w:val="none"/>
        </w:rPr>
        <w:t>5.1</w:t>
      </w:r>
      <w:r>
        <w:rPr>
          <w:rFonts w:hint="eastAsia" w:ascii="宋体" w:hAnsi="宋体"/>
          <w:b/>
          <w:color w:val="auto"/>
          <w:spacing w:val="-6"/>
          <w:sz w:val="28"/>
          <w:szCs w:val="28"/>
          <w:highlight w:val="none"/>
        </w:rPr>
        <w:t>投标函格式</w:t>
      </w:r>
    </w:p>
    <w:p>
      <w:pPr>
        <w:pStyle w:val="44"/>
        <w:spacing w:before="0" w:after="0" w:line="420" w:lineRule="exact"/>
        <w:ind w:firstLine="0"/>
        <w:rPr>
          <w:rFonts w:ascii="宋体" w:hAnsi="宋体"/>
          <w:color w:val="auto"/>
          <w:sz w:val="21"/>
          <w:szCs w:val="21"/>
          <w:highlight w:val="none"/>
          <w:u w:val="single"/>
        </w:rPr>
      </w:pPr>
      <w:r>
        <w:rPr>
          <w:rFonts w:hint="eastAsia" w:ascii="宋体" w:hAnsi="宋体"/>
          <w:color w:val="auto"/>
          <w:sz w:val="21"/>
          <w:szCs w:val="21"/>
          <w:highlight w:val="none"/>
        </w:rPr>
        <w:t>致：</w:t>
      </w:r>
      <w:r>
        <w:rPr>
          <w:rFonts w:hint="eastAsia" w:asciiTheme="minorEastAsia" w:hAnsiTheme="minorEastAsia"/>
          <w:color w:val="auto"/>
          <w:sz w:val="21"/>
          <w:szCs w:val="21"/>
          <w:highlight w:val="none"/>
          <w:u w:val="single"/>
        </w:rPr>
        <w:t>如东县林业服务站</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根据贵方的招标文件，正式授权</w:t>
      </w:r>
      <w:r>
        <w:rPr>
          <w:rFonts w:hint="eastAsia" w:ascii="宋体" w:hAnsi="宋体"/>
          <w:color w:val="auto"/>
          <w:sz w:val="21"/>
          <w:szCs w:val="21"/>
          <w:highlight w:val="none"/>
          <w:u w:val="single"/>
        </w:rPr>
        <w:t>_______________</w:t>
      </w:r>
      <w:r>
        <w:rPr>
          <w:rFonts w:hint="eastAsia" w:ascii="宋体" w:hAnsi="宋体"/>
          <w:color w:val="auto"/>
          <w:sz w:val="21"/>
          <w:szCs w:val="21"/>
          <w:highlight w:val="none"/>
        </w:rPr>
        <w:t>(姓名和职务)代表我方</w:t>
      </w:r>
      <w:r>
        <w:rPr>
          <w:rFonts w:hint="eastAsia" w:ascii="宋体" w:hAnsi="宋体"/>
          <w:color w:val="auto"/>
          <w:sz w:val="21"/>
          <w:szCs w:val="21"/>
          <w:highlight w:val="none"/>
          <w:u w:val="single"/>
        </w:rPr>
        <w:t>______________</w:t>
      </w:r>
      <w:r>
        <w:rPr>
          <w:rFonts w:hint="eastAsia" w:ascii="宋体" w:hAnsi="宋体"/>
          <w:color w:val="auto"/>
          <w:sz w:val="21"/>
          <w:szCs w:val="21"/>
          <w:highlight w:val="none"/>
        </w:rPr>
        <w:t>（投标人的名称），全权处理本次项目投标的有关事宜。我方现就有关事项郑重承诺如下：</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1.按招标文件规定的各项要求，向采购人提供所需货物与服务。</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2.我方完全理解报价最低并非意味着必定获得中标的资格。</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3.我方已详细审核全部招标文件及其有效补充文件（若有），包括投标文件修改书（如有的话）、参考资料及有关附件，确认无误。</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4.我方完全理解全部招标文件内容及相关的补充文件（若有），不存在任何误解之处，同意放弃提出异议和质疑的权利。</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5.我方同意从规定的开标日期起遵循本投标文件，并在规定的投标有效期期满之前均具有约束力。</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6.如果在开标后规定的投标有效期内撤回投标或中标后拒绝签订合同，我方的投标保证金可被贵方没收。</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7.我方承诺：采购人若需追加采购本项目招标文件所列货物及相关服务的，在不改变合同其他实质性条款的前提下，按相同或更优惠的折扣率保证供货。</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8.同意向贵方提供贵方可能另外要求的与投标有关的任何证据或资料，并保证我方已提供和将要提供的文件是真实的、准确的，绝无任何遗漏、虚假、伪造和夸大的成份，若出现违背诚实信用和无如实告知之处，同意被废除投标资格和相关的处罚。</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9.一旦我方中标,我方将根据招标文件的规定，严格履行合同的责任和义务,并保证在招标文件规定的时间完成项目，交付采购人验收、使用。</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10.遵守招标文件中要求的收费项目和标准且无任何异议。</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如果我方违反上述承诺，或承诺内容不属实，我方愿意承担一切不利的法律后果。</w:t>
      </w:r>
    </w:p>
    <w:p>
      <w:pPr>
        <w:pStyle w:val="44"/>
        <w:spacing w:before="0" w:after="0" w:line="420" w:lineRule="exact"/>
        <w:rPr>
          <w:rFonts w:ascii="宋体" w:hAnsi="宋体"/>
          <w:color w:val="auto"/>
          <w:sz w:val="21"/>
          <w:szCs w:val="21"/>
          <w:highlight w:val="none"/>
        </w:rPr>
      </w:pPr>
      <w:r>
        <w:rPr>
          <w:rFonts w:hint="eastAsia" w:ascii="宋体" w:hAnsi="宋体"/>
          <w:color w:val="auto"/>
          <w:sz w:val="21"/>
          <w:szCs w:val="21"/>
          <w:highlight w:val="none"/>
        </w:rPr>
        <w:t>与本投标有关的正式通讯地址为：</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地          址：</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邮          编：</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电          话：　　传  真：</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投标人开户行：</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 xml:space="preserve">账          户： </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法定代表人或被授权人（签字或盖章）：</w:t>
      </w:r>
    </w:p>
    <w:p>
      <w:pPr>
        <w:pStyle w:val="44"/>
        <w:spacing w:before="0" w:after="0" w:line="420" w:lineRule="exact"/>
        <w:ind w:left="420" w:leftChars="200"/>
        <w:rPr>
          <w:rFonts w:ascii="宋体" w:hAnsi="宋体"/>
          <w:color w:val="auto"/>
          <w:sz w:val="21"/>
          <w:szCs w:val="21"/>
          <w:highlight w:val="none"/>
          <w:u w:val="single"/>
        </w:rPr>
      </w:pPr>
      <w:r>
        <w:rPr>
          <w:rFonts w:hint="eastAsia" w:ascii="宋体" w:hAnsi="宋体"/>
          <w:color w:val="auto"/>
          <w:sz w:val="21"/>
          <w:szCs w:val="21"/>
          <w:highlight w:val="none"/>
        </w:rPr>
        <w:t xml:space="preserve">投标人名称（公章）： </w:t>
      </w:r>
    </w:p>
    <w:p>
      <w:pPr>
        <w:pStyle w:val="44"/>
        <w:spacing w:before="0" w:after="0" w:line="420" w:lineRule="exact"/>
        <w:ind w:left="420" w:leftChars="200"/>
        <w:rPr>
          <w:rFonts w:ascii="宋体" w:hAnsi="宋体"/>
          <w:color w:val="auto"/>
          <w:sz w:val="21"/>
          <w:szCs w:val="21"/>
          <w:highlight w:val="none"/>
        </w:rPr>
      </w:pPr>
      <w:r>
        <w:rPr>
          <w:rFonts w:hint="eastAsia" w:ascii="宋体" w:hAnsi="宋体"/>
          <w:color w:val="auto"/>
          <w:sz w:val="21"/>
          <w:szCs w:val="21"/>
          <w:highlight w:val="none"/>
        </w:rPr>
        <w:t xml:space="preserve">日           期： 年_______月_______日   </w:t>
      </w:r>
    </w:p>
    <w:p>
      <w:pPr>
        <w:adjustRightInd w:val="0"/>
        <w:snapToGrid w:val="0"/>
        <w:spacing w:line="360" w:lineRule="exact"/>
        <w:rPr>
          <w:rFonts w:ascii="宋体" w:hAnsi="宋体"/>
          <w:color w:val="auto"/>
          <w:highlight w:val="none"/>
        </w:rPr>
        <w:sectPr>
          <w:headerReference r:id="rId9" w:type="first"/>
          <w:footerReference r:id="rId11" w:type="first"/>
          <w:headerReference r:id="rId8" w:type="default"/>
          <w:footerReference r:id="rId10" w:type="default"/>
          <w:pgSz w:w="11906" w:h="16838"/>
          <w:pgMar w:top="1418" w:right="1588" w:bottom="1418" w:left="1588" w:header="851" w:footer="992" w:gutter="0"/>
          <w:cols w:space="720" w:num="1"/>
          <w:docGrid w:linePitch="312" w:charSpace="0"/>
        </w:sectPr>
      </w:pPr>
    </w:p>
    <w:p>
      <w:pPr>
        <w:pStyle w:val="3"/>
        <w:rPr>
          <w:rFonts w:ascii="宋体" w:hAnsi="宋体" w:eastAsia="宋体"/>
          <w:b/>
          <w:color w:val="auto"/>
          <w:highlight w:val="none"/>
        </w:rPr>
      </w:pPr>
      <w:bookmarkStart w:id="41" w:name="_Toc434820119"/>
      <w:r>
        <w:rPr>
          <w:rFonts w:hint="eastAsia" w:ascii="宋体" w:hAnsi="宋体" w:eastAsia="宋体"/>
          <w:b/>
          <w:color w:val="auto"/>
          <w:highlight w:val="none"/>
        </w:rPr>
        <w:t>5.</w:t>
      </w:r>
      <w:bookmarkEnd w:id="41"/>
      <w:r>
        <w:rPr>
          <w:rFonts w:hint="eastAsia" w:ascii="宋体" w:hAnsi="宋体" w:eastAsia="宋体"/>
          <w:b/>
          <w:color w:val="auto"/>
          <w:highlight w:val="none"/>
        </w:rPr>
        <w:t xml:space="preserve">2开标一览表 </w:t>
      </w:r>
    </w:p>
    <w:p>
      <w:pPr>
        <w:pStyle w:val="3"/>
        <w:rPr>
          <w:rFonts w:ascii="宋体" w:hAnsi="宋体" w:eastAsia="宋体"/>
          <w:color w:val="auto"/>
          <w:highlight w:val="none"/>
        </w:rPr>
      </w:pPr>
    </w:p>
    <w:p>
      <w:pPr>
        <w:snapToGrid w:val="0"/>
        <w:spacing w:line="360" w:lineRule="auto"/>
        <w:rPr>
          <w:rFonts w:ascii="宋体" w:hAnsi="宋体"/>
          <w:color w:val="auto"/>
          <w:sz w:val="24"/>
          <w:szCs w:val="24"/>
          <w:highlight w:val="none"/>
        </w:rPr>
      </w:pPr>
      <w:r>
        <w:rPr>
          <w:rFonts w:hint="eastAsia" w:ascii="宋体" w:hAnsi="宋体"/>
          <w:color w:val="auto"/>
          <w:sz w:val="24"/>
          <w:szCs w:val="24"/>
          <w:highlight w:val="none"/>
        </w:rPr>
        <w:t>投标人名称（盖章）：</w:t>
      </w:r>
    </w:p>
    <w:p>
      <w:pPr>
        <w:wordWrap w:val="0"/>
        <w:snapToGrid w:val="0"/>
        <w:spacing w:line="360" w:lineRule="auto"/>
        <w:jc w:val="right"/>
        <w:rPr>
          <w:rFonts w:ascii="宋体" w:hAnsi="宋体"/>
          <w:color w:val="auto"/>
          <w:sz w:val="24"/>
          <w:szCs w:val="24"/>
          <w:highlight w:val="none"/>
        </w:rPr>
      </w:pPr>
      <w:r>
        <w:rPr>
          <w:rFonts w:hint="eastAsia" w:ascii="宋体" w:hAnsi="宋体"/>
          <w:color w:val="auto"/>
          <w:sz w:val="24"/>
          <w:szCs w:val="24"/>
          <w:highlight w:val="none"/>
        </w:rPr>
        <w:t>单位：   元</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22"/>
        <w:gridCol w:w="67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7" w:hRule="atLeast"/>
          <w:jc w:val="center"/>
        </w:trPr>
        <w:tc>
          <w:tcPr>
            <w:tcW w:w="2822" w:type="dxa"/>
            <w:vAlign w:val="center"/>
          </w:tcPr>
          <w:p>
            <w:pPr>
              <w:pStyle w:val="8"/>
              <w:adjustRightInd w:val="0"/>
              <w:snapToGrid w:val="0"/>
              <w:spacing w:line="300" w:lineRule="auto"/>
              <w:ind w:firstLine="480"/>
              <w:jc w:val="left"/>
              <w:rPr>
                <w:color w:val="auto"/>
                <w:highlight w:val="none"/>
              </w:rPr>
            </w:pPr>
            <w:r>
              <w:rPr>
                <w:rFonts w:hint="eastAsia" w:ascii="宋体" w:hAnsi="宋体"/>
                <w:b/>
                <w:color w:val="auto"/>
                <w:sz w:val="28"/>
                <w:szCs w:val="28"/>
                <w:highlight w:val="none"/>
              </w:rPr>
              <w:t>项目总报价</w:t>
            </w:r>
          </w:p>
          <w:p>
            <w:pPr>
              <w:pStyle w:val="8"/>
              <w:adjustRightInd w:val="0"/>
              <w:snapToGrid w:val="0"/>
              <w:spacing w:line="300" w:lineRule="auto"/>
              <w:ind w:firstLine="480"/>
              <w:jc w:val="left"/>
              <w:rPr>
                <w:rFonts w:ascii="宋体" w:hAnsi="宋体"/>
                <w:b/>
                <w:color w:val="auto"/>
                <w:sz w:val="24"/>
                <w:szCs w:val="24"/>
                <w:highlight w:val="none"/>
              </w:rPr>
            </w:pPr>
            <w:r>
              <w:rPr>
                <w:rFonts w:hint="eastAsia" w:ascii="宋体" w:hAnsi="宋体"/>
                <w:b/>
                <w:color w:val="auto"/>
                <w:sz w:val="28"/>
                <w:szCs w:val="28"/>
                <w:highlight w:val="none"/>
              </w:rPr>
              <w:t>（人民币）</w:t>
            </w:r>
          </w:p>
        </w:tc>
        <w:tc>
          <w:tcPr>
            <w:tcW w:w="6784" w:type="dxa"/>
            <w:vAlign w:val="center"/>
          </w:tcPr>
          <w:p>
            <w:pPr>
              <w:pStyle w:val="8"/>
              <w:adjustRightInd w:val="0"/>
              <w:snapToGrid w:val="0"/>
              <w:spacing w:line="300" w:lineRule="auto"/>
              <w:ind w:firstLine="480"/>
              <w:rPr>
                <w:rFonts w:ascii="宋体" w:hAnsi="宋体"/>
                <w:color w:val="auto"/>
                <w:sz w:val="24"/>
                <w:szCs w:val="24"/>
                <w:highlight w:val="none"/>
              </w:rPr>
            </w:pPr>
          </w:p>
          <w:p>
            <w:pPr>
              <w:pStyle w:val="8"/>
              <w:adjustRightInd w:val="0"/>
              <w:snapToGrid w:val="0"/>
              <w:spacing w:line="300" w:lineRule="auto"/>
              <w:ind w:firstLine="480"/>
              <w:rPr>
                <w:rFonts w:ascii="宋体" w:hAnsi="宋体"/>
                <w:color w:val="auto"/>
                <w:sz w:val="24"/>
                <w:szCs w:val="24"/>
                <w:highlight w:val="none"/>
              </w:rPr>
            </w:pPr>
            <w:r>
              <w:rPr>
                <w:rFonts w:hint="eastAsia" w:ascii="宋体" w:hAnsi="宋体"/>
                <w:color w:val="auto"/>
                <w:sz w:val="24"/>
                <w:szCs w:val="24"/>
                <w:highlight w:val="none"/>
              </w:rPr>
              <w:t>大写：</w:t>
            </w:r>
          </w:p>
          <w:p>
            <w:pPr>
              <w:pStyle w:val="8"/>
              <w:adjustRightInd w:val="0"/>
              <w:snapToGrid w:val="0"/>
              <w:spacing w:line="300" w:lineRule="auto"/>
              <w:rPr>
                <w:rFonts w:ascii="宋体" w:hAnsi="宋体"/>
                <w:color w:val="auto"/>
                <w:sz w:val="24"/>
                <w:szCs w:val="24"/>
                <w:highlight w:val="none"/>
              </w:rPr>
            </w:pPr>
          </w:p>
          <w:p>
            <w:pPr>
              <w:pStyle w:val="8"/>
              <w:adjustRightInd w:val="0"/>
              <w:snapToGrid w:val="0"/>
              <w:spacing w:line="300" w:lineRule="auto"/>
              <w:ind w:firstLine="480"/>
              <w:rPr>
                <w:rFonts w:ascii="宋体" w:hAnsi="宋体"/>
                <w:b/>
                <w:color w:val="auto"/>
                <w:sz w:val="24"/>
                <w:szCs w:val="24"/>
                <w:highlight w:val="none"/>
                <w:u w:val="single"/>
              </w:rPr>
            </w:pPr>
            <w:r>
              <w:rPr>
                <w:rFonts w:hint="eastAsia" w:ascii="宋体" w:hAnsi="宋体"/>
                <w:color w:val="auto"/>
                <w:sz w:val="24"/>
                <w:szCs w:val="24"/>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9" w:hRule="atLeast"/>
          <w:jc w:val="center"/>
        </w:trPr>
        <w:tc>
          <w:tcPr>
            <w:tcW w:w="2822" w:type="dxa"/>
            <w:vAlign w:val="center"/>
          </w:tcPr>
          <w:p>
            <w:pPr>
              <w:adjustRightInd w:val="0"/>
              <w:snapToGrid w:val="0"/>
              <w:spacing w:line="300" w:lineRule="auto"/>
              <w:jc w:val="center"/>
              <w:rPr>
                <w:rFonts w:ascii="宋体" w:hAnsi="宋体"/>
                <w:color w:val="auto"/>
                <w:sz w:val="24"/>
                <w:szCs w:val="24"/>
                <w:highlight w:val="none"/>
              </w:rPr>
            </w:pPr>
            <w:r>
              <w:rPr>
                <w:rFonts w:hint="eastAsia" w:ascii="宋体" w:hAnsi="宋体"/>
                <w:color w:val="auto"/>
                <w:sz w:val="24"/>
                <w:szCs w:val="24"/>
                <w:highlight w:val="none"/>
              </w:rPr>
              <w:t>标书</w:t>
            </w:r>
          </w:p>
          <w:p>
            <w:pPr>
              <w:adjustRightInd w:val="0"/>
              <w:snapToGrid w:val="0"/>
              <w:spacing w:line="300" w:lineRule="auto"/>
              <w:jc w:val="center"/>
              <w:rPr>
                <w:rFonts w:ascii="宋体" w:hAnsi="宋体"/>
                <w:color w:val="auto"/>
                <w:sz w:val="24"/>
                <w:szCs w:val="24"/>
                <w:highlight w:val="none"/>
              </w:rPr>
            </w:pPr>
            <w:r>
              <w:rPr>
                <w:rFonts w:hint="eastAsia" w:ascii="宋体" w:hAnsi="宋体"/>
                <w:color w:val="auto"/>
                <w:sz w:val="24"/>
                <w:szCs w:val="24"/>
                <w:highlight w:val="none"/>
              </w:rPr>
              <w:t>份数</w:t>
            </w:r>
          </w:p>
        </w:tc>
        <w:tc>
          <w:tcPr>
            <w:tcW w:w="6784" w:type="dxa"/>
            <w:vAlign w:val="center"/>
          </w:tcPr>
          <w:p>
            <w:pPr>
              <w:spacing w:line="360" w:lineRule="auto"/>
              <w:rPr>
                <w:rFonts w:ascii="宋体" w:hAnsi="宋体"/>
                <w:color w:val="auto"/>
                <w:sz w:val="24"/>
                <w:szCs w:val="24"/>
                <w:highlight w:val="none"/>
              </w:rPr>
            </w:pPr>
            <w:r>
              <w:rPr>
                <w:rFonts w:hint="eastAsia" w:ascii="宋体" w:hAnsi="宋体"/>
                <w:color w:val="auto"/>
                <w:sz w:val="24"/>
                <w:szCs w:val="24"/>
                <w:highlight w:val="none"/>
              </w:rPr>
              <w:t>正本份数：1份 ，副本份数：4份。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822" w:type="dxa"/>
            <w:vAlign w:val="center"/>
          </w:tcPr>
          <w:p>
            <w:pPr>
              <w:adjustRightInd w:val="0"/>
              <w:snapToGrid w:val="0"/>
              <w:spacing w:line="300" w:lineRule="auto"/>
              <w:jc w:val="center"/>
              <w:rPr>
                <w:rFonts w:ascii="宋体" w:hAnsi="宋体"/>
                <w:color w:val="auto"/>
                <w:sz w:val="24"/>
                <w:szCs w:val="24"/>
                <w:highlight w:val="none"/>
              </w:rPr>
            </w:pPr>
            <w:r>
              <w:rPr>
                <w:rFonts w:hint="eastAsia" w:ascii="宋体" w:hAnsi="宋体"/>
                <w:color w:val="auto"/>
                <w:sz w:val="24"/>
                <w:szCs w:val="24"/>
                <w:highlight w:val="none"/>
              </w:rPr>
              <w:t>备注</w:t>
            </w:r>
          </w:p>
        </w:tc>
        <w:tc>
          <w:tcPr>
            <w:tcW w:w="6784" w:type="dxa"/>
            <w:vAlign w:val="center"/>
          </w:tcPr>
          <w:p>
            <w:pPr>
              <w:adjustRightInd w:val="0"/>
              <w:snapToGrid w:val="0"/>
              <w:spacing w:line="300" w:lineRule="auto"/>
              <w:rPr>
                <w:rFonts w:ascii="宋体" w:hAnsi="宋体"/>
                <w:color w:val="auto"/>
                <w:sz w:val="24"/>
                <w:szCs w:val="24"/>
                <w:highlight w:val="none"/>
              </w:rPr>
            </w:pPr>
          </w:p>
        </w:tc>
      </w:tr>
    </w:tbl>
    <w:p>
      <w:pPr>
        <w:spacing w:line="440" w:lineRule="exact"/>
        <w:jc w:val="left"/>
        <w:rPr>
          <w:b/>
          <w:color w:val="auto"/>
          <w:sz w:val="24"/>
          <w:szCs w:val="24"/>
          <w:highlight w:val="none"/>
        </w:rPr>
      </w:pPr>
      <w:r>
        <w:rPr>
          <w:rFonts w:hint="eastAsia"/>
          <w:b/>
          <w:color w:val="auto"/>
          <w:sz w:val="24"/>
          <w:szCs w:val="24"/>
          <w:highlight w:val="none"/>
        </w:rPr>
        <w:t>注:</w:t>
      </w:r>
    </w:p>
    <w:p>
      <w:pPr>
        <w:spacing w:line="400" w:lineRule="exact"/>
        <w:ind w:firstLine="482"/>
        <w:rPr>
          <w:rFonts w:cs="Times New Roman"/>
          <w:b/>
          <w:bCs/>
          <w:color w:val="auto"/>
          <w:sz w:val="24"/>
          <w:highlight w:val="none"/>
        </w:rPr>
      </w:pPr>
      <w:r>
        <w:rPr>
          <w:rFonts w:hint="eastAsia" w:ascii="宋体" w:hAnsi="宋体"/>
          <w:b/>
          <w:color w:val="auto"/>
          <w:sz w:val="24"/>
          <w:szCs w:val="24"/>
          <w:highlight w:val="none"/>
        </w:rPr>
        <w:t>1.</w:t>
      </w:r>
      <w:r>
        <w:rPr>
          <w:rFonts w:hint="eastAsia" w:cs="Times New Roman"/>
          <w:b/>
          <w:bCs/>
          <w:color w:val="auto"/>
          <w:sz w:val="24"/>
          <w:highlight w:val="none"/>
        </w:rPr>
        <w:t xml:space="preserve"> 投标人需现场进行踏勘，应当充分了解实施项目位置、情况、道路、</w:t>
      </w:r>
      <w:r>
        <w:rPr>
          <w:rFonts w:cs="Times New Roman"/>
          <w:b/>
          <w:bCs/>
          <w:color w:val="auto"/>
          <w:sz w:val="24"/>
          <w:highlight w:val="none"/>
        </w:rPr>
        <w:t>滩面高程坡度、自然</w:t>
      </w:r>
      <w:r>
        <w:rPr>
          <w:rFonts w:hint="eastAsia" w:cs="Times New Roman"/>
          <w:b/>
          <w:bCs/>
          <w:color w:val="auto"/>
          <w:sz w:val="24"/>
          <w:highlight w:val="none"/>
        </w:rPr>
        <w:t>港汊</w:t>
      </w:r>
      <w:r>
        <w:rPr>
          <w:rFonts w:cs="Times New Roman"/>
          <w:b/>
          <w:bCs/>
          <w:color w:val="auto"/>
          <w:sz w:val="24"/>
          <w:highlight w:val="none"/>
        </w:rPr>
        <w:t>分布与走向、潮汐情况等</w:t>
      </w:r>
      <w:r>
        <w:rPr>
          <w:rFonts w:hint="eastAsia" w:cs="Times New Roman"/>
          <w:b/>
          <w:bCs/>
          <w:color w:val="auto"/>
          <w:sz w:val="24"/>
          <w:highlight w:val="none"/>
        </w:rPr>
        <w:t>任何其它足以影响报价的情况，并根据现场的实际情况将本项目可预见的相关费用自行考虑到投标报价中，投标人中标后可预见的相关费用包干使用。采购人提供的有关现场的数据和资料，是采购人现有的能够被投标人利用的资料，投标人对该数据和资料做出的任何推论、理解和结论采购人均不负责任，任何因忽视或误解项目情况而导致的索赔或工期延长申请将不被批准。</w:t>
      </w:r>
    </w:p>
    <w:p>
      <w:pPr>
        <w:spacing w:line="400" w:lineRule="exact"/>
        <w:ind w:firstLine="482"/>
        <w:rPr>
          <w:rFonts w:ascii="宋体" w:hAnsi="宋体"/>
          <w:b/>
          <w:color w:val="auto"/>
          <w:sz w:val="24"/>
          <w:szCs w:val="24"/>
          <w:highlight w:val="none"/>
        </w:rPr>
      </w:pPr>
      <w:r>
        <w:rPr>
          <w:rFonts w:hint="eastAsia" w:ascii="宋体" w:hAnsi="宋体"/>
          <w:b/>
          <w:color w:val="auto"/>
          <w:sz w:val="24"/>
          <w:szCs w:val="24"/>
          <w:highlight w:val="none"/>
        </w:rPr>
        <w:t>投标报价应包括完成本招标项目所产生的一切费用，</w:t>
      </w:r>
      <w:r>
        <w:rPr>
          <w:rFonts w:hint="eastAsia"/>
          <w:b/>
          <w:color w:val="auto"/>
          <w:sz w:val="24"/>
          <w:szCs w:val="24"/>
          <w:highlight w:val="none"/>
        </w:rPr>
        <w:t>包含前期调查、食宿、交通、劳务、</w:t>
      </w:r>
      <w:r>
        <w:rPr>
          <w:rFonts w:hint="eastAsia" w:ascii="宋体" w:hAnsi="宋体"/>
          <w:b/>
          <w:color w:val="auto"/>
          <w:sz w:val="24"/>
          <w:szCs w:val="24"/>
          <w:highlight w:val="none"/>
        </w:rPr>
        <w:t>提交成果费用、</w:t>
      </w:r>
      <w:r>
        <w:rPr>
          <w:rFonts w:hint="eastAsia"/>
          <w:b/>
          <w:color w:val="auto"/>
          <w:sz w:val="24"/>
          <w:szCs w:val="24"/>
          <w:highlight w:val="none"/>
        </w:rPr>
        <w:t>专家论证费用、</w:t>
      </w:r>
      <w:r>
        <w:rPr>
          <w:rFonts w:hint="eastAsia" w:ascii="宋体" w:hAnsi="宋体"/>
          <w:b/>
          <w:color w:val="auto"/>
          <w:sz w:val="24"/>
          <w:szCs w:val="24"/>
          <w:highlight w:val="none"/>
        </w:rPr>
        <w:t>成果审查费用、方案论证相关费用、技术服务费用（包括</w:t>
      </w:r>
      <w:r>
        <w:rPr>
          <w:rFonts w:hint="eastAsia" w:ascii="宋体" w:hAnsi="宋体"/>
          <w:b/>
          <w:bCs/>
          <w:color w:val="auto"/>
          <w:sz w:val="24"/>
          <w:szCs w:val="24"/>
          <w:highlight w:val="none"/>
        </w:rPr>
        <w:t>配合采购人进行实施方案的汇报、完成与上级部门的对接工作等</w:t>
      </w:r>
      <w:r>
        <w:rPr>
          <w:rFonts w:hint="eastAsia" w:ascii="宋体" w:hAnsi="宋体"/>
          <w:b/>
          <w:color w:val="auto"/>
          <w:sz w:val="24"/>
          <w:szCs w:val="24"/>
          <w:highlight w:val="none"/>
        </w:rPr>
        <w:t>）、项目报批的过程性费用、除治阶段，全面完成除治任务费用及其所发生的措施费用、所有坝埂拆除费用、后期管护阶段及巩固除治成果进行监测评估费用、招标代理费、规费、税金等完成本项目所需的一切费用。同时，报价也应包含合同履行过程中可能发生的一切风险。</w:t>
      </w:r>
    </w:p>
    <w:p>
      <w:pPr>
        <w:spacing w:line="440" w:lineRule="exact"/>
        <w:ind w:firstLine="482"/>
        <w:rPr>
          <w:b/>
          <w:bCs/>
          <w:color w:val="auto"/>
          <w:sz w:val="24"/>
          <w:szCs w:val="24"/>
          <w:highlight w:val="none"/>
        </w:rPr>
      </w:pPr>
      <w:r>
        <w:rPr>
          <w:b/>
          <w:bCs/>
          <w:color w:val="auto"/>
          <w:sz w:val="24"/>
          <w:szCs w:val="24"/>
          <w:highlight w:val="none"/>
        </w:rPr>
        <w:t>特别提醒：由于本项目除治措施实施主要时段在台风季和农历大潮期，且海洋潮流极易造成实施区域出现土方塌陷、港汊改道等海洋地质灾害，投标人必须对此充分评估，并将相关防护和修复措施的费用考虑在总报价中，由此产生的一切抢险抢工以及返工等损失采购人均不负责，价格不调整。</w:t>
      </w:r>
    </w:p>
    <w:p>
      <w:pPr>
        <w:snapToGrid w:val="0"/>
        <w:spacing w:line="440" w:lineRule="exact"/>
        <w:ind w:firstLine="482" w:firstLineChars="200"/>
        <w:rPr>
          <w:b/>
          <w:color w:val="auto"/>
          <w:sz w:val="24"/>
          <w:szCs w:val="24"/>
          <w:highlight w:val="none"/>
        </w:rPr>
      </w:pPr>
      <w:r>
        <w:rPr>
          <w:rFonts w:hint="eastAsia"/>
          <w:b/>
          <w:color w:val="auto"/>
          <w:sz w:val="24"/>
          <w:szCs w:val="24"/>
          <w:highlight w:val="none"/>
        </w:rPr>
        <w:t>2.本项目采购预算为：</w:t>
      </w:r>
      <w:r>
        <w:rPr>
          <w:rFonts w:hint="eastAsia" w:ascii="宋体" w:hAnsi="宋体"/>
          <w:b/>
          <w:bCs/>
          <w:color w:val="auto"/>
          <w:sz w:val="24"/>
          <w:szCs w:val="24"/>
          <w:highlight w:val="none"/>
          <w:u w:val="single"/>
        </w:rPr>
        <w:t>1800万元</w:t>
      </w:r>
      <w:r>
        <w:rPr>
          <w:rFonts w:hint="eastAsia"/>
          <w:b/>
          <w:color w:val="auto"/>
          <w:sz w:val="24"/>
          <w:szCs w:val="24"/>
          <w:highlight w:val="none"/>
        </w:rPr>
        <w:t>，投标人投标文件中的项目总报价不得超过采购预算，否则按无效投标处理。</w:t>
      </w:r>
    </w:p>
    <w:p>
      <w:pPr>
        <w:spacing w:line="440" w:lineRule="exact"/>
        <w:ind w:firstLine="482" w:firstLineChars="200"/>
        <w:jc w:val="left"/>
        <w:rPr>
          <w:b/>
          <w:color w:val="auto"/>
          <w:sz w:val="24"/>
          <w:szCs w:val="24"/>
          <w:highlight w:val="none"/>
        </w:rPr>
      </w:pPr>
      <w:r>
        <w:rPr>
          <w:rFonts w:hint="eastAsia"/>
          <w:b/>
          <w:color w:val="auto"/>
          <w:sz w:val="24"/>
          <w:szCs w:val="24"/>
          <w:highlight w:val="none"/>
        </w:rPr>
        <w:t>3.根据财政部关于《政府采购代理机构管理暂行办法》的通知精神，本项目招标代理费由中标供应商支付，金额为：</w:t>
      </w:r>
      <w:r>
        <w:rPr>
          <w:rFonts w:hint="eastAsia"/>
          <w:b/>
          <w:color w:val="auto"/>
          <w:sz w:val="24"/>
          <w:szCs w:val="24"/>
          <w:highlight w:val="none"/>
          <w:u w:val="single"/>
          <w:lang w:val="en-US" w:eastAsia="zh-CN"/>
        </w:rPr>
        <w:t>柒万</w:t>
      </w:r>
      <w:r>
        <w:rPr>
          <w:rFonts w:hint="eastAsia"/>
          <w:b/>
          <w:bCs/>
          <w:color w:val="auto"/>
          <w:sz w:val="24"/>
          <w:szCs w:val="24"/>
          <w:highlight w:val="none"/>
          <w:u w:val="single"/>
        </w:rPr>
        <w:t>元整（￥70000.00元）</w:t>
      </w:r>
      <w:r>
        <w:rPr>
          <w:rFonts w:hint="eastAsia"/>
          <w:b/>
          <w:color w:val="auto"/>
          <w:sz w:val="24"/>
          <w:szCs w:val="24"/>
          <w:highlight w:val="none"/>
        </w:rPr>
        <w:t>，请各投标供应商将此费用一并考虑在投标报价中，中标供应商在开标结束、签订合同前向代理单位缴纳。</w:t>
      </w:r>
    </w:p>
    <w:p>
      <w:pPr>
        <w:spacing w:line="400" w:lineRule="exact"/>
        <w:jc w:val="left"/>
        <w:rPr>
          <w:color w:val="auto"/>
          <w:sz w:val="24"/>
          <w:szCs w:val="24"/>
          <w:highlight w:val="none"/>
          <w:u w:val="single"/>
        </w:rPr>
      </w:pPr>
      <w:r>
        <w:rPr>
          <w:rFonts w:hint="eastAsia"/>
          <w:color w:val="auto"/>
          <w:sz w:val="24"/>
          <w:szCs w:val="24"/>
          <w:highlight w:val="none"/>
        </w:rPr>
        <w:t>投标人名称  (盖章)：</w:t>
      </w:r>
    </w:p>
    <w:p>
      <w:pPr>
        <w:spacing w:line="400" w:lineRule="exact"/>
        <w:jc w:val="left"/>
        <w:rPr>
          <w:color w:val="auto"/>
          <w:sz w:val="24"/>
          <w:szCs w:val="24"/>
          <w:highlight w:val="none"/>
        </w:rPr>
      </w:pPr>
      <w:r>
        <w:rPr>
          <w:rFonts w:hint="eastAsia"/>
          <w:color w:val="auto"/>
          <w:sz w:val="24"/>
          <w:szCs w:val="24"/>
          <w:highlight w:val="none"/>
        </w:rPr>
        <w:t>法定代表人或法定代表授权人(签字或盖章)：_______</w:t>
      </w:r>
    </w:p>
    <w:p>
      <w:pPr>
        <w:spacing w:line="400" w:lineRule="exact"/>
        <w:jc w:val="left"/>
        <w:rPr>
          <w:color w:val="auto"/>
          <w:sz w:val="24"/>
          <w:szCs w:val="24"/>
          <w:highlight w:val="none"/>
        </w:rPr>
      </w:pPr>
      <w:r>
        <w:rPr>
          <w:rFonts w:hint="eastAsia"/>
          <w:color w:val="auto"/>
          <w:sz w:val="24"/>
          <w:szCs w:val="24"/>
          <w:highlight w:val="none"/>
        </w:rPr>
        <w:t>日期：   年  月  日</w:t>
      </w:r>
    </w:p>
    <w:p>
      <w:pPr>
        <w:spacing w:line="400" w:lineRule="exact"/>
        <w:ind w:firstLine="480" w:firstLineChars="200"/>
        <w:jc w:val="left"/>
        <w:rPr>
          <w:color w:val="auto"/>
          <w:sz w:val="24"/>
          <w:szCs w:val="24"/>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pStyle w:val="3"/>
        <w:rPr>
          <w:rFonts w:ascii="宋体" w:hAnsi="宋体" w:eastAsia="宋体"/>
          <w:b/>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rPr>
          <w:rFonts w:eastAsiaTheme="minorEastAsia"/>
          <w:color w:val="auto"/>
          <w:highlight w:val="none"/>
        </w:rPr>
      </w:pPr>
    </w:p>
    <w:p>
      <w:pPr>
        <w:rPr>
          <w:color w:val="auto"/>
          <w:highlight w:val="none"/>
        </w:rPr>
      </w:pPr>
    </w:p>
    <w:p>
      <w:pPr>
        <w:pStyle w:val="3"/>
        <w:jc w:val="both"/>
        <w:rPr>
          <w:rFonts w:ascii="宋体" w:hAnsi="宋体" w:eastAsia="宋体"/>
          <w:b/>
          <w:color w:val="auto"/>
          <w:highlight w:val="none"/>
        </w:rPr>
      </w:pPr>
    </w:p>
    <w:p>
      <w:pPr>
        <w:pStyle w:val="3"/>
        <w:spacing w:line="360" w:lineRule="exact"/>
        <w:rPr>
          <w:rFonts w:hint="eastAsia" w:ascii="宋体" w:hAnsi="宋体" w:eastAsia="宋体"/>
          <w:b/>
          <w:color w:val="auto"/>
          <w:highlight w:val="none"/>
        </w:rPr>
      </w:pPr>
    </w:p>
    <w:p>
      <w:pPr>
        <w:pStyle w:val="3"/>
        <w:spacing w:line="360" w:lineRule="exact"/>
        <w:rPr>
          <w:rFonts w:ascii="宋体" w:hAnsi="宋体" w:eastAsia="宋体"/>
          <w:b/>
          <w:color w:val="auto"/>
          <w:highlight w:val="none"/>
        </w:rPr>
      </w:pPr>
      <w:r>
        <w:rPr>
          <w:rFonts w:hint="eastAsia" w:ascii="宋体" w:hAnsi="宋体" w:eastAsia="宋体"/>
          <w:b/>
          <w:color w:val="auto"/>
          <w:highlight w:val="none"/>
        </w:rPr>
        <w:t xml:space="preserve">5.3分项报价表 </w:t>
      </w:r>
    </w:p>
    <w:p>
      <w:pPr>
        <w:spacing w:line="360" w:lineRule="exact"/>
        <w:rPr>
          <w:color w:val="auto"/>
          <w:highlight w:val="none"/>
        </w:rPr>
      </w:pPr>
    </w:p>
    <w:p>
      <w:pPr>
        <w:pStyle w:val="3"/>
        <w:spacing w:line="360" w:lineRule="exact"/>
        <w:rPr>
          <w:rFonts w:eastAsiaTheme="minorEastAsia"/>
          <w:color w:val="auto"/>
          <w:highlight w:val="none"/>
        </w:rPr>
      </w:pPr>
    </w:p>
    <w:tbl>
      <w:tblPr>
        <w:tblStyle w:val="24"/>
        <w:tblW w:w="9783" w:type="dxa"/>
        <w:tblInd w:w="-17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
        <w:gridCol w:w="567"/>
        <w:gridCol w:w="3191"/>
        <w:gridCol w:w="778"/>
        <w:gridCol w:w="1134"/>
        <w:gridCol w:w="850"/>
        <w:gridCol w:w="993"/>
        <w:gridCol w:w="141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atLeast"/>
        </w:trPr>
        <w:tc>
          <w:tcPr>
            <w:tcW w:w="851"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项目名称</w:t>
            </w:r>
          </w:p>
        </w:tc>
        <w:tc>
          <w:tcPr>
            <w:tcW w:w="567" w:type="dxa"/>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序号</w:t>
            </w:r>
          </w:p>
        </w:tc>
        <w:tc>
          <w:tcPr>
            <w:tcW w:w="3191"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治理方式</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单位</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数量</w:t>
            </w:r>
          </w:p>
        </w:tc>
        <w:tc>
          <w:tcPr>
            <w:tcW w:w="850" w:type="dxa"/>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单价（元）</w:t>
            </w:r>
          </w:p>
        </w:tc>
        <w:tc>
          <w:tcPr>
            <w:tcW w:w="993" w:type="dxa"/>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合价（元）</w:t>
            </w:r>
          </w:p>
        </w:tc>
        <w:tc>
          <w:tcPr>
            <w:tcW w:w="1419" w:type="dxa"/>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4" w:hRule="atLeast"/>
        </w:trPr>
        <w:tc>
          <w:tcPr>
            <w:tcW w:w="851" w:type="dxa"/>
            <w:vMerge w:val="restart"/>
            <w:noWrap/>
            <w:vAlign w:val="center"/>
          </w:tcPr>
          <w:p>
            <w:pPr>
              <w:spacing w:line="360" w:lineRule="exac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bCs/>
                <w:color w:val="auto"/>
                <w:sz w:val="24"/>
                <w:szCs w:val="24"/>
                <w:highlight w:val="none"/>
              </w:rPr>
              <w:t>如东县2023年互花米草治理（试点）项目</w:t>
            </w:r>
          </w:p>
        </w:tc>
        <w:tc>
          <w:tcPr>
            <w:tcW w:w="567" w:type="dxa"/>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1</w:t>
            </w:r>
          </w:p>
        </w:tc>
        <w:tc>
          <w:tcPr>
            <w:tcW w:w="3191" w:type="dxa"/>
            <w:noWrap/>
            <w:vAlign w:val="center"/>
          </w:tcPr>
          <w:p>
            <w:pPr>
              <w:spacing w:line="360" w:lineRule="exact"/>
              <w:jc w:val="left"/>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“刈割+围淹”除治方式治理：吹沙袋蓄水围堰，中间设隔仓，每个区域需设出工通道。海水灌填，含排管、每个隔仓设水位标志，及时补水，保证6个月内淹没区互花米草刈割后草根部分的蓄水水位不低于0.5米</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272.2917</w:t>
            </w: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851" w:type="dxa"/>
            <w:vMerge w:val="continue"/>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vAlign w:val="center"/>
          </w:tcPr>
          <w:p>
            <w:pPr>
              <w:spacing w:line="360" w:lineRule="exact"/>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2</w:t>
            </w:r>
          </w:p>
        </w:tc>
        <w:tc>
          <w:tcPr>
            <w:tcW w:w="3191" w:type="dxa"/>
            <w:noWrap/>
            <w:vAlign w:val="center"/>
          </w:tcPr>
          <w:p>
            <w:pPr>
              <w:spacing w:line="36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翻根深埋</w:t>
            </w:r>
            <w:r>
              <w:rPr>
                <w:rFonts w:hint="eastAsia" w:cs="仿宋" w:asciiTheme="minorEastAsia" w:hAnsiTheme="minorEastAsia" w:eastAsiaTheme="minorEastAsia"/>
                <w:color w:val="auto"/>
                <w:sz w:val="24"/>
                <w:szCs w:val="24"/>
                <w:highlight w:val="none"/>
              </w:rPr>
              <w:t>除治方式治理</w:t>
            </w:r>
            <w:r>
              <w:rPr>
                <w:rFonts w:hint="eastAsia" w:asciiTheme="minorEastAsia" w:hAnsiTheme="minorEastAsia" w:eastAsiaTheme="minorEastAsia"/>
                <w:color w:val="auto"/>
                <w:sz w:val="24"/>
                <w:szCs w:val="24"/>
                <w:highlight w:val="none"/>
              </w:rPr>
              <w:t>：</w:t>
            </w:r>
            <w:r>
              <w:rPr>
                <w:rFonts w:hint="eastAsia" w:cs="仿宋" w:asciiTheme="minorEastAsia" w:hAnsiTheme="minorEastAsia" w:eastAsiaTheme="minorEastAsia"/>
                <w:color w:val="auto"/>
                <w:sz w:val="24"/>
                <w:szCs w:val="24"/>
                <w:highlight w:val="none"/>
              </w:rPr>
              <w:t>翻根深埋的深度不低于1米，也可以采取“连根挖出+迁移离场”的方法</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58.9745</w:t>
            </w: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851" w:type="dxa"/>
            <w:vMerge w:val="continue"/>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vAlign w:val="center"/>
          </w:tcPr>
          <w:p>
            <w:pPr>
              <w:spacing w:line="360" w:lineRule="exact"/>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3</w:t>
            </w:r>
          </w:p>
        </w:tc>
        <w:tc>
          <w:tcPr>
            <w:tcW w:w="3191" w:type="dxa"/>
            <w:noWrap/>
            <w:vAlign w:val="center"/>
          </w:tcPr>
          <w:p>
            <w:pPr>
              <w:spacing w:line="36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人工清除方式</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43.5900</w:t>
            </w: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7" w:hRule="atLeast"/>
        </w:trPr>
        <w:tc>
          <w:tcPr>
            <w:tcW w:w="851" w:type="dxa"/>
            <w:vMerge w:val="continue"/>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vAlign w:val="center"/>
          </w:tcPr>
          <w:p>
            <w:pPr>
              <w:spacing w:line="360" w:lineRule="exact"/>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4</w:t>
            </w:r>
          </w:p>
        </w:tc>
        <w:tc>
          <w:tcPr>
            <w:tcW w:w="3191" w:type="dxa"/>
            <w:noWrap/>
            <w:vAlign w:val="center"/>
          </w:tcPr>
          <w:p>
            <w:pPr>
              <w:spacing w:line="360" w:lineRule="exact"/>
              <w:jc w:val="left"/>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生物药剂</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39.5192</w:t>
            </w: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851" w:type="dxa"/>
            <w:vMerge w:val="continue"/>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vAlign w:val="center"/>
          </w:tcPr>
          <w:p>
            <w:pPr>
              <w:spacing w:line="360" w:lineRule="exact"/>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5</w:t>
            </w:r>
          </w:p>
        </w:tc>
        <w:tc>
          <w:tcPr>
            <w:tcW w:w="3191" w:type="dxa"/>
            <w:noWrap/>
            <w:vAlign w:val="center"/>
          </w:tcPr>
          <w:p>
            <w:pPr>
              <w:spacing w:line="360" w:lineRule="exact"/>
              <w:jc w:val="left"/>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生物药剂+人工清除</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公顷</w:t>
            </w:r>
          </w:p>
        </w:tc>
        <w:tc>
          <w:tcPr>
            <w:tcW w:w="1134" w:type="dxa"/>
            <w:noWrap/>
            <w:vAlign w:val="center"/>
          </w:tcPr>
          <w:p>
            <w:pPr>
              <w:spacing w:line="360" w:lineRule="exact"/>
              <w:jc w:val="center"/>
              <w:rPr>
                <w:rFonts w:cs="仿宋"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59.0583</w:t>
            </w: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851" w:type="dxa"/>
            <w:vMerge w:val="continue"/>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vAlign w:val="center"/>
          </w:tcPr>
          <w:p>
            <w:pPr>
              <w:spacing w:line="360" w:lineRule="exact"/>
              <w:jc w:val="center"/>
              <w:rPr>
                <w:rFonts w:ascii="宋体" w:hAnsi="宋体"/>
                <w:color w:val="auto"/>
                <w:sz w:val="24"/>
                <w:szCs w:val="24"/>
                <w:highlight w:val="none"/>
              </w:rPr>
            </w:pPr>
            <w:r>
              <w:rPr>
                <w:rFonts w:hint="eastAsia" w:ascii="宋体" w:hAnsi="宋体"/>
                <w:color w:val="auto"/>
                <w:sz w:val="24"/>
                <w:szCs w:val="24"/>
                <w:highlight w:val="none"/>
              </w:rPr>
              <w:t>6</w:t>
            </w:r>
          </w:p>
        </w:tc>
        <w:tc>
          <w:tcPr>
            <w:tcW w:w="3191" w:type="dxa"/>
            <w:noWrap/>
            <w:vAlign w:val="center"/>
          </w:tcPr>
          <w:p>
            <w:pPr>
              <w:spacing w:line="360" w:lineRule="exact"/>
              <w:jc w:val="left"/>
              <w:rPr>
                <w:rFonts w:asciiTheme="minorEastAsia" w:hAnsiTheme="minorEastAsia" w:eastAsiaTheme="minorEastAsia"/>
                <w:color w:val="auto"/>
                <w:sz w:val="24"/>
                <w:szCs w:val="24"/>
                <w:highlight w:val="none"/>
              </w:rPr>
            </w:pPr>
            <w:r>
              <w:rPr>
                <w:rFonts w:hint="eastAsia" w:ascii="宋体" w:hAnsi="宋体"/>
                <w:color w:val="auto"/>
                <w:sz w:val="24"/>
                <w:szCs w:val="24"/>
                <w:highlight w:val="none"/>
              </w:rPr>
              <w:t>其他治理措施试验</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1134" w:type="dxa"/>
            <w:noWrap/>
            <w:vAlign w:val="center"/>
          </w:tcPr>
          <w:p>
            <w:pPr>
              <w:spacing w:line="360" w:lineRule="exact"/>
              <w:jc w:val="center"/>
              <w:rPr>
                <w:rFonts w:asciiTheme="minorEastAsia" w:hAnsiTheme="minorEastAsia" w:eastAsiaTheme="minorEastAsia"/>
                <w:color w:val="auto"/>
                <w:sz w:val="24"/>
                <w:szCs w:val="24"/>
                <w:highlight w:val="none"/>
              </w:rPr>
            </w:pP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vAlign w:val="center"/>
          </w:tcPr>
          <w:p>
            <w:pPr>
              <w:spacing w:line="360" w:lineRule="exact"/>
              <w:jc w:val="center"/>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900000</w:t>
            </w:r>
          </w:p>
        </w:tc>
        <w:tc>
          <w:tcPr>
            <w:tcW w:w="1419" w:type="dxa"/>
          </w:tcPr>
          <w:p>
            <w:pPr>
              <w:spacing w:line="360" w:lineRule="exact"/>
              <w:jc w:val="center"/>
              <w:rPr>
                <w:rFonts w:asciiTheme="minorEastAsia" w:hAnsiTheme="minorEastAsia" w:eastAsiaTheme="minorEastAsia"/>
                <w:b/>
                <w:color w:val="auto"/>
                <w:sz w:val="24"/>
                <w:szCs w:val="24"/>
                <w:highlight w:val="none"/>
              </w:rPr>
            </w:pPr>
            <w:r>
              <w:rPr>
                <w:rFonts w:asciiTheme="minorEastAsia" w:hAnsiTheme="minorEastAsia" w:eastAsiaTheme="minorEastAsia"/>
                <w:b/>
                <w:color w:val="auto"/>
                <w:sz w:val="24"/>
                <w:szCs w:val="24"/>
                <w:highlight w:val="none"/>
              </w:rPr>
              <w:t>此项投标人报价时不得调整，否则作为无效标处理。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9" w:hRule="atLeast"/>
        </w:trPr>
        <w:tc>
          <w:tcPr>
            <w:tcW w:w="851" w:type="dxa"/>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567" w:type="dxa"/>
          </w:tcPr>
          <w:p>
            <w:pPr>
              <w:spacing w:line="360" w:lineRule="exact"/>
              <w:jc w:val="left"/>
              <w:rPr>
                <w:rFonts w:asciiTheme="minorEastAsia" w:hAnsiTheme="minorEastAsia" w:eastAsiaTheme="minorEastAsia"/>
                <w:color w:val="auto"/>
                <w:sz w:val="24"/>
                <w:szCs w:val="24"/>
                <w:highlight w:val="none"/>
              </w:rPr>
            </w:pPr>
          </w:p>
        </w:tc>
        <w:tc>
          <w:tcPr>
            <w:tcW w:w="3191" w:type="dxa"/>
            <w:noWrap/>
            <w:vAlign w:val="center"/>
          </w:tcPr>
          <w:p>
            <w:pPr>
              <w:spacing w:line="360" w:lineRule="exact"/>
              <w:jc w:val="left"/>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总价（合计）（1+2+3+4+5+6）</w:t>
            </w:r>
          </w:p>
        </w:tc>
        <w:tc>
          <w:tcPr>
            <w:tcW w:w="778" w:type="dxa"/>
            <w:noWrap/>
            <w:vAlign w:val="center"/>
          </w:tcPr>
          <w:p>
            <w:pPr>
              <w:spacing w:line="360" w:lineRule="exact"/>
              <w:jc w:val="center"/>
              <w:rPr>
                <w:rFonts w:cs="仿宋" w:asciiTheme="minorEastAsia" w:hAnsiTheme="minorEastAsia" w:eastAsiaTheme="minorEastAsia"/>
                <w:color w:val="auto"/>
                <w:sz w:val="24"/>
                <w:szCs w:val="24"/>
                <w:highlight w:val="none"/>
              </w:rPr>
            </w:pPr>
          </w:p>
        </w:tc>
        <w:tc>
          <w:tcPr>
            <w:tcW w:w="1134" w:type="dxa"/>
            <w:noWrap/>
            <w:vAlign w:val="center"/>
          </w:tcPr>
          <w:p>
            <w:pPr>
              <w:spacing w:line="360" w:lineRule="exact"/>
              <w:jc w:val="center"/>
              <w:rPr>
                <w:rFonts w:asciiTheme="minorEastAsia" w:hAnsiTheme="minorEastAsia" w:eastAsiaTheme="minorEastAsia"/>
                <w:color w:val="auto"/>
                <w:sz w:val="24"/>
                <w:szCs w:val="24"/>
                <w:highlight w:val="none"/>
              </w:rPr>
            </w:pPr>
          </w:p>
        </w:tc>
        <w:tc>
          <w:tcPr>
            <w:tcW w:w="850" w:type="dxa"/>
          </w:tcPr>
          <w:p>
            <w:pPr>
              <w:spacing w:line="360" w:lineRule="exact"/>
              <w:jc w:val="center"/>
              <w:rPr>
                <w:rFonts w:asciiTheme="minorEastAsia" w:hAnsiTheme="minorEastAsia" w:eastAsiaTheme="minorEastAsia"/>
                <w:color w:val="auto"/>
                <w:sz w:val="24"/>
                <w:szCs w:val="24"/>
                <w:highlight w:val="none"/>
              </w:rPr>
            </w:pPr>
          </w:p>
        </w:tc>
        <w:tc>
          <w:tcPr>
            <w:tcW w:w="993" w:type="dxa"/>
          </w:tcPr>
          <w:p>
            <w:pPr>
              <w:spacing w:line="360" w:lineRule="exact"/>
              <w:jc w:val="center"/>
              <w:rPr>
                <w:rFonts w:asciiTheme="minorEastAsia" w:hAnsiTheme="minorEastAsia" w:eastAsiaTheme="minorEastAsia"/>
                <w:color w:val="auto"/>
                <w:sz w:val="24"/>
                <w:szCs w:val="24"/>
                <w:highlight w:val="none"/>
              </w:rPr>
            </w:pPr>
          </w:p>
        </w:tc>
        <w:tc>
          <w:tcPr>
            <w:tcW w:w="1419" w:type="dxa"/>
          </w:tcPr>
          <w:p>
            <w:pPr>
              <w:spacing w:line="360" w:lineRule="exact"/>
              <w:jc w:val="center"/>
              <w:rPr>
                <w:rFonts w:asciiTheme="minorEastAsia" w:hAnsiTheme="minorEastAsia" w:eastAsiaTheme="minorEastAsia"/>
                <w:color w:val="auto"/>
                <w:sz w:val="24"/>
                <w:szCs w:val="24"/>
                <w:highlight w:val="none"/>
              </w:rPr>
            </w:pPr>
          </w:p>
        </w:tc>
      </w:tr>
    </w:tbl>
    <w:p>
      <w:pPr>
        <w:spacing w:line="360" w:lineRule="exact"/>
        <w:jc w:val="left"/>
        <w:rPr>
          <w:rFonts w:asciiTheme="minorEastAsia" w:hAnsiTheme="minorEastAsia" w:eastAsiaTheme="minorEastAsia"/>
          <w:b/>
          <w:color w:val="auto"/>
          <w:sz w:val="28"/>
          <w:szCs w:val="28"/>
          <w:highlight w:val="none"/>
        </w:rPr>
      </w:pPr>
      <w:r>
        <w:rPr>
          <w:rFonts w:hint="eastAsia" w:cs="仿宋" w:asciiTheme="minorEastAsia" w:hAnsiTheme="minorEastAsia" w:eastAsiaTheme="minorEastAsia"/>
          <w:color w:val="auto"/>
          <w:sz w:val="28"/>
          <w:szCs w:val="28"/>
          <w:highlight w:val="none"/>
        </w:rPr>
        <w:t>注：海水涨落中心区域零星除草不另列，由投标人自行测算计入报价。</w:t>
      </w:r>
    </w:p>
    <w:p>
      <w:pPr>
        <w:spacing w:line="360" w:lineRule="exact"/>
        <w:ind w:firstLine="480" w:firstLineChars="200"/>
        <w:jc w:val="left"/>
        <w:rPr>
          <w:color w:val="auto"/>
          <w:sz w:val="24"/>
          <w:szCs w:val="24"/>
          <w:highlight w:val="none"/>
        </w:rPr>
      </w:pPr>
    </w:p>
    <w:p>
      <w:pPr>
        <w:rPr>
          <w:color w:val="auto"/>
          <w:highlight w:val="none"/>
        </w:rPr>
      </w:pPr>
    </w:p>
    <w:p>
      <w:pPr>
        <w:spacing w:line="400" w:lineRule="exact"/>
        <w:jc w:val="left"/>
        <w:rPr>
          <w:color w:val="auto"/>
          <w:sz w:val="24"/>
          <w:szCs w:val="24"/>
          <w:highlight w:val="none"/>
          <w:u w:val="single"/>
        </w:rPr>
      </w:pPr>
      <w:r>
        <w:rPr>
          <w:rFonts w:hint="eastAsia"/>
          <w:color w:val="auto"/>
          <w:sz w:val="24"/>
          <w:szCs w:val="24"/>
          <w:highlight w:val="none"/>
        </w:rPr>
        <w:t>投标人名称  (盖章)：</w:t>
      </w:r>
    </w:p>
    <w:p>
      <w:pPr>
        <w:spacing w:line="400" w:lineRule="exact"/>
        <w:jc w:val="left"/>
        <w:rPr>
          <w:color w:val="auto"/>
          <w:sz w:val="24"/>
          <w:szCs w:val="24"/>
          <w:highlight w:val="none"/>
        </w:rPr>
      </w:pPr>
      <w:r>
        <w:rPr>
          <w:rFonts w:hint="eastAsia"/>
          <w:color w:val="auto"/>
          <w:sz w:val="24"/>
          <w:szCs w:val="24"/>
          <w:highlight w:val="none"/>
        </w:rPr>
        <w:t>法定代表人或法定代表授权人(签字或盖章)：_______</w:t>
      </w:r>
    </w:p>
    <w:p>
      <w:pPr>
        <w:spacing w:line="400" w:lineRule="exact"/>
        <w:jc w:val="left"/>
        <w:rPr>
          <w:color w:val="auto"/>
          <w:highlight w:val="none"/>
        </w:rPr>
      </w:pPr>
      <w:r>
        <w:rPr>
          <w:rFonts w:hint="eastAsia"/>
          <w:color w:val="auto"/>
          <w:sz w:val="24"/>
          <w:szCs w:val="24"/>
          <w:highlight w:val="none"/>
        </w:rPr>
        <w:t>日期：   年  月  日</w:t>
      </w:r>
    </w:p>
    <w:p>
      <w:pPr>
        <w:rPr>
          <w:color w:val="auto"/>
          <w:highlight w:val="none"/>
        </w:rPr>
      </w:pPr>
    </w:p>
    <w:p>
      <w:pPr>
        <w:pStyle w:val="3"/>
        <w:rPr>
          <w:rFonts w:ascii="宋体" w:hAnsi="宋体" w:eastAsia="宋体"/>
          <w:b/>
          <w:color w:val="auto"/>
          <w:sz w:val="30"/>
          <w:szCs w:val="30"/>
          <w:highlight w:val="none"/>
        </w:rPr>
      </w:pPr>
      <w:r>
        <w:rPr>
          <w:rFonts w:hint="eastAsia" w:ascii="宋体" w:hAnsi="宋体" w:eastAsia="宋体"/>
          <w:b/>
          <w:color w:val="auto"/>
          <w:sz w:val="30"/>
          <w:szCs w:val="30"/>
          <w:highlight w:val="none"/>
        </w:rPr>
        <w:t>5.4商务</w:t>
      </w:r>
      <w:r>
        <w:rPr>
          <w:rFonts w:ascii="宋体" w:hAnsi="宋体" w:eastAsia="宋体"/>
          <w:b/>
          <w:color w:val="auto"/>
          <w:sz w:val="30"/>
          <w:szCs w:val="30"/>
          <w:highlight w:val="none"/>
        </w:rPr>
        <w:t>偏离表</w:t>
      </w:r>
    </w:p>
    <w:p>
      <w:pPr>
        <w:adjustRightInd w:val="0"/>
        <w:snapToGrid w:val="0"/>
        <w:ind w:left="-88" w:leftChars="-42"/>
        <w:rPr>
          <w:rFonts w:ascii="宋体" w:hAnsi="宋体"/>
          <w:color w:val="auto"/>
          <w:highlight w:val="none"/>
        </w:rPr>
      </w:pPr>
      <w:r>
        <w:rPr>
          <w:rFonts w:ascii="宋体" w:hAnsi="宋体"/>
          <w:color w:val="auto"/>
          <w:highlight w:val="none"/>
        </w:rPr>
        <w:t xml:space="preserve">投标人名称:                                </w:t>
      </w:r>
    </w:p>
    <w:p>
      <w:pPr>
        <w:adjustRightInd w:val="0"/>
        <w:snapToGrid w:val="0"/>
        <w:ind w:left="-88" w:leftChars="-42"/>
        <w:rPr>
          <w:rFonts w:ascii="宋体" w:hAnsi="宋体"/>
          <w:color w:val="auto"/>
          <w:highlight w:val="none"/>
          <w:u w:val="single"/>
        </w:rPr>
      </w:pPr>
    </w:p>
    <w:tbl>
      <w:tblPr>
        <w:tblStyle w:val="2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650"/>
        <w:gridCol w:w="1260"/>
        <w:gridCol w:w="1954"/>
        <w:gridCol w:w="2009"/>
        <w:gridCol w:w="1459"/>
        <w:gridCol w:w="120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79" w:hRule="atLeast"/>
          <w:jc w:val="center"/>
        </w:trPr>
        <w:tc>
          <w:tcPr>
            <w:tcW w:w="650"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包号</w:t>
            </w:r>
          </w:p>
        </w:tc>
        <w:tc>
          <w:tcPr>
            <w:tcW w:w="1260"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招标文件</w:t>
            </w:r>
          </w:p>
          <w:p>
            <w:pPr>
              <w:adjustRightInd w:val="0"/>
              <w:snapToGrid w:val="0"/>
              <w:ind w:left="-88" w:leftChars="-42"/>
              <w:jc w:val="center"/>
              <w:rPr>
                <w:rFonts w:ascii="宋体" w:hAnsi="宋体"/>
                <w:color w:val="auto"/>
                <w:highlight w:val="none"/>
              </w:rPr>
            </w:pPr>
            <w:r>
              <w:rPr>
                <w:rFonts w:ascii="宋体" w:hAnsi="宋体"/>
                <w:color w:val="auto"/>
                <w:highlight w:val="none"/>
              </w:rPr>
              <w:t>条目号</w:t>
            </w:r>
          </w:p>
        </w:tc>
        <w:tc>
          <w:tcPr>
            <w:tcW w:w="1954"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招标文件</w:t>
            </w:r>
          </w:p>
          <w:p>
            <w:pPr>
              <w:adjustRightInd w:val="0"/>
              <w:snapToGrid w:val="0"/>
              <w:ind w:left="-88" w:leftChars="-42"/>
              <w:jc w:val="center"/>
              <w:rPr>
                <w:rFonts w:ascii="宋体" w:hAnsi="宋体"/>
                <w:color w:val="auto"/>
                <w:highlight w:val="none"/>
              </w:rPr>
            </w:pPr>
            <w:r>
              <w:rPr>
                <w:rFonts w:ascii="宋体" w:hAnsi="宋体"/>
                <w:color w:val="auto"/>
                <w:highlight w:val="none"/>
              </w:rPr>
              <w:t>商务条款</w:t>
            </w:r>
          </w:p>
        </w:tc>
        <w:tc>
          <w:tcPr>
            <w:tcW w:w="2009"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投标文件</w:t>
            </w:r>
          </w:p>
          <w:p>
            <w:pPr>
              <w:adjustRightInd w:val="0"/>
              <w:snapToGrid w:val="0"/>
              <w:ind w:left="-88" w:leftChars="-42"/>
              <w:jc w:val="center"/>
              <w:rPr>
                <w:rFonts w:ascii="宋体" w:hAnsi="宋体"/>
                <w:color w:val="auto"/>
                <w:highlight w:val="none"/>
              </w:rPr>
            </w:pPr>
            <w:r>
              <w:rPr>
                <w:rFonts w:ascii="宋体" w:hAnsi="宋体"/>
                <w:color w:val="auto"/>
                <w:highlight w:val="none"/>
              </w:rPr>
              <w:t>商务条款</w:t>
            </w:r>
          </w:p>
        </w:tc>
        <w:tc>
          <w:tcPr>
            <w:tcW w:w="1459"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偏  离</w:t>
            </w:r>
          </w:p>
        </w:tc>
        <w:tc>
          <w:tcPr>
            <w:tcW w:w="1200" w:type="dxa"/>
            <w:vAlign w:val="center"/>
          </w:tcPr>
          <w:p>
            <w:pPr>
              <w:adjustRightInd w:val="0"/>
              <w:snapToGrid w:val="0"/>
              <w:ind w:left="-88" w:leftChars="-42"/>
              <w:jc w:val="center"/>
              <w:rPr>
                <w:rFonts w:ascii="宋体" w:hAnsi="宋体"/>
                <w:color w:val="auto"/>
                <w:highlight w:val="none"/>
              </w:rPr>
            </w:pPr>
            <w:r>
              <w:rPr>
                <w:rFonts w:ascii="宋体" w:hAnsi="宋体"/>
                <w:color w:val="auto"/>
                <w:highlight w:val="none"/>
              </w:rPr>
              <w:t>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79"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80" w:hRule="atLeast"/>
          <w:jc w:val="center"/>
        </w:trPr>
        <w:tc>
          <w:tcPr>
            <w:tcW w:w="650" w:type="dxa"/>
            <w:vAlign w:val="center"/>
          </w:tcPr>
          <w:p>
            <w:pPr>
              <w:adjustRightInd w:val="0"/>
              <w:snapToGrid w:val="0"/>
              <w:ind w:left="-88" w:leftChars="-42"/>
              <w:jc w:val="center"/>
              <w:rPr>
                <w:rFonts w:ascii="宋体" w:hAnsi="宋体"/>
                <w:color w:val="auto"/>
                <w:highlight w:val="none"/>
              </w:rPr>
            </w:pPr>
          </w:p>
        </w:tc>
        <w:tc>
          <w:tcPr>
            <w:tcW w:w="1260" w:type="dxa"/>
            <w:vAlign w:val="center"/>
          </w:tcPr>
          <w:p>
            <w:pPr>
              <w:adjustRightInd w:val="0"/>
              <w:snapToGrid w:val="0"/>
              <w:ind w:left="-88" w:leftChars="-42"/>
              <w:jc w:val="center"/>
              <w:rPr>
                <w:rFonts w:ascii="宋体" w:hAnsi="宋体"/>
                <w:color w:val="auto"/>
                <w:highlight w:val="none"/>
              </w:rPr>
            </w:pPr>
          </w:p>
        </w:tc>
        <w:tc>
          <w:tcPr>
            <w:tcW w:w="1954" w:type="dxa"/>
            <w:vAlign w:val="center"/>
          </w:tcPr>
          <w:p>
            <w:pPr>
              <w:adjustRightInd w:val="0"/>
              <w:snapToGrid w:val="0"/>
              <w:ind w:left="-88" w:leftChars="-42"/>
              <w:jc w:val="center"/>
              <w:rPr>
                <w:rFonts w:ascii="宋体" w:hAnsi="宋体"/>
                <w:color w:val="auto"/>
                <w:highlight w:val="none"/>
              </w:rPr>
            </w:pPr>
          </w:p>
        </w:tc>
        <w:tc>
          <w:tcPr>
            <w:tcW w:w="2009" w:type="dxa"/>
            <w:vAlign w:val="center"/>
          </w:tcPr>
          <w:p>
            <w:pPr>
              <w:adjustRightInd w:val="0"/>
              <w:snapToGrid w:val="0"/>
              <w:ind w:left="-88" w:leftChars="-42"/>
              <w:jc w:val="center"/>
              <w:rPr>
                <w:rFonts w:ascii="宋体" w:hAnsi="宋体"/>
                <w:color w:val="auto"/>
                <w:highlight w:val="none"/>
              </w:rPr>
            </w:pPr>
          </w:p>
        </w:tc>
        <w:tc>
          <w:tcPr>
            <w:tcW w:w="1459" w:type="dxa"/>
            <w:vAlign w:val="center"/>
          </w:tcPr>
          <w:p>
            <w:pPr>
              <w:adjustRightInd w:val="0"/>
              <w:snapToGrid w:val="0"/>
              <w:ind w:left="-88" w:leftChars="-42"/>
              <w:jc w:val="center"/>
              <w:rPr>
                <w:rFonts w:ascii="宋体" w:hAnsi="宋体"/>
                <w:color w:val="auto"/>
                <w:highlight w:val="none"/>
              </w:rPr>
            </w:pPr>
          </w:p>
        </w:tc>
        <w:tc>
          <w:tcPr>
            <w:tcW w:w="1200" w:type="dxa"/>
            <w:vAlign w:val="center"/>
          </w:tcPr>
          <w:p>
            <w:pPr>
              <w:adjustRightInd w:val="0"/>
              <w:snapToGrid w:val="0"/>
              <w:ind w:left="-88" w:leftChars="-42"/>
              <w:jc w:val="center"/>
              <w:rPr>
                <w:rFonts w:ascii="宋体" w:hAnsi="宋体"/>
                <w:color w:val="auto"/>
                <w:highlight w:val="none"/>
              </w:rPr>
            </w:pPr>
          </w:p>
        </w:tc>
      </w:tr>
    </w:tbl>
    <w:p>
      <w:pPr>
        <w:pStyle w:val="21"/>
        <w:adjustRightInd w:val="0"/>
        <w:snapToGrid w:val="0"/>
        <w:ind w:left="-88" w:leftChars="-42" w:firstLine="210"/>
        <w:rPr>
          <w:rFonts w:ascii="宋体" w:hAnsi="宋体"/>
          <w:color w:val="auto"/>
          <w:sz w:val="28"/>
          <w:szCs w:val="28"/>
          <w:highlight w:val="none"/>
        </w:rPr>
      </w:pPr>
      <w:r>
        <w:rPr>
          <w:rFonts w:ascii="宋体" w:hAnsi="宋体"/>
          <w:color w:val="auto"/>
          <w:sz w:val="28"/>
          <w:szCs w:val="28"/>
          <w:highlight w:val="none"/>
        </w:rPr>
        <w:t>注：如无偏离，则必须注明无偏离。</w:t>
      </w:r>
      <w:r>
        <w:rPr>
          <w:rFonts w:hint="eastAsia" w:ascii="宋体" w:hAnsi="宋体"/>
          <w:color w:val="auto"/>
          <w:sz w:val="28"/>
          <w:szCs w:val="28"/>
          <w:highlight w:val="none"/>
        </w:rPr>
        <w:t>本项目仅接受正偏离、无偏离。不接受负偏离。</w:t>
      </w:r>
    </w:p>
    <w:p>
      <w:pPr>
        <w:adjustRightInd w:val="0"/>
        <w:snapToGrid w:val="0"/>
        <w:ind w:left="-88" w:leftChars="-42"/>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pStyle w:val="16"/>
        <w:adjustRightInd w:val="0"/>
        <w:snapToGrid w:val="0"/>
        <w:spacing w:line="360" w:lineRule="auto"/>
        <w:rPr>
          <w:rFonts w:hAnsi="宋体"/>
          <w:color w:val="auto"/>
          <w:sz w:val="28"/>
          <w:szCs w:val="28"/>
          <w:highlight w:val="none"/>
        </w:rPr>
      </w:pPr>
      <w:r>
        <w:rPr>
          <w:rFonts w:hAnsi="宋体"/>
          <w:color w:val="auto"/>
          <w:sz w:val="28"/>
          <w:szCs w:val="28"/>
          <w:highlight w:val="none"/>
        </w:rPr>
        <w:t>投 标 人 名 称  (盖章)：_______</w:t>
      </w:r>
      <w:r>
        <w:rPr>
          <w:rFonts w:hAnsi="宋体"/>
          <w:color w:val="auto"/>
          <w:sz w:val="28"/>
          <w:szCs w:val="28"/>
          <w:highlight w:val="none"/>
          <w:u w:val="single"/>
        </w:rPr>
        <w:t>_</w:t>
      </w:r>
      <w:r>
        <w:rPr>
          <w:rFonts w:hAnsi="宋体"/>
          <w:color w:val="auto"/>
          <w:sz w:val="28"/>
          <w:szCs w:val="28"/>
          <w:highlight w:val="none"/>
        </w:rPr>
        <w:t>__</w:t>
      </w:r>
    </w:p>
    <w:p>
      <w:pPr>
        <w:adjustRightInd w:val="0"/>
        <w:snapToGrid w:val="0"/>
        <w:spacing w:line="360" w:lineRule="auto"/>
        <w:rPr>
          <w:rFonts w:ascii="宋体" w:hAnsi="宋体"/>
          <w:color w:val="auto"/>
          <w:sz w:val="28"/>
          <w:szCs w:val="28"/>
          <w:highlight w:val="none"/>
        </w:rPr>
      </w:pPr>
      <w:r>
        <w:rPr>
          <w:rFonts w:ascii="宋体" w:hAnsi="宋体"/>
          <w:color w:val="auto"/>
          <w:sz w:val="28"/>
          <w:szCs w:val="28"/>
          <w:highlight w:val="none"/>
        </w:rPr>
        <w:t>法定代表人</w:t>
      </w:r>
    </w:p>
    <w:p>
      <w:pPr>
        <w:adjustRightInd w:val="0"/>
        <w:snapToGrid w:val="0"/>
        <w:spacing w:line="360" w:lineRule="auto"/>
        <w:rPr>
          <w:rFonts w:ascii="宋体" w:hAnsi="宋体"/>
          <w:color w:val="auto"/>
          <w:sz w:val="28"/>
          <w:szCs w:val="28"/>
          <w:highlight w:val="none"/>
        </w:rPr>
      </w:pPr>
      <w:r>
        <w:rPr>
          <w:rFonts w:ascii="宋体" w:hAnsi="宋体"/>
          <w:color w:val="auto"/>
          <w:sz w:val="28"/>
          <w:szCs w:val="28"/>
          <w:highlight w:val="none"/>
        </w:rPr>
        <w:t>或法定代表授权人(签字</w:t>
      </w:r>
      <w:r>
        <w:rPr>
          <w:rFonts w:hint="eastAsia" w:ascii="宋体" w:hAnsi="宋体"/>
          <w:color w:val="auto"/>
          <w:sz w:val="28"/>
          <w:szCs w:val="28"/>
          <w:highlight w:val="none"/>
        </w:rPr>
        <w:t>或盖章</w:t>
      </w:r>
      <w:r>
        <w:rPr>
          <w:rFonts w:ascii="宋体" w:hAnsi="宋体"/>
          <w:color w:val="auto"/>
          <w:sz w:val="28"/>
          <w:szCs w:val="28"/>
          <w:highlight w:val="none"/>
        </w:rPr>
        <w:t>)：_______</w:t>
      </w:r>
      <w:r>
        <w:rPr>
          <w:rFonts w:ascii="宋体" w:hAnsi="宋体"/>
          <w:color w:val="auto"/>
          <w:sz w:val="28"/>
          <w:szCs w:val="28"/>
          <w:highlight w:val="none"/>
          <w:u w:val="single"/>
        </w:rPr>
        <w:t>_</w:t>
      </w:r>
    </w:p>
    <w:p>
      <w:pPr>
        <w:spacing w:line="360" w:lineRule="auto"/>
        <w:rPr>
          <w:rFonts w:ascii="宋体" w:hAnsi="宋体"/>
          <w:color w:val="auto"/>
          <w:sz w:val="28"/>
          <w:szCs w:val="28"/>
          <w:highlight w:val="none"/>
        </w:rPr>
      </w:pPr>
      <w:r>
        <w:rPr>
          <w:rFonts w:hint="eastAsia" w:ascii="宋体" w:hAnsi="宋体"/>
          <w:color w:val="auto"/>
          <w:sz w:val="28"/>
          <w:szCs w:val="28"/>
          <w:highlight w:val="none"/>
        </w:rPr>
        <w:t>日期：     年   月   日</w:t>
      </w: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80" w:lineRule="exact"/>
        <w:ind w:firstLine="538"/>
        <w:jc w:val="center"/>
        <w:rPr>
          <w:rFonts w:ascii="宋体" w:hAnsi="宋体"/>
          <w:b/>
          <w:color w:val="auto"/>
          <w:sz w:val="32"/>
          <w:szCs w:val="32"/>
          <w:highlight w:val="none"/>
        </w:rPr>
      </w:pPr>
      <w:r>
        <w:rPr>
          <w:rFonts w:hint="eastAsia" w:ascii="宋体" w:hAnsi="宋体"/>
          <w:b/>
          <w:color w:val="auto"/>
          <w:sz w:val="32"/>
          <w:szCs w:val="32"/>
          <w:highlight w:val="none"/>
        </w:rPr>
        <w:t>5.5法定代表人身份证明书</w:t>
      </w:r>
    </w:p>
    <w:p>
      <w:pPr>
        <w:adjustRightInd w:val="0"/>
        <w:spacing w:line="500" w:lineRule="exact"/>
        <w:jc w:val="center"/>
        <w:textAlignment w:val="baseline"/>
        <w:rPr>
          <w:rFonts w:ascii="宋体" w:hAnsi="宋体"/>
          <w:color w:val="auto"/>
          <w:kern w:val="0"/>
          <w:sz w:val="24"/>
          <w:szCs w:val="24"/>
          <w:highlight w:val="none"/>
        </w:rPr>
      </w:pP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单位名称：</w:t>
      </w: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地    址：</w:t>
      </w:r>
    </w:p>
    <w:p>
      <w:pPr>
        <w:adjustRightInd w:val="0"/>
        <w:spacing w:line="360" w:lineRule="auto"/>
        <w:ind w:firstLine="480" w:firstLineChars="200"/>
        <w:textAlignment w:val="baseline"/>
        <w:rPr>
          <w:rFonts w:ascii="宋体" w:hAnsi="宋体"/>
          <w:color w:val="auto"/>
          <w:kern w:val="0"/>
          <w:sz w:val="24"/>
          <w:szCs w:val="24"/>
          <w:highlight w:val="none"/>
        </w:rPr>
      </w:pPr>
      <w:r>
        <w:rPr>
          <w:rFonts w:hint="eastAsia" w:ascii="宋体" w:hAnsi="宋体"/>
          <w:color w:val="auto"/>
          <w:kern w:val="0"/>
          <w:sz w:val="24"/>
          <w:szCs w:val="24"/>
          <w:highlight w:val="none"/>
        </w:rPr>
        <w:t>成立时间：年月日</w:t>
      </w: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经营期限：</w:t>
      </w: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姓    名：性别：</w:t>
      </w: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职务：系：</w:t>
      </w:r>
      <w:r>
        <w:rPr>
          <w:rFonts w:hint="eastAsia" w:ascii="宋体" w:hAnsi="宋体"/>
          <w:color w:val="auto"/>
          <w:kern w:val="0"/>
          <w:sz w:val="24"/>
          <w:szCs w:val="24"/>
          <w:highlight w:val="none"/>
          <w:u w:val="single"/>
        </w:rPr>
        <w:t xml:space="preserve">     (投标单位名称) </w:t>
      </w:r>
    </w:p>
    <w:p>
      <w:pPr>
        <w:adjustRightInd w:val="0"/>
        <w:spacing w:line="360" w:lineRule="auto"/>
        <w:ind w:firstLine="480" w:firstLineChars="200"/>
        <w:textAlignment w:val="baseline"/>
        <w:rPr>
          <w:rFonts w:ascii="宋体" w:hAnsi="宋体"/>
          <w:color w:val="auto"/>
          <w:kern w:val="0"/>
          <w:sz w:val="24"/>
          <w:szCs w:val="24"/>
          <w:highlight w:val="none"/>
          <w:u w:val="single"/>
        </w:rPr>
      </w:pPr>
      <w:r>
        <w:rPr>
          <w:rFonts w:hint="eastAsia" w:ascii="宋体" w:hAnsi="宋体"/>
          <w:color w:val="auto"/>
          <w:kern w:val="0"/>
          <w:sz w:val="24"/>
          <w:szCs w:val="24"/>
          <w:highlight w:val="none"/>
        </w:rPr>
        <w:t>的法定代表人。</w:t>
      </w:r>
    </w:p>
    <w:p>
      <w:pPr>
        <w:adjustRightInd w:val="0"/>
        <w:spacing w:line="360" w:lineRule="auto"/>
        <w:ind w:firstLine="480" w:firstLineChars="200"/>
        <w:textAlignment w:val="baseline"/>
        <w:rPr>
          <w:rFonts w:ascii="宋体" w:hAnsi="宋体"/>
          <w:color w:val="auto"/>
          <w:kern w:val="0"/>
          <w:sz w:val="24"/>
          <w:szCs w:val="24"/>
          <w:highlight w:val="none"/>
        </w:rPr>
      </w:pPr>
    </w:p>
    <w:p>
      <w:pPr>
        <w:adjustRightInd w:val="0"/>
        <w:spacing w:line="360" w:lineRule="auto"/>
        <w:ind w:firstLine="480" w:firstLineChars="200"/>
        <w:textAlignment w:val="baseline"/>
        <w:rPr>
          <w:rFonts w:ascii="宋体" w:hAnsi="宋体"/>
          <w:color w:val="auto"/>
          <w:kern w:val="0"/>
          <w:sz w:val="24"/>
          <w:szCs w:val="24"/>
          <w:highlight w:val="none"/>
        </w:rPr>
      </w:pPr>
      <w:r>
        <w:rPr>
          <w:rFonts w:hint="eastAsia" w:ascii="宋体" w:hAnsi="宋体"/>
          <w:color w:val="auto"/>
          <w:kern w:val="0"/>
          <w:sz w:val="24"/>
          <w:szCs w:val="24"/>
          <w:highlight w:val="none"/>
        </w:rPr>
        <w:t>特此证明</w:t>
      </w:r>
    </w:p>
    <w:p>
      <w:pPr>
        <w:adjustRightInd w:val="0"/>
        <w:spacing w:line="360" w:lineRule="auto"/>
        <w:ind w:firstLine="480" w:firstLineChars="200"/>
        <w:textAlignment w:val="baseline"/>
        <w:rPr>
          <w:rFonts w:ascii="宋体" w:hAnsi="宋体"/>
          <w:color w:val="auto"/>
          <w:kern w:val="0"/>
          <w:sz w:val="24"/>
          <w:szCs w:val="24"/>
          <w:highlight w:val="none"/>
        </w:rPr>
      </w:pPr>
    </w:p>
    <w:p>
      <w:pPr>
        <w:adjustRightInd w:val="0"/>
        <w:spacing w:line="360" w:lineRule="auto"/>
        <w:ind w:firstLine="2640" w:firstLineChars="1100"/>
        <w:textAlignment w:val="baseline"/>
        <w:rPr>
          <w:rFonts w:ascii="宋体" w:hAnsi="宋体"/>
          <w:color w:val="auto"/>
          <w:kern w:val="0"/>
          <w:sz w:val="24"/>
          <w:szCs w:val="24"/>
          <w:highlight w:val="none"/>
        </w:rPr>
      </w:pPr>
      <w:r>
        <w:rPr>
          <w:rFonts w:hint="eastAsia" w:ascii="宋体" w:hAnsi="宋体"/>
          <w:color w:val="auto"/>
          <w:kern w:val="0"/>
          <w:sz w:val="24"/>
          <w:szCs w:val="24"/>
          <w:highlight w:val="none"/>
        </w:rPr>
        <w:t>投标单位(加盖公章)：</w:t>
      </w:r>
    </w:p>
    <w:p>
      <w:pPr>
        <w:adjustRightInd w:val="0"/>
        <w:spacing w:line="360" w:lineRule="auto"/>
        <w:ind w:firstLine="3840" w:firstLineChars="1600"/>
        <w:textAlignment w:val="baseline"/>
        <w:rPr>
          <w:rFonts w:ascii="宋体" w:hAnsi="宋体"/>
          <w:color w:val="auto"/>
          <w:kern w:val="0"/>
          <w:sz w:val="24"/>
          <w:szCs w:val="24"/>
          <w:highlight w:val="none"/>
        </w:rPr>
      </w:pPr>
    </w:p>
    <w:p>
      <w:pPr>
        <w:adjustRightInd w:val="0"/>
        <w:spacing w:line="360" w:lineRule="auto"/>
        <w:ind w:firstLine="4320" w:firstLineChars="1800"/>
        <w:textAlignment w:val="baseline"/>
        <w:rPr>
          <w:rFonts w:ascii="宋体" w:hAnsi="宋体"/>
          <w:color w:val="auto"/>
          <w:kern w:val="0"/>
          <w:sz w:val="24"/>
          <w:szCs w:val="24"/>
          <w:highlight w:val="none"/>
        </w:rPr>
      </w:pPr>
      <w:r>
        <w:rPr>
          <w:rFonts w:hint="eastAsia" w:ascii="宋体" w:hAnsi="宋体"/>
          <w:color w:val="auto"/>
          <w:kern w:val="0"/>
          <w:sz w:val="24"/>
          <w:szCs w:val="24"/>
          <w:highlight w:val="none"/>
        </w:rPr>
        <w:t>年  月   日</w:t>
      </w:r>
    </w:p>
    <w:p>
      <w:pPr>
        <w:widowControl/>
        <w:spacing w:line="360" w:lineRule="auto"/>
        <w:rPr>
          <w:rFonts w:ascii="宋体" w:hAnsi="宋体" w:cs="Arial Unicode MS"/>
          <w:b/>
          <w:bCs/>
          <w:color w:val="auto"/>
          <w:kern w:val="0"/>
          <w:sz w:val="24"/>
          <w:szCs w:val="20"/>
          <w:highlight w:val="none"/>
        </w:rPr>
      </w:pPr>
    </w:p>
    <w:p>
      <w:pPr>
        <w:widowControl/>
        <w:spacing w:line="360" w:lineRule="auto"/>
        <w:rPr>
          <w:rFonts w:ascii="宋体" w:hAnsi="宋体" w:cs="Arial Unicode MS"/>
          <w:b/>
          <w:bCs/>
          <w:color w:val="auto"/>
          <w:kern w:val="0"/>
          <w:sz w:val="28"/>
          <w:szCs w:val="28"/>
          <w:highlight w:val="none"/>
        </w:rPr>
      </w:pPr>
      <w:r>
        <w:rPr>
          <w:rFonts w:hint="eastAsia" w:ascii="宋体" w:hAnsi="宋体" w:cs="Arial Unicode MS"/>
          <w:b/>
          <w:bCs/>
          <w:color w:val="auto"/>
          <w:kern w:val="0"/>
          <w:sz w:val="28"/>
          <w:szCs w:val="28"/>
          <w:highlight w:val="none"/>
        </w:rPr>
        <w:t>附法定代表人身份证复印件</w:t>
      </w: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spacing w:line="400" w:lineRule="exact"/>
        <w:ind w:firstLine="480" w:firstLineChars="200"/>
        <w:jc w:val="left"/>
        <w:rPr>
          <w:color w:val="auto"/>
          <w:sz w:val="24"/>
          <w:szCs w:val="24"/>
          <w:highlight w:val="none"/>
        </w:rPr>
      </w:pPr>
    </w:p>
    <w:p>
      <w:pPr>
        <w:pStyle w:val="3"/>
        <w:spacing w:line="360" w:lineRule="auto"/>
        <w:ind w:firstLine="2570" w:firstLineChars="800"/>
        <w:jc w:val="both"/>
        <w:rPr>
          <w:rFonts w:ascii="宋体" w:hAnsi="宋体" w:eastAsia="宋体"/>
          <w:b/>
          <w:color w:val="auto"/>
          <w:sz w:val="32"/>
          <w:szCs w:val="32"/>
          <w:highlight w:val="none"/>
        </w:rPr>
      </w:pPr>
      <w:r>
        <w:rPr>
          <w:rFonts w:hint="eastAsia" w:ascii="宋体" w:hAnsi="宋体" w:eastAsia="宋体"/>
          <w:b/>
          <w:color w:val="auto"/>
          <w:sz w:val="32"/>
          <w:szCs w:val="32"/>
          <w:highlight w:val="none"/>
        </w:rPr>
        <w:t>5.6</w:t>
      </w:r>
      <w:r>
        <w:rPr>
          <w:rFonts w:ascii="宋体" w:hAnsi="宋体" w:eastAsia="宋体"/>
          <w:b/>
          <w:color w:val="auto"/>
          <w:sz w:val="32"/>
          <w:szCs w:val="32"/>
          <w:highlight w:val="none"/>
        </w:rPr>
        <w:t>法人代表授权书</w:t>
      </w:r>
    </w:p>
    <w:p>
      <w:pPr>
        <w:spacing w:line="360" w:lineRule="auto"/>
        <w:ind w:firstLine="480" w:firstLineChars="200"/>
        <w:jc w:val="left"/>
        <w:rPr>
          <w:rFonts w:ascii="宋体" w:hAnsi="宋体"/>
          <w:color w:val="auto"/>
          <w:sz w:val="24"/>
          <w:szCs w:val="24"/>
          <w:highlight w:val="none"/>
        </w:rPr>
      </w:pPr>
    </w:p>
    <w:p>
      <w:pPr>
        <w:spacing w:line="360" w:lineRule="auto"/>
        <w:ind w:firstLine="480" w:firstLineChars="200"/>
        <w:jc w:val="left"/>
        <w:rPr>
          <w:rFonts w:ascii="宋体" w:hAnsi="宋体"/>
          <w:color w:val="auto"/>
          <w:sz w:val="24"/>
          <w:szCs w:val="24"/>
          <w:highlight w:val="none"/>
          <w:u w:val="single"/>
        </w:rPr>
      </w:pPr>
      <w:r>
        <w:rPr>
          <w:rFonts w:hint="eastAsia" w:ascii="宋体" w:hAnsi="宋体"/>
          <w:color w:val="auto"/>
          <w:sz w:val="24"/>
          <w:szCs w:val="24"/>
          <w:highlight w:val="none"/>
        </w:rPr>
        <w:t>本授权书声明：______（投标人单位名称）____________（法定代表人姓名、职务）授权____________（被授权人的姓名、职务）为我方就项目投标活动的合法代理人，以本公司名义全权处理一切与该项目投标有关的事务。</w:t>
      </w:r>
    </w:p>
    <w:p>
      <w:pPr>
        <w:pStyle w:val="44"/>
        <w:spacing w:before="0" w:after="0" w:line="600" w:lineRule="exact"/>
        <w:rPr>
          <w:rFonts w:ascii="宋体" w:hAnsi="宋体"/>
          <w:color w:val="auto"/>
          <w:highlight w:val="none"/>
        </w:rPr>
      </w:pPr>
      <w:r>
        <w:rPr>
          <w:rFonts w:hint="eastAsia" w:ascii="宋体" w:hAnsi="宋体"/>
          <w:color w:val="auto"/>
          <w:highlight w:val="none"/>
        </w:rPr>
        <w:t>本授权书于____</w:t>
      </w:r>
      <w:r>
        <w:rPr>
          <w:rFonts w:hint="eastAsia" w:ascii="宋体" w:hAnsi="宋体"/>
          <w:color w:val="auto"/>
          <w:highlight w:val="none"/>
          <w:u w:val="single"/>
        </w:rPr>
        <w:t xml:space="preserve"> _</w:t>
      </w:r>
      <w:r>
        <w:rPr>
          <w:rFonts w:hint="eastAsia" w:ascii="宋体" w:hAnsi="宋体"/>
          <w:color w:val="auto"/>
          <w:highlight w:val="none"/>
        </w:rPr>
        <w:t>_年____月____日签字或盖章生效，特此声明。</w:t>
      </w:r>
    </w:p>
    <w:p>
      <w:pPr>
        <w:pStyle w:val="44"/>
        <w:spacing w:before="0" w:after="0" w:line="600" w:lineRule="exact"/>
        <w:rPr>
          <w:rFonts w:ascii="宋体" w:hAnsi="宋体"/>
          <w:color w:val="auto"/>
          <w:highlight w:val="none"/>
        </w:rPr>
      </w:pPr>
      <w:r>
        <w:rPr>
          <w:rFonts w:hint="eastAsia" w:ascii="宋体" w:hAnsi="宋体"/>
          <w:color w:val="auto"/>
          <w:highlight w:val="none"/>
        </w:rPr>
        <w:t>被授权人无转委托权，特此委托。</w:t>
      </w:r>
    </w:p>
    <w:p>
      <w:pPr>
        <w:pStyle w:val="44"/>
        <w:spacing w:before="0" w:after="0" w:line="600" w:lineRule="exact"/>
        <w:rPr>
          <w:rFonts w:ascii="宋体" w:hAnsi="宋体"/>
          <w:color w:val="auto"/>
          <w:highlight w:val="none"/>
        </w:rPr>
      </w:pPr>
    </w:p>
    <w:p>
      <w:pPr>
        <w:pStyle w:val="44"/>
        <w:spacing w:before="0" w:after="0" w:line="600" w:lineRule="exact"/>
        <w:rPr>
          <w:rFonts w:ascii="宋体" w:hAnsi="宋体"/>
          <w:color w:val="auto"/>
          <w:highlight w:val="none"/>
        </w:rPr>
      </w:pPr>
      <w:r>
        <w:rPr>
          <w:rFonts w:hint="eastAsia" w:ascii="宋体" w:hAnsi="宋体"/>
          <w:color w:val="auto"/>
          <w:highlight w:val="none"/>
        </w:rPr>
        <w:t>法定代表人签字或盖章：_____________________________________</w:t>
      </w:r>
    </w:p>
    <w:p>
      <w:pPr>
        <w:pStyle w:val="44"/>
        <w:spacing w:before="0" w:after="0" w:line="600" w:lineRule="exact"/>
        <w:rPr>
          <w:rFonts w:ascii="宋体" w:hAnsi="宋体"/>
          <w:color w:val="auto"/>
          <w:highlight w:val="none"/>
        </w:rPr>
      </w:pPr>
      <w:r>
        <w:rPr>
          <w:rFonts w:hint="eastAsia" w:ascii="宋体" w:hAnsi="宋体"/>
          <w:color w:val="auto"/>
          <w:highlight w:val="none"/>
        </w:rPr>
        <w:t xml:space="preserve">          职    务：_____________________________________</w:t>
      </w:r>
    </w:p>
    <w:p>
      <w:pPr>
        <w:pStyle w:val="44"/>
        <w:spacing w:before="0" w:after="0" w:line="600" w:lineRule="exact"/>
        <w:rPr>
          <w:rFonts w:ascii="宋体" w:hAnsi="宋体"/>
          <w:color w:val="auto"/>
          <w:highlight w:val="none"/>
        </w:rPr>
      </w:pPr>
      <w:r>
        <w:rPr>
          <w:rFonts w:hint="eastAsia" w:ascii="宋体" w:hAnsi="宋体"/>
          <w:color w:val="auto"/>
          <w:highlight w:val="none"/>
        </w:rPr>
        <w:t xml:space="preserve">          单位名称：_____________________________________</w:t>
      </w:r>
    </w:p>
    <w:p>
      <w:pPr>
        <w:pStyle w:val="44"/>
        <w:spacing w:before="0" w:after="0" w:line="600" w:lineRule="exact"/>
        <w:rPr>
          <w:rFonts w:ascii="宋体" w:hAnsi="宋体"/>
          <w:color w:val="auto"/>
          <w:highlight w:val="none"/>
        </w:rPr>
      </w:pPr>
    </w:p>
    <w:p>
      <w:pPr>
        <w:pStyle w:val="44"/>
        <w:spacing w:before="0" w:after="0" w:line="600" w:lineRule="exact"/>
        <w:rPr>
          <w:rFonts w:ascii="宋体" w:hAnsi="宋体"/>
          <w:color w:val="auto"/>
          <w:highlight w:val="none"/>
        </w:rPr>
      </w:pPr>
      <w:r>
        <w:rPr>
          <w:rFonts w:hint="eastAsia" w:ascii="宋体" w:hAnsi="宋体"/>
          <w:color w:val="auto"/>
          <w:highlight w:val="none"/>
        </w:rPr>
        <w:t>代理人（被授权人）签字或盖章：_____________________________</w:t>
      </w:r>
    </w:p>
    <w:p>
      <w:pPr>
        <w:pStyle w:val="44"/>
        <w:spacing w:before="0" w:after="0" w:line="600" w:lineRule="exact"/>
        <w:rPr>
          <w:rFonts w:ascii="宋体" w:hAnsi="宋体"/>
          <w:color w:val="auto"/>
          <w:highlight w:val="none"/>
        </w:rPr>
      </w:pPr>
      <w:r>
        <w:rPr>
          <w:rFonts w:hint="eastAsia" w:ascii="宋体" w:hAnsi="宋体"/>
          <w:color w:val="auto"/>
          <w:highlight w:val="none"/>
        </w:rPr>
        <w:t xml:space="preserve">          职    务：_____________________________________</w:t>
      </w:r>
    </w:p>
    <w:p>
      <w:pPr>
        <w:pStyle w:val="44"/>
        <w:spacing w:before="0" w:after="0" w:line="600" w:lineRule="exact"/>
        <w:rPr>
          <w:rFonts w:ascii="宋体" w:hAnsi="宋体"/>
          <w:color w:val="auto"/>
          <w:highlight w:val="none"/>
        </w:rPr>
      </w:pPr>
      <w:r>
        <w:rPr>
          <w:rFonts w:hint="eastAsia" w:ascii="宋体" w:hAnsi="宋体"/>
          <w:color w:val="auto"/>
          <w:highlight w:val="none"/>
        </w:rPr>
        <w:t xml:space="preserve">          单位名称：_____________________________________</w:t>
      </w:r>
    </w:p>
    <w:p>
      <w:pPr>
        <w:pStyle w:val="44"/>
        <w:spacing w:before="0" w:after="0" w:line="600" w:lineRule="exact"/>
        <w:rPr>
          <w:rFonts w:ascii="宋体" w:hAnsi="宋体"/>
          <w:color w:val="auto"/>
          <w:highlight w:val="none"/>
        </w:rPr>
      </w:pPr>
    </w:p>
    <w:p>
      <w:pPr>
        <w:pStyle w:val="44"/>
        <w:spacing w:before="0" w:after="0" w:line="600" w:lineRule="exact"/>
        <w:rPr>
          <w:rFonts w:ascii="宋体" w:hAnsi="宋体"/>
          <w:color w:val="auto"/>
          <w:highlight w:val="none"/>
        </w:rPr>
      </w:pPr>
      <w:r>
        <w:rPr>
          <w:rFonts w:hint="eastAsia" w:ascii="宋体" w:hAnsi="宋体"/>
          <w:color w:val="auto"/>
          <w:highlight w:val="none"/>
        </w:rPr>
        <w:t>投标人名称（公章）：_____________________________________</w:t>
      </w:r>
    </w:p>
    <w:p>
      <w:pPr>
        <w:pStyle w:val="44"/>
        <w:spacing w:before="0" w:after="0" w:line="600" w:lineRule="exact"/>
        <w:rPr>
          <w:rFonts w:ascii="宋体" w:hAnsi="宋体"/>
          <w:color w:val="auto"/>
          <w:highlight w:val="none"/>
        </w:rPr>
      </w:pPr>
      <w:r>
        <w:rPr>
          <w:rFonts w:hint="eastAsia" w:ascii="宋体" w:hAnsi="宋体"/>
          <w:color w:val="auto"/>
          <w:highlight w:val="none"/>
        </w:rPr>
        <w:t xml:space="preserve">         日     期：_____________________________________</w:t>
      </w:r>
    </w:p>
    <w:p>
      <w:pPr>
        <w:snapToGrid w:val="0"/>
        <w:spacing w:line="360" w:lineRule="auto"/>
        <w:rPr>
          <w:rFonts w:ascii="宋体" w:hAnsi="宋体"/>
          <w:color w:val="auto"/>
          <w:sz w:val="24"/>
          <w:szCs w:val="24"/>
          <w:highlight w:val="none"/>
        </w:rPr>
      </w:pPr>
    </w:p>
    <w:p>
      <w:pPr>
        <w:snapToGrid w:val="0"/>
        <w:spacing w:line="360" w:lineRule="auto"/>
        <w:rPr>
          <w:rFonts w:ascii="宋体" w:hAnsi="宋体"/>
          <w:b/>
          <w:color w:val="auto"/>
          <w:sz w:val="24"/>
          <w:szCs w:val="24"/>
          <w:highlight w:val="none"/>
        </w:rPr>
      </w:pPr>
    </w:p>
    <w:p>
      <w:pPr>
        <w:snapToGrid w:val="0"/>
        <w:spacing w:line="360" w:lineRule="auto"/>
        <w:rPr>
          <w:rFonts w:ascii="宋体" w:hAnsi="宋体"/>
          <w:b/>
          <w:color w:val="auto"/>
          <w:sz w:val="24"/>
          <w:szCs w:val="24"/>
          <w:highlight w:val="none"/>
        </w:rPr>
      </w:pPr>
      <w:r>
        <w:rPr>
          <w:rFonts w:hint="eastAsia" w:ascii="宋体" w:hAnsi="宋体"/>
          <w:b/>
          <w:color w:val="auto"/>
          <w:sz w:val="24"/>
          <w:szCs w:val="24"/>
          <w:highlight w:val="none"/>
        </w:rPr>
        <w:t>附：代理人（被授权人）身份证复印件（加盖投标人公章）</w:t>
      </w:r>
    </w:p>
    <w:p>
      <w:pPr>
        <w:snapToGrid w:val="0"/>
        <w:spacing w:line="360" w:lineRule="auto"/>
        <w:rPr>
          <w:rFonts w:ascii="宋体" w:hAnsi="宋体"/>
          <w:color w:val="auto"/>
          <w:sz w:val="24"/>
          <w:szCs w:val="24"/>
          <w:highlight w:val="none"/>
        </w:rPr>
      </w:pPr>
    </w:p>
    <w:p>
      <w:pPr>
        <w:rPr>
          <w:rFonts w:ascii="宋体" w:hAnsi="宋体"/>
          <w:color w:val="auto"/>
          <w:highlight w:val="none"/>
        </w:rPr>
      </w:pPr>
    </w:p>
    <w:p>
      <w:pPr>
        <w:adjustRightInd w:val="0"/>
        <w:snapToGrid w:val="0"/>
        <w:ind w:left="-88" w:leftChars="-42"/>
        <w:outlineLvl w:val="0"/>
        <w:rPr>
          <w:rFonts w:ascii="宋体" w:hAnsi="宋体"/>
          <w:color w:val="auto"/>
          <w:highlight w:val="none"/>
        </w:rPr>
        <w:sectPr>
          <w:pgSz w:w="11906" w:h="16838"/>
          <w:pgMar w:top="1418" w:right="1588" w:bottom="1418" w:left="1588" w:header="851" w:footer="992" w:gutter="0"/>
          <w:cols w:space="720" w:num="1"/>
          <w:docGrid w:linePitch="312" w:charSpace="0"/>
        </w:sectPr>
      </w:pPr>
    </w:p>
    <w:p>
      <w:pPr>
        <w:pStyle w:val="5"/>
        <w:jc w:val="center"/>
        <w:rPr>
          <w:rFonts w:ascii="宋体" w:hAnsi="宋体"/>
          <w:color w:val="auto"/>
          <w:highlight w:val="none"/>
        </w:rPr>
      </w:pPr>
      <w:r>
        <w:rPr>
          <w:rFonts w:hint="eastAsia" w:ascii="宋体" w:hAnsi="宋体"/>
          <w:color w:val="auto"/>
          <w:highlight w:val="none"/>
        </w:rPr>
        <w:t>5.7投标人资格声明</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9"/>
        <w:gridCol w:w="3219"/>
        <w:gridCol w:w="18"/>
        <w:gridCol w:w="2178"/>
        <w:gridCol w:w="2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0" w:hRule="atLeast"/>
          <w:jc w:val="center"/>
        </w:trPr>
        <w:tc>
          <w:tcPr>
            <w:tcW w:w="1629" w:type="dxa"/>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企业名称</w:t>
            </w:r>
          </w:p>
        </w:tc>
        <w:tc>
          <w:tcPr>
            <w:tcW w:w="8123" w:type="dxa"/>
            <w:gridSpan w:val="4"/>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atLeast"/>
          <w:jc w:val="center"/>
        </w:trPr>
        <w:tc>
          <w:tcPr>
            <w:tcW w:w="1629" w:type="dxa"/>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地址</w:t>
            </w:r>
          </w:p>
        </w:tc>
        <w:tc>
          <w:tcPr>
            <w:tcW w:w="8123" w:type="dxa"/>
            <w:gridSpan w:val="4"/>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1629" w:type="dxa"/>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法定代表人</w:t>
            </w:r>
          </w:p>
        </w:tc>
        <w:tc>
          <w:tcPr>
            <w:tcW w:w="8123" w:type="dxa"/>
            <w:gridSpan w:val="4"/>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8" w:hRule="atLeast"/>
          <w:jc w:val="center"/>
        </w:trPr>
        <w:tc>
          <w:tcPr>
            <w:tcW w:w="1629" w:type="dxa"/>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注册时间</w:t>
            </w:r>
          </w:p>
        </w:tc>
        <w:tc>
          <w:tcPr>
            <w:tcW w:w="8123" w:type="dxa"/>
            <w:gridSpan w:val="4"/>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2" w:hRule="atLeast"/>
          <w:jc w:val="center"/>
        </w:trPr>
        <w:tc>
          <w:tcPr>
            <w:tcW w:w="4848" w:type="dxa"/>
            <w:gridSpan w:val="2"/>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近三年内有经营活动中有无重大违法纪录</w:t>
            </w:r>
          </w:p>
        </w:tc>
        <w:tc>
          <w:tcPr>
            <w:tcW w:w="4904" w:type="dxa"/>
            <w:gridSpan w:val="3"/>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6" w:hRule="atLeast"/>
          <w:jc w:val="center"/>
        </w:trPr>
        <w:tc>
          <w:tcPr>
            <w:tcW w:w="1629" w:type="dxa"/>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是否依法缴纳税收</w:t>
            </w:r>
          </w:p>
        </w:tc>
        <w:tc>
          <w:tcPr>
            <w:tcW w:w="3219" w:type="dxa"/>
          </w:tcPr>
          <w:p>
            <w:pPr>
              <w:spacing w:line="460" w:lineRule="exact"/>
              <w:rPr>
                <w:rFonts w:ascii="宋体" w:hAnsi="宋体"/>
                <w:bCs/>
                <w:color w:val="auto"/>
                <w:sz w:val="24"/>
                <w:highlight w:val="none"/>
              </w:rPr>
            </w:pPr>
          </w:p>
        </w:tc>
        <w:tc>
          <w:tcPr>
            <w:tcW w:w="2196" w:type="dxa"/>
            <w:gridSpan w:val="2"/>
          </w:tcPr>
          <w:p>
            <w:pPr>
              <w:spacing w:line="460" w:lineRule="exact"/>
              <w:rPr>
                <w:rFonts w:ascii="宋体" w:hAnsi="宋体"/>
                <w:bCs/>
                <w:color w:val="auto"/>
                <w:sz w:val="24"/>
                <w:highlight w:val="none"/>
              </w:rPr>
            </w:pPr>
            <w:r>
              <w:rPr>
                <w:rFonts w:hint="eastAsia" w:ascii="宋体" w:hAnsi="宋体"/>
                <w:bCs/>
                <w:color w:val="auto"/>
                <w:sz w:val="24"/>
                <w:highlight w:val="none"/>
              </w:rPr>
              <w:t>是否依法缴纳社会保障资金</w:t>
            </w:r>
          </w:p>
        </w:tc>
        <w:tc>
          <w:tcPr>
            <w:tcW w:w="2708" w:type="dxa"/>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1629" w:type="dxa"/>
            <w:vMerge w:val="restart"/>
            <w:vAlign w:val="center"/>
          </w:tcPr>
          <w:p>
            <w:pPr>
              <w:spacing w:line="460" w:lineRule="exact"/>
              <w:jc w:val="center"/>
              <w:rPr>
                <w:rFonts w:ascii="宋体" w:hAnsi="宋体"/>
                <w:bCs/>
                <w:color w:val="auto"/>
                <w:sz w:val="24"/>
                <w:highlight w:val="none"/>
              </w:rPr>
            </w:pPr>
          </w:p>
          <w:p>
            <w:pPr>
              <w:spacing w:line="460" w:lineRule="exact"/>
              <w:jc w:val="center"/>
              <w:rPr>
                <w:rFonts w:ascii="宋体" w:hAnsi="宋体"/>
                <w:bCs/>
                <w:color w:val="auto"/>
                <w:sz w:val="24"/>
                <w:highlight w:val="none"/>
              </w:rPr>
            </w:pPr>
            <w:r>
              <w:rPr>
                <w:rFonts w:hint="eastAsia" w:ascii="宋体" w:hAnsi="宋体"/>
                <w:bCs/>
                <w:color w:val="auto"/>
                <w:sz w:val="24"/>
                <w:highlight w:val="none"/>
              </w:rPr>
              <w:t>单位概况</w:t>
            </w:r>
          </w:p>
        </w:tc>
        <w:tc>
          <w:tcPr>
            <w:tcW w:w="3237" w:type="dxa"/>
            <w:gridSpan w:val="2"/>
            <w:vAlign w:val="center"/>
          </w:tcPr>
          <w:p>
            <w:pPr>
              <w:spacing w:line="460" w:lineRule="exact"/>
              <w:jc w:val="center"/>
              <w:rPr>
                <w:rFonts w:ascii="宋体" w:hAnsi="宋体"/>
                <w:bCs/>
                <w:color w:val="auto"/>
                <w:sz w:val="24"/>
                <w:highlight w:val="none"/>
              </w:rPr>
            </w:pPr>
            <w:r>
              <w:rPr>
                <w:rFonts w:hint="eastAsia" w:ascii="宋体" w:hAnsi="宋体"/>
                <w:bCs/>
                <w:color w:val="auto"/>
                <w:sz w:val="24"/>
                <w:highlight w:val="none"/>
              </w:rPr>
              <w:t>注册资本</w:t>
            </w:r>
          </w:p>
        </w:tc>
        <w:tc>
          <w:tcPr>
            <w:tcW w:w="4886" w:type="dxa"/>
            <w:gridSpan w:val="2"/>
          </w:tcPr>
          <w:p>
            <w:pPr>
              <w:spacing w:line="460" w:lineRule="exact"/>
              <w:rPr>
                <w:rFonts w:ascii="宋体" w:hAnsi="宋体"/>
                <w:bCs/>
                <w:color w:val="auto"/>
                <w:sz w:val="24"/>
                <w:highlight w:val="none"/>
              </w:rPr>
            </w:pPr>
            <w:r>
              <w:rPr>
                <w:rFonts w:hint="eastAsia" w:ascii="宋体" w:hAnsi="宋体"/>
                <w:bCs/>
                <w:color w:val="auto"/>
                <w:sz w:val="24"/>
                <w:highlight w:val="none"/>
              </w:rPr>
              <w:t xml:space="preserve">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7" w:hRule="atLeast"/>
          <w:jc w:val="center"/>
        </w:trPr>
        <w:tc>
          <w:tcPr>
            <w:tcW w:w="1629" w:type="dxa"/>
            <w:vMerge w:val="continue"/>
            <w:vAlign w:val="center"/>
          </w:tcPr>
          <w:p>
            <w:pPr>
              <w:spacing w:line="460" w:lineRule="exact"/>
              <w:jc w:val="center"/>
              <w:rPr>
                <w:rFonts w:ascii="宋体" w:hAnsi="宋体"/>
                <w:bCs/>
                <w:color w:val="auto"/>
                <w:sz w:val="24"/>
                <w:highlight w:val="none"/>
              </w:rPr>
            </w:pPr>
          </w:p>
        </w:tc>
        <w:tc>
          <w:tcPr>
            <w:tcW w:w="3237" w:type="dxa"/>
            <w:gridSpan w:val="2"/>
            <w:vAlign w:val="center"/>
          </w:tcPr>
          <w:p>
            <w:pPr>
              <w:spacing w:line="460" w:lineRule="exact"/>
              <w:rPr>
                <w:rFonts w:ascii="宋体" w:hAnsi="宋体"/>
                <w:bCs/>
                <w:color w:val="auto"/>
                <w:sz w:val="24"/>
                <w:highlight w:val="none"/>
              </w:rPr>
            </w:pPr>
            <w:r>
              <w:rPr>
                <w:rFonts w:hint="eastAsia" w:ascii="宋体" w:hAnsi="宋体"/>
                <w:bCs/>
                <w:color w:val="auto"/>
                <w:sz w:val="24"/>
                <w:highlight w:val="none"/>
              </w:rPr>
              <w:t>经营范围是否包含本项目</w:t>
            </w:r>
          </w:p>
        </w:tc>
        <w:tc>
          <w:tcPr>
            <w:tcW w:w="4886" w:type="dxa"/>
            <w:gridSpan w:val="2"/>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3" w:hRule="atLeast"/>
          <w:jc w:val="center"/>
        </w:trPr>
        <w:tc>
          <w:tcPr>
            <w:tcW w:w="1629" w:type="dxa"/>
            <w:vMerge w:val="continue"/>
            <w:vAlign w:val="center"/>
          </w:tcPr>
          <w:p>
            <w:pPr>
              <w:spacing w:line="460" w:lineRule="exact"/>
              <w:jc w:val="center"/>
              <w:rPr>
                <w:rFonts w:ascii="宋体" w:hAnsi="宋体"/>
                <w:bCs/>
                <w:color w:val="auto"/>
                <w:sz w:val="24"/>
                <w:highlight w:val="none"/>
              </w:rPr>
            </w:pPr>
          </w:p>
        </w:tc>
        <w:tc>
          <w:tcPr>
            <w:tcW w:w="3237" w:type="dxa"/>
            <w:gridSpan w:val="2"/>
            <w:vAlign w:val="center"/>
          </w:tcPr>
          <w:p>
            <w:pPr>
              <w:spacing w:line="460" w:lineRule="exact"/>
              <w:rPr>
                <w:rFonts w:ascii="宋体" w:hAnsi="宋体"/>
                <w:bCs/>
                <w:color w:val="auto"/>
                <w:sz w:val="24"/>
                <w:highlight w:val="none"/>
              </w:rPr>
            </w:pPr>
            <w:r>
              <w:rPr>
                <w:rFonts w:hint="eastAsia" w:ascii="宋体" w:hAnsi="宋体"/>
                <w:bCs/>
                <w:color w:val="auto"/>
                <w:sz w:val="24"/>
                <w:highlight w:val="none"/>
              </w:rPr>
              <w:t>是否符合本项目资格要求</w:t>
            </w:r>
          </w:p>
        </w:tc>
        <w:tc>
          <w:tcPr>
            <w:tcW w:w="4886" w:type="dxa"/>
            <w:gridSpan w:val="2"/>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3" w:hRule="atLeast"/>
          <w:jc w:val="center"/>
        </w:trPr>
        <w:tc>
          <w:tcPr>
            <w:tcW w:w="1629" w:type="dxa"/>
            <w:vMerge w:val="continue"/>
            <w:vAlign w:val="center"/>
          </w:tcPr>
          <w:p>
            <w:pPr>
              <w:spacing w:line="460" w:lineRule="exact"/>
              <w:jc w:val="center"/>
              <w:rPr>
                <w:rFonts w:ascii="宋体" w:hAnsi="宋体"/>
                <w:bCs/>
                <w:color w:val="auto"/>
                <w:sz w:val="24"/>
                <w:highlight w:val="none"/>
              </w:rPr>
            </w:pPr>
          </w:p>
        </w:tc>
        <w:tc>
          <w:tcPr>
            <w:tcW w:w="3237" w:type="dxa"/>
            <w:gridSpan w:val="2"/>
            <w:vAlign w:val="center"/>
          </w:tcPr>
          <w:p>
            <w:pPr>
              <w:spacing w:line="460" w:lineRule="exact"/>
              <w:rPr>
                <w:rFonts w:ascii="宋体" w:hAnsi="宋体"/>
                <w:bCs/>
                <w:color w:val="auto"/>
                <w:sz w:val="24"/>
                <w:highlight w:val="none"/>
              </w:rPr>
            </w:pPr>
            <w:r>
              <w:rPr>
                <w:rFonts w:hint="eastAsia" w:ascii="宋体" w:hAnsi="宋体"/>
                <w:bCs/>
                <w:color w:val="auto"/>
                <w:sz w:val="24"/>
                <w:highlight w:val="none"/>
              </w:rPr>
              <w:t>是否具备履行本项采购合同所必需的设备和专业技术能力</w:t>
            </w:r>
          </w:p>
        </w:tc>
        <w:tc>
          <w:tcPr>
            <w:tcW w:w="4886" w:type="dxa"/>
            <w:gridSpan w:val="2"/>
            <w:vAlign w:val="center"/>
          </w:tcPr>
          <w:p>
            <w:pPr>
              <w:spacing w:line="460" w:lineRule="exact"/>
              <w:rPr>
                <w:rFonts w:ascii="宋体" w:hAnsi="宋体"/>
                <w:bCs/>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8" w:hRule="atLeast"/>
          <w:jc w:val="center"/>
        </w:trPr>
        <w:tc>
          <w:tcPr>
            <w:tcW w:w="1629" w:type="dxa"/>
            <w:vAlign w:val="center"/>
          </w:tcPr>
          <w:p>
            <w:pPr>
              <w:spacing w:line="460" w:lineRule="exact"/>
              <w:ind w:firstLine="360" w:firstLineChars="150"/>
              <w:jc w:val="center"/>
              <w:rPr>
                <w:rFonts w:ascii="宋体" w:hAnsi="宋体"/>
                <w:bCs/>
                <w:color w:val="auto"/>
                <w:sz w:val="24"/>
                <w:highlight w:val="none"/>
              </w:rPr>
            </w:pPr>
            <w:r>
              <w:rPr>
                <w:rFonts w:hint="eastAsia" w:ascii="宋体" w:hAnsi="宋体"/>
                <w:bCs/>
                <w:color w:val="auto"/>
                <w:sz w:val="24"/>
                <w:highlight w:val="none"/>
              </w:rPr>
              <w:t>备注</w:t>
            </w:r>
          </w:p>
        </w:tc>
        <w:tc>
          <w:tcPr>
            <w:tcW w:w="8123" w:type="dxa"/>
            <w:gridSpan w:val="4"/>
            <w:vAlign w:val="center"/>
          </w:tcPr>
          <w:p>
            <w:pPr>
              <w:spacing w:line="460" w:lineRule="exact"/>
              <w:rPr>
                <w:rFonts w:ascii="宋体" w:hAnsi="宋体"/>
                <w:bCs/>
                <w:color w:val="auto"/>
                <w:sz w:val="24"/>
                <w:highlight w:val="none"/>
              </w:rPr>
            </w:pPr>
          </w:p>
        </w:tc>
      </w:tr>
    </w:tbl>
    <w:p>
      <w:pPr>
        <w:spacing w:line="480" w:lineRule="auto"/>
        <w:ind w:firstLine="480" w:firstLineChars="200"/>
        <w:rPr>
          <w:rFonts w:ascii="宋体" w:hAnsi="宋体"/>
          <w:bCs/>
          <w:color w:val="auto"/>
          <w:sz w:val="24"/>
          <w:highlight w:val="none"/>
        </w:rPr>
      </w:pPr>
      <w:r>
        <w:rPr>
          <w:rFonts w:hint="eastAsia" w:ascii="宋体" w:hAnsi="宋体"/>
          <w:bCs/>
          <w:color w:val="auto"/>
          <w:sz w:val="24"/>
          <w:szCs w:val="24"/>
          <w:highlight w:val="none"/>
        </w:rPr>
        <w:t>我公司（单位）投标文件中所有关于投标资格的文件、证明、陈述均是真实的、准确的。若有违背，我公司（单位）愿意承担由此而产生的一切后果。</w:t>
      </w:r>
      <w:r>
        <w:rPr>
          <w:rFonts w:hint="eastAsia" w:ascii="宋体" w:hAnsi="宋体"/>
          <w:bCs/>
          <w:color w:val="auto"/>
          <w:sz w:val="24"/>
          <w:highlight w:val="none"/>
        </w:rPr>
        <w:t>我们同意如贵方要求，可以出示相关证明文件。</w:t>
      </w:r>
    </w:p>
    <w:p>
      <w:pPr>
        <w:spacing w:line="460" w:lineRule="exact"/>
        <w:rPr>
          <w:rFonts w:ascii="宋体" w:hAnsi="宋体"/>
          <w:bCs/>
          <w:color w:val="auto"/>
          <w:sz w:val="24"/>
          <w:highlight w:val="none"/>
          <w:u w:val="single"/>
        </w:rPr>
      </w:pPr>
      <w:r>
        <w:rPr>
          <w:rFonts w:hint="eastAsia" w:ascii="宋体" w:hAnsi="宋体"/>
          <w:bCs/>
          <w:color w:val="auto"/>
          <w:sz w:val="24"/>
          <w:highlight w:val="none"/>
        </w:rPr>
        <w:t>法定代表人或授权委托人签字：</w:t>
      </w:r>
    </w:p>
    <w:p>
      <w:pPr>
        <w:pStyle w:val="44"/>
        <w:spacing w:before="0" w:after="0" w:line="600" w:lineRule="exact"/>
        <w:ind w:firstLine="0"/>
        <w:rPr>
          <w:rFonts w:ascii="宋体" w:hAnsi="宋体"/>
          <w:bCs/>
          <w:color w:val="auto"/>
          <w:highlight w:val="none"/>
        </w:rPr>
      </w:pPr>
      <w:r>
        <w:rPr>
          <w:rFonts w:hint="eastAsia" w:ascii="宋体" w:hAnsi="宋体"/>
          <w:color w:val="auto"/>
          <w:highlight w:val="none"/>
        </w:rPr>
        <w:t>投标人名称（公章）：_____________________________________</w:t>
      </w:r>
    </w:p>
    <w:p>
      <w:pPr>
        <w:spacing w:line="360" w:lineRule="auto"/>
        <w:jc w:val="left"/>
        <w:rPr>
          <w:rFonts w:ascii="宋体" w:hAnsi="宋体"/>
          <w:b/>
          <w:bCs/>
          <w:color w:val="auto"/>
          <w:sz w:val="28"/>
          <w:szCs w:val="28"/>
          <w:highlight w:val="none"/>
        </w:rPr>
        <w:sectPr>
          <w:pgSz w:w="11906" w:h="16838"/>
          <w:pgMar w:top="1440" w:right="1046" w:bottom="1440" w:left="1200" w:header="851" w:footer="992" w:gutter="0"/>
          <w:cols w:space="720" w:num="1"/>
          <w:titlePg/>
          <w:docGrid w:type="lines" w:linePitch="312" w:charSpace="0"/>
        </w:sectPr>
      </w:pPr>
      <w:r>
        <w:rPr>
          <w:rFonts w:hint="eastAsia" w:ascii="宋体" w:hAnsi="宋体"/>
          <w:bCs/>
          <w:color w:val="auto"/>
          <w:sz w:val="24"/>
          <w:highlight w:val="none"/>
        </w:rPr>
        <w:t>日期：   年    月   日</w:t>
      </w:r>
    </w:p>
    <w:p>
      <w:pPr>
        <w:pStyle w:val="5"/>
        <w:snapToGrid w:val="0"/>
        <w:spacing w:before="0" w:after="0" w:line="360" w:lineRule="auto"/>
        <w:jc w:val="center"/>
        <w:rPr>
          <w:rFonts w:ascii="宋体" w:hAnsi="宋体"/>
          <w:bCs w:val="0"/>
          <w:color w:val="auto"/>
          <w:highlight w:val="none"/>
        </w:rPr>
      </w:pPr>
      <w:r>
        <w:rPr>
          <w:rFonts w:hint="eastAsia" w:ascii="宋体" w:hAnsi="宋体"/>
          <w:color w:val="auto"/>
          <w:highlight w:val="none"/>
        </w:rPr>
        <w:t>5.8</w:t>
      </w:r>
      <w:r>
        <w:rPr>
          <w:rFonts w:hint="eastAsia" w:ascii="宋体" w:hAnsi="宋体"/>
          <w:bCs w:val="0"/>
          <w:color w:val="auto"/>
          <w:highlight w:val="none"/>
        </w:rPr>
        <w:t>投标人已完成与招标内容类似项目一览表</w:t>
      </w:r>
    </w:p>
    <w:tbl>
      <w:tblPr>
        <w:tblStyle w:val="2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6"/>
        <w:gridCol w:w="1544"/>
        <w:gridCol w:w="1440"/>
        <w:gridCol w:w="1050"/>
        <w:gridCol w:w="849"/>
        <w:gridCol w:w="1146"/>
        <w:gridCol w:w="136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序号</w:t>
            </w:r>
          </w:p>
        </w:tc>
        <w:tc>
          <w:tcPr>
            <w:tcW w:w="1544"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项目（合同）</w:t>
            </w:r>
          </w:p>
          <w:p>
            <w:pPr>
              <w:tabs>
                <w:tab w:val="left" w:pos="9765"/>
              </w:tabs>
              <w:jc w:val="center"/>
              <w:rPr>
                <w:rFonts w:ascii="宋体" w:hAnsi="宋体"/>
                <w:color w:val="auto"/>
                <w:highlight w:val="none"/>
              </w:rPr>
            </w:pPr>
            <w:r>
              <w:rPr>
                <w:rFonts w:hint="eastAsia" w:ascii="宋体" w:hAnsi="宋体"/>
                <w:color w:val="auto"/>
                <w:highlight w:val="none"/>
              </w:rPr>
              <w:t>名称</w:t>
            </w:r>
          </w:p>
        </w:tc>
        <w:tc>
          <w:tcPr>
            <w:tcW w:w="1440"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合同</w:t>
            </w:r>
          </w:p>
          <w:p>
            <w:pPr>
              <w:tabs>
                <w:tab w:val="left" w:pos="9765"/>
              </w:tabs>
              <w:jc w:val="center"/>
              <w:rPr>
                <w:rFonts w:ascii="宋体" w:hAnsi="宋体"/>
                <w:color w:val="auto"/>
                <w:highlight w:val="none"/>
              </w:rPr>
            </w:pPr>
            <w:r>
              <w:rPr>
                <w:rFonts w:hint="eastAsia" w:ascii="宋体" w:hAnsi="宋体"/>
                <w:color w:val="auto"/>
                <w:highlight w:val="none"/>
              </w:rPr>
              <w:t>起止日期</w:t>
            </w:r>
          </w:p>
        </w:tc>
        <w:tc>
          <w:tcPr>
            <w:tcW w:w="1050"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甲方单位全称</w:t>
            </w:r>
          </w:p>
        </w:tc>
        <w:tc>
          <w:tcPr>
            <w:tcW w:w="849"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甲方</w:t>
            </w:r>
          </w:p>
          <w:p>
            <w:pPr>
              <w:tabs>
                <w:tab w:val="left" w:pos="9765"/>
              </w:tabs>
              <w:jc w:val="center"/>
              <w:rPr>
                <w:rFonts w:ascii="宋体" w:hAnsi="宋体"/>
                <w:color w:val="auto"/>
                <w:highlight w:val="none"/>
              </w:rPr>
            </w:pPr>
            <w:r>
              <w:rPr>
                <w:rFonts w:hint="eastAsia" w:ascii="宋体" w:hAnsi="宋体"/>
                <w:color w:val="auto"/>
                <w:highlight w:val="none"/>
              </w:rPr>
              <w:t>联系人</w:t>
            </w:r>
          </w:p>
        </w:tc>
        <w:tc>
          <w:tcPr>
            <w:tcW w:w="1146"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甲方联系人电话</w:t>
            </w:r>
          </w:p>
        </w:tc>
        <w:tc>
          <w:tcPr>
            <w:tcW w:w="1365"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合同</w:t>
            </w:r>
          </w:p>
          <w:p>
            <w:pPr>
              <w:tabs>
                <w:tab w:val="left" w:pos="9765"/>
              </w:tabs>
              <w:jc w:val="center"/>
              <w:rPr>
                <w:rFonts w:ascii="宋体" w:hAnsi="宋体"/>
                <w:color w:val="auto"/>
                <w:highlight w:val="none"/>
              </w:rPr>
            </w:pPr>
            <w:r>
              <w:rPr>
                <w:rFonts w:hint="eastAsia" w:ascii="宋体" w:hAnsi="宋体"/>
                <w:color w:val="auto"/>
                <w:highlight w:val="none"/>
              </w:rPr>
              <w:t>金额</w:t>
            </w:r>
          </w:p>
        </w:tc>
        <w:tc>
          <w:tcPr>
            <w:tcW w:w="1260" w:type="dxa"/>
            <w:tcBorders>
              <w:top w:val="single" w:color="auto" w:sz="4" w:space="0"/>
              <w:left w:val="single" w:color="auto" w:sz="4" w:space="0"/>
              <w:bottom w:val="single" w:color="auto" w:sz="4" w:space="0"/>
              <w:right w:val="single" w:color="auto" w:sz="4" w:space="0"/>
            </w:tcBorders>
            <w:vAlign w:val="center"/>
          </w:tcPr>
          <w:p>
            <w:pPr>
              <w:tabs>
                <w:tab w:val="left" w:pos="9765"/>
              </w:tabs>
              <w:jc w:val="center"/>
              <w:rPr>
                <w:rFonts w:ascii="宋体" w:hAnsi="宋体"/>
                <w:color w:val="auto"/>
                <w:highlight w:val="none"/>
              </w:rPr>
            </w:pPr>
            <w:r>
              <w:rPr>
                <w:rFonts w:hint="eastAsia" w:ascii="宋体" w:hAnsi="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1544"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1440"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1050"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849"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1146"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jc w:val="center"/>
              <w:rPr>
                <w:rFonts w:ascii="宋体" w:hAnsi="宋体"/>
                <w:color w:val="auto"/>
                <w:highlight w:val="none"/>
              </w:rPr>
            </w:pPr>
          </w:p>
        </w:tc>
        <w:tc>
          <w:tcPr>
            <w:tcW w:w="1365"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ind w:hanging="523"/>
              <w:jc w:val="center"/>
              <w:rPr>
                <w:rFonts w:ascii="宋体" w:hAnsi="宋体"/>
                <w:color w:val="auto"/>
                <w:highlight w:val="none"/>
              </w:rPr>
            </w:pPr>
          </w:p>
        </w:tc>
        <w:tc>
          <w:tcPr>
            <w:tcW w:w="1260" w:type="dxa"/>
            <w:tcBorders>
              <w:top w:val="single" w:color="auto" w:sz="4" w:space="0"/>
              <w:left w:val="single" w:color="auto" w:sz="4" w:space="0"/>
              <w:bottom w:val="single" w:color="auto" w:sz="4" w:space="0"/>
              <w:right w:val="single" w:color="auto" w:sz="4" w:space="0"/>
            </w:tcBorders>
            <w:vAlign w:val="center"/>
          </w:tcPr>
          <w:p>
            <w:pPr>
              <w:tabs>
                <w:tab w:val="left" w:pos="9765"/>
              </w:tabs>
              <w:snapToGrid w:val="0"/>
              <w:spacing w:line="360" w:lineRule="auto"/>
              <w:ind w:hanging="523"/>
              <w:jc w:val="cente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544"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44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05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849"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14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365"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26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544"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44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05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849"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14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365"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26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r>
              <w:rPr>
                <w:rFonts w:hint="eastAsia" w:ascii="宋体" w:hAnsi="宋体"/>
                <w:color w:val="auto"/>
                <w:highlight w:val="none"/>
              </w:rPr>
              <w:t>…</w:t>
            </w:r>
          </w:p>
        </w:tc>
        <w:tc>
          <w:tcPr>
            <w:tcW w:w="1544"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44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05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849"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146"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365"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c>
          <w:tcPr>
            <w:tcW w:w="1260" w:type="dxa"/>
            <w:tcBorders>
              <w:top w:val="single" w:color="auto" w:sz="4" w:space="0"/>
              <w:left w:val="single" w:color="auto" w:sz="4" w:space="0"/>
              <w:bottom w:val="single" w:color="auto" w:sz="4" w:space="0"/>
              <w:right w:val="single" w:color="auto" w:sz="4" w:space="0"/>
            </w:tcBorders>
          </w:tcPr>
          <w:p>
            <w:pPr>
              <w:tabs>
                <w:tab w:val="left" w:pos="9765"/>
              </w:tabs>
              <w:snapToGrid w:val="0"/>
              <w:spacing w:line="360" w:lineRule="auto"/>
              <w:rPr>
                <w:rFonts w:ascii="宋体" w:hAnsi="宋体"/>
                <w:color w:val="auto"/>
                <w:highlight w:val="none"/>
              </w:rPr>
            </w:pPr>
          </w:p>
        </w:tc>
      </w:tr>
    </w:tbl>
    <w:p>
      <w:pPr>
        <w:tabs>
          <w:tab w:val="left" w:pos="9765"/>
        </w:tabs>
        <w:snapToGrid w:val="0"/>
        <w:spacing w:line="360" w:lineRule="auto"/>
        <w:ind w:firstLine="315"/>
        <w:rPr>
          <w:rFonts w:ascii="宋体" w:hAnsi="宋体"/>
          <w:b/>
          <w:bCs/>
          <w:color w:val="auto"/>
          <w:highlight w:val="none"/>
        </w:rPr>
      </w:pPr>
    </w:p>
    <w:p>
      <w:pPr>
        <w:tabs>
          <w:tab w:val="left" w:pos="9765"/>
        </w:tabs>
        <w:snapToGrid w:val="0"/>
        <w:spacing w:line="360" w:lineRule="auto"/>
        <w:ind w:firstLine="315"/>
        <w:rPr>
          <w:rFonts w:ascii="宋体" w:hAnsi="宋体"/>
          <w:b/>
          <w:bCs/>
          <w:color w:val="auto"/>
          <w:szCs w:val="21"/>
          <w:highlight w:val="none"/>
        </w:rPr>
      </w:pPr>
      <w:r>
        <w:rPr>
          <w:rFonts w:hint="eastAsia" w:ascii="宋体" w:hAnsi="宋体"/>
          <w:b/>
          <w:bCs/>
          <w:color w:val="auto"/>
          <w:szCs w:val="21"/>
          <w:highlight w:val="none"/>
        </w:rPr>
        <w:t xml:space="preserve"> </w:t>
      </w: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rPr>
          <w:rFonts w:ascii="宋体" w:hAnsi="宋体"/>
          <w:color w:val="auto"/>
          <w:highlight w:val="none"/>
        </w:rPr>
      </w:pPr>
    </w:p>
    <w:p>
      <w:pPr>
        <w:spacing w:line="360" w:lineRule="auto"/>
        <w:ind w:firstLine="641"/>
        <w:jc w:val="left"/>
        <w:rPr>
          <w:rFonts w:ascii="宋体" w:hAnsi="宋体"/>
          <w:color w:val="auto"/>
          <w:sz w:val="24"/>
          <w:szCs w:val="24"/>
          <w:highlight w:val="none"/>
        </w:rPr>
      </w:pPr>
      <w:bookmarkStart w:id="42" w:name="_Toc287782058"/>
      <w:bookmarkStart w:id="43" w:name="_Toc434820124"/>
      <w:r>
        <w:rPr>
          <w:rFonts w:hint="eastAsia" w:ascii="宋体" w:hAnsi="宋体"/>
          <w:b/>
          <w:color w:val="auto"/>
          <w:sz w:val="24"/>
          <w:szCs w:val="24"/>
          <w:highlight w:val="none"/>
        </w:rPr>
        <w:t xml:space="preserve">  </w:t>
      </w:r>
      <w:r>
        <w:rPr>
          <w:rFonts w:hint="eastAsia" w:ascii="宋体" w:hAnsi="宋体"/>
          <w:color w:val="auto"/>
          <w:sz w:val="24"/>
          <w:szCs w:val="24"/>
          <w:highlight w:val="none"/>
        </w:rPr>
        <w:t>投标人全称（盖章）：</w:t>
      </w:r>
    </w:p>
    <w:p>
      <w:pPr>
        <w:spacing w:line="360" w:lineRule="auto"/>
        <w:ind w:firstLine="641"/>
        <w:jc w:val="left"/>
        <w:rPr>
          <w:rFonts w:ascii="宋体" w:hAnsi="宋体"/>
          <w:color w:val="auto"/>
          <w:sz w:val="24"/>
          <w:szCs w:val="24"/>
          <w:highlight w:val="none"/>
        </w:rPr>
      </w:pPr>
      <w:r>
        <w:rPr>
          <w:rFonts w:hint="eastAsia" w:ascii="宋体" w:hAnsi="宋体"/>
          <w:color w:val="auto"/>
          <w:sz w:val="24"/>
          <w:szCs w:val="24"/>
          <w:highlight w:val="none"/>
        </w:rPr>
        <w:t xml:space="preserve">  法定代表人或授权代表签字：</w:t>
      </w:r>
    </w:p>
    <w:p>
      <w:pPr>
        <w:spacing w:line="360" w:lineRule="auto"/>
        <w:ind w:firstLine="873" w:firstLineChars="364"/>
        <w:jc w:val="left"/>
        <w:rPr>
          <w:rFonts w:ascii="宋体" w:hAnsi="宋体"/>
          <w:color w:val="auto"/>
          <w:sz w:val="24"/>
          <w:szCs w:val="24"/>
          <w:highlight w:val="none"/>
        </w:rPr>
      </w:pPr>
      <w:r>
        <w:rPr>
          <w:rFonts w:hint="eastAsia" w:ascii="宋体" w:hAnsi="宋体"/>
          <w:color w:val="auto"/>
          <w:sz w:val="24"/>
          <w:szCs w:val="24"/>
          <w:highlight w:val="none"/>
        </w:rPr>
        <w:t>日期：______年______月______日</w:t>
      </w: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color w:val="auto"/>
          <w:sz w:val="28"/>
          <w:szCs w:val="28"/>
          <w:highlight w:val="none"/>
        </w:rPr>
      </w:pPr>
    </w:p>
    <w:p>
      <w:pPr>
        <w:jc w:val="center"/>
        <w:rPr>
          <w:rFonts w:ascii="宋体" w:hAnsi="宋体"/>
          <w:b/>
          <w:color w:val="auto"/>
          <w:sz w:val="30"/>
          <w:szCs w:val="30"/>
          <w:highlight w:val="none"/>
        </w:rPr>
      </w:pPr>
      <w:r>
        <w:rPr>
          <w:rFonts w:hint="eastAsia" w:ascii="宋体" w:hAnsi="宋体"/>
          <w:color w:val="auto"/>
          <w:sz w:val="28"/>
          <w:szCs w:val="28"/>
          <w:highlight w:val="none"/>
        </w:rPr>
        <w:t>5.9</w:t>
      </w:r>
      <w:r>
        <w:rPr>
          <w:rFonts w:hint="eastAsia" w:ascii="宋体" w:hAnsi="宋体"/>
          <w:b/>
          <w:color w:val="auto"/>
          <w:sz w:val="30"/>
          <w:szCs w:val="30"/>
          <w:highlight w:val="none"/>
        </w:rPr>
        <w:t>投标人符合《政府采购法》第二十二条规定条件的声明函</w:t>
      </w:r>
    </w:p>
    <w:p>
      <w:pPr>
        <w:spacing w:line="460" w:lineRule="exact"/>
        <w:rPr>
          <w:rFonts w:ascii="宋体" w:hAnsi="宋体"/>
          <w:b/>
          <w:bCs/>
          <w:color w:val="auto"/>
          <w:sz w:val="44"/>
          <w:szCs w:val="44"/>
          <w:highlight w:val="none"/>
        </w:rPr>
      </w:pPr>
    </w:p>
    <w:p>
      <w:pPr>
        <w:spacing w:line="520" w:lineRule="exact"/>
        <w:ind w:firstLine="480" w:firstLineChars="200"/>
        <w:rPr>
          <w:rFonts w:ascii="宋体" w:hAnsi="宋体"/>
          <w:b/>
          <w:bCs/>
          <w:color w:val="auto"/>
          <w:sz w:val="24"/>
          <w:highlight w:val="none"/>
        </w:rPr>
      </w:pPr>
      <w:r>
        <w:rPr>
          <w:rFonts w:hint="eastAsia" w:ascii="宋体" w:hAnsi="宋体"/>
          <w:bCs/>
          <w:color w:val="auto"/>
          <w:sz w:val="24"/>
          <w:highlight w:val="none"/>
        </w:rPr>
        <w:t>我单位参加</w:t>
      </w:r>
      <w:r>
        <w:rPr>
          <w:rFonts w:hint="eastAsia" w:ascii="宋体" w:hAnsi="宋体"/>
          <w:bCs/>
          <w:color w:val="auto"/>
          <w:sz w:val="24"/>
          <w:szCs w:val="21"/>
          <w:highlight w:val="none"/>
          <w:u w:val="single"/>
        </w:rPr>
        <w:t>________________ _</w:t>
      </w:r>
      <w:r>
        <w:rPr>
          <w:rFonts w:hint="eastAsia" w:ascii="宋体" w:hAnsi="宋体"/>
          <w:bCs/>
          <w:color w:val="auto"/>
          <w:sz w:val="24"/>
          <w:szCs w:val="21"/>
          <w:highlight w:val="none"/>
        </w:rPr>
        <w:t>（项目名称）投标活动。针对《中华人民共和国政府采购法》第二十二条规定做出如下声明：</w:t>
      </w:r>
    </w:p>
    <w:p>
      <w:pPr>
        <w:spacing w:line="520" w:lineRule="exact"/>
        <w:ind w:firstLine="482"/>
        <w:rPr>
          <w:rFonts w:ascii="宋体" w:hAnsi="宋体"/>
          <w:color w:val="auto"/>
          <w:sz w:val="24"/>
          <w:highlight w:val="none"/>
        </w:rPr>
      </w:pPr>
      <w:r>
        <w:rPr>
          <w:rFonts w:hint="eastAsia" w:ascii="宋体" w:hAnsi="宋体"/>
          <w:bCs/>
          <w:color w:val="auto"/>
          <w:sz w:val="24"/>
          <w:szCs w:val="21"/>
          <w:highlight w:val="none"/>
        </w:rPr>
        <w:t>1.我单位具有独立承担民事责任的能力；</w:t>
      </w:r>
    </w:p>
    <w:p>
      <w:pPr>
        <w:spacing w:line="520" w:lineRule="exact"/>
        <w:ind w:firstLine="482"/>
        <w:rPr>
          <w:rFonts w:ascii="宋体" w:hAnsi="宋体"/>
          <w:color w:val="auto"/>
          <w:sz w:val="24"/>
          <w:highlight w:val="none"/>
        </w:rPr>
      </w:pPr>
      <w:r>
        <w:rPr>
          <w:rFonts w:hint="eastAsia" w:ascii="宋体" w:hAnsi="宋体"/>
          <w:color w:val="auto"/>
          <w:sz w:val="24"/>
          <w:highlight w:val="none"/>
        </w:rPr>
        <w:t>2.我单位具有良好的商业信誉和健全的财务会计制度；</w:t>
      </w:r>
    </w:p>
    <w:p>
      <w:pPr>
        <w:spacing w:line="520" w:lineRule="exact"/>
        <w:ind w:firstLine="482"/>
        <w:rPr>
          <w:rFonts w:ascii="宋体" w:hAnsi="宋体"/>
          <w:color w:val="auto"/>
          <w:sz w:val="24"/>
          <w:highlight w:val="none"/>
        </w:rPr>
      </w:pPr>
      <w:r>
        <w:rPr>
          <w:rFonts w:hint="eastAsia" w:ascii="宋体" w:hAnsi="宋体"/>
          <w:color w:val="auto"/>
          <w:sz w:val="24"/>
          <w:highlight w:val="none"/>
        </w:rPr>
        <w:t>3.我单位具有履行合同所必需的设备和专业技术能力；</w:t>
      </w:r>
    </w:p>
    <w:p>
      <w:pPr>
        <w:spacing w:line="520" w:lineRule="exact"/>
        <w:ind w:firstLine="482"/>
        <w:rPr>
          <w:rFonts w:ascii="宋体" w:hAnsi="宋体"/>
          <w:color w:val="auto"/>
          <w:sz w:val="24"/>
          <w:highlight w:val="none"/>
        </w:rPr>
      </w:pPr>
      <w:r>
        <w:rPr>
          <w:rFonts w:hint="eastAsia" w:ascii="宋体" w:hAnsi="宋体"/>
          <w:color w:val="auto"/>
          <w:sz w:val="24"/>
          <w:highlight w:val="none"/>
        </w:rPr>
        <w:t>4.我单位有依法缴纳税收和社会保障资金的良好记录；</w:t>
      </w:r>
    </w:p>
    <w:p>
      <w:pPr>
        <w:spacing w:line="520" w:lineRule="exact"/>
        <w:ind w:firstLine="482"/>
        <w:rPr>
          <w:rFonts w:ascii="宋体" w:hAnsi="宋体"/>
          <w:color w:val="auto"/>
          <w:sz w:val="24"/>
          <w:highlight w:val="none"/>
        </w:rPr>
      </w:pPr>
      <w:r>
        <w:rPr>
          <w:rFonts w:hint="eastAsia" w:ascii="宋体" w:hAnsi="宋体"/>
          <w:color w:val="auto"/>
          <w:sz w:val="24"/>
          <w:highlight w:val="none"/>
        </w:rPr>
        <w:t>5.我单位参加政府采购活动前三年内，在经营活动中没有重大违法记录；（1.供应商在参加政府采购活动前三年内因违法经营被禁止在一定期限内参加政府采购活动，期限届满的，可以参加政府采购活动。2.《中华人民共和国政府采购法实施条例》第十九条第一款规定的“较大数额罚款”认定为200万元以上的罚款，法律、行政法规以及国务院有关部门明确规定相关领域“较大数额罚款”标准高于200万元的，从其规定。）</w:t>
      </w:r>
    </w:p>
    <w:p>
      <w:pPr>
        <w:spacing w:line="520" w:lineRule="exact"/>
        <w:ind w:firstLine="482"/>
        <w:rPr>
          <w:rFonts w:ascii="宋体" w:hAnsi="宋体"/>
          <w:color w:val="auto"/>
          <w:sz w:val="24"/>
          <w:highlight w:val="none"/>
        </w:rPr>
      </w:pPr>
      <w:r>
        <w:rPr>
          <w:rFonts w:hint="eastAsia" w:ascii="宋体" w:hAnsi="宋体"/>
          <w:color w:val="auto"/>
          <w:sz w:val="24"/>
          <w:highlight w:val="none"/>
        </w:rPr>
        <w:t>6.我单位满足法律、行政法规规定的其他条件。</w:t>
      </w:r>
    </w:p>
    <w:p>
      <w:pPr>
        <w:spacing w:line="500" w:lineRule="exact"/>
        <w:ind w:firstLine="482"/>
        <w:rPr>
          <w:rFonts w:ascii="宋体" w:hAnsi="宋体"/>
          <w:color w:val="auto"/>
          <w:sz w:val="24"/>
          <w:highlight w:val="none"/>
        </w:rPr>
      </w:pPr>
    </w:p>
    <w:p>
      <w:pPr>
        <w:spacing w:line="500" w:lineRule="exact"/>
        <w:rPr>
          <w:rFonts w:ascii="宋体" w:hAnsi="宋体"/>
          <w:color w:val="auto"/>
          <w:sz w:val="24"/>
          <w:highlight w:val="none"/>
        </w:rPr>
      </w:pPr>
    </w:p>
    <w:p>
      <w:pPr>
        <w:spacing w:line="500" w:lineRule="exact"/>
        <w:rPr>
          <w:rFonts w:ascii="宋体" w:hAnsi="宋体"/>
          <w:bCs/>
          <w:color w:val="auto"/>
          <w:sz w:val="24"/>
          <w:szCs w:val="21"/>
          <w:highlight w:val="none"/>
        </w:rPr>
      </w:pPr>
    </w:p>
    <w:p>
      <w:pPr>
        <w:spacing w:line="500" w:lineRule="exact"/>
        <w:rPr>
          <w:rFonts w:ascii="宋体" w:hAnsi="宋体"/>
          <w:bCs/>
          <w:color w:val="auto"/>
          <w:sz w:val="24"/>
          <w:szCs w:val="21"/>
          <w:highlight w:val="none"/>
        </w:rPr>
      </w:pPr>
    </w:p>
    <w:p>
      <w:pPr>
        <w:spacing w:line="500" w:lineRule="exact"/>
        <w:rPr>
          <w:rFonts w:ascii="宋体" w:hAnsi="宋体"/>
          <w:bCs/>
          <w:color w:val="auto"/>
          <w:sz w:val="24"/>
          <w:szCs w:val="21"/>
          <w:highlight w:val="none"/>
        </w:rPr>
      </w:pPr>
    </w:p>
    <w:p>
      <w:pPr>
        <w:spacing w:line="460" w:lineRule="exact"/>
        <w:jc w:val="center"/>
        <w:rPr>
          <w:rFonts w:ascii="宋体" w:hAnsi="宋体"/>
          <w:bCs/>
          <w:color w:val="auto"/>
          <w:sz w:val="24"/>
          <w:szCs w:val="21"/>
          <w:highlight w:val="none"/>
        </w:rPr>
      </w:pPr>
      <w:r>
        <w:rPr>
          <w:rFonts w:hint="eastAsia" w:ascii="宋体" w:hAnsi="宋体"/>
          <w:bCs/>
          <w:color w:val="auto"/>
          <w:sz w:val="24"/>
          <w:szCs w:val="21"/>
          <w:highlight w:val="none"/>
        </w:rPr>
        <w:t xml:space="preserve">                                        承诺人名称（公章）：</w:t>
      </w:r>
    </w:p>
    <w:p>
      <w:pPr>
        <w:spacing w:line="460" w:lineRule="exact"/>
        <w:jc w:val="right"/>
        <w:rPr>
          <w:rFonts w:ascii="宋体" w:hAnsi="宋体"/>
          <w:bCs/>
          <w:color w:val="auto"/>
          <w:sz w:val="24"/>
          <w:szCs w:val="21"/>
          <w:highlight w:val="none"/>
        </w:rPr>
      </w:pPr>
    </w:p>
    <w:p>
      <w:pPr>
        <w:spacing w:line="460" w:lineRule="exact"/>
        <w:jc w:val="right"/>
        <w:rPr>
          <w:rFonts w:ascii="宋体" w:hAnsi="宋体"/>
          <w:bCs/>
          <w:color w:val="auto"/>
          <w:sz w:val="24"/>
          <w:szCs w:val="21"/>
          <w:highlight w:val="none"/>
        </w:rPr>
      </w:pPr>
      <w:r>
        <w:rPr>
          <w:rFonts w:hint="eastAsia" w:ascii="宋体" w:hAnsi="宋体"/>
          <w:bCs/>
          <w:color w:val="auto"/>
          <w:sz w:val="24"/>
          <w:szCs w:val="21"/>
          <w:highlight w:val="none"/>
        </w:rPr>
        <w:t xml:space="preserve">                                 日期：</w:t>
      </w:r>
      <w:r>
        <w:rPr>
          <w:rFonts w:hint="eastAsia" w:ascii="宋体" w:hAnsi="宋体"/>
          <w:bCs/>
          <w:color w:val="auto"/>
          <w:sz w:val="24"/>
          <w:szCs w:val="21"/>
          <w:highlight w:val="none"/>
          <w:u w:val="single"/>
        </w:rPr>
        <w:t>______</w:t>
      </w:r>
      <w:r>
        <w:rPr>
          <w:rFonts w:hint="eastAsia" w:ascii="宋体" w:hAnsi="宋体"/>
          <w:bCs/>
          <w:color w:val="auto"/>
          <w:sz w:val="24"/>
          <w:szCs w:val="21"/>
          <w:highlight w:val="none"/>
        </w:rPr>
        <w:t>年</w:t>
      </w:r>
      <w:r>
        <w:rPr>
          <w:rFonts w:hint="eastAsia" w:ascii="宋体" w:hAnsi="宋体"/>
          <w:bCs/>
          <w:color w:val="auto"/>
          <w:sz w:val="24"/>
          <w:szCs w:val="21"/>
          <w:highlight w:val="none"/>
          <w:u w:val="single"/>
        </w:rPr>
        <w:t xml:space="preserve">   </w:t>
      </w:r>
      <w:r>
        <w:rPr>
          <w:rFonts w:hint="eastAsia" w:ascii="宋体" w:hAnsi="宋体"/>
          <w:bCs/>
          <w:color w:val="auto"/>
          <w:sz w:val="24"/>
          <w:szCs w:val="21"/>
          <w:highlight w:val="none"/>
        </w:rPr>
        <w:t>月</w:t>
      </w:r>
      <w:r>
        <w:rPr>
          <w:rFonts w:hint="eastAsia" w:ascii="宋体" w:hAnsi="宋体"/>
          <w:bCs/>
          <w:color w:val="auto"/>
          <w:sz w:val="24"/>
          <w:szCs w:val="21"/>
          <w:highlight w:val="none"/>
          <w:u w:val="single"/>
        </w:rPr>
        <w:t xml:space="preserve">   </w:t>
      </w:r>
      <w:r>
        <w:rPr>
          <w:rFonts w:hint="eastAsia" w:ascii="宋体" w:hAnsi="宋体"/>
          <w:bCs/>
          <w:color w:val="auto"/>
          <w:sz w:val="24"/>
          <w:szCs w:val="21"/>
          <w:highlight w:val="none"/>
        </w:rPr>
        <w:t>日</w:t>
      </w:r>
    </w:p>
    <w:p>
      <w:pPr>
        <w:pStyle w:val="16"/>
        <w:spacing w:line="700" w:lineRule="exact"/>
        <w:ind w:firstLine="720"/>
        <w:jc w:val="center"/>
        <w:rPr>
          <w:rFonts w:hAnsi="宋体"/>
          <w:color w:val="auto"/>
          <w:sz w:val="24"/>
          <w:szCs w:val="24"/>
          <w:highlight w:val="none"/>
        </w:rPr>
      </w:pPr>
    </w:p>
    <w:p>
      <w:pPr>
        <w:pStyle w:val="16"/>
        <w:spacing w:line="700" w:lineRule="exact"/>
        <w:ind w:firstLine="720"/>
        <w:jc w:val="center"/>
        <w:rPr>
          <w:rFonts w:hAnsi="宋体"/>
          <w:color w:val="auto"/>
          <w:sz w:val="24"/>
          <w:szCs w:val="24"/>
          <w:highlight w:val="none"/>
        </w:rPr>
      </w:pPr>
    </w:p>
    <w:p>
      <w:pPr>
        <w:pStyle w:val="16"/>
        <w:spacing w:line="700" w:lineRule="exact"/>
        <w:ind w:firstLine="720"/>
        <w:jc w:val="center"/>
        <w:rPr>
          <w:rFonts w:hAnsi="宋体"/>
          <w:color w:val="auto"/>
          <w:sz w:val="24"/>
          <w:szCs w:val="24"/>
          <w:highlight w:val="none"/>
        </w:rPr>
      </w:pPr>
    </w:p>
    <w:p>
      <w:pPr>
        <w:spacing w:line="360" w:lineRule="auto"/>
        <w:ind w:right="-197" w:rightChars="-94"/>
        <w:rPr>
          <w:rFonts w:ascii="宋体" w:hAnsi="宋体"/>
          <w:b/>
          <w:color w:val="auto"/>
          <w:sz w:val="32"/>
          <w:szCs w:val="32"/>
          <w:highlight w:val="none"/>
        </w:rPr>
      </w:pPr>
      <w:r>
        <w:rPr>
          <w:rFonts w:hint="eastAsia" w:ascii="宋体" w:hAnsi="宋体"/>
          <w:b/>
          <w:color w:val="auto"/>
          <w:sz w:val="32"/>
          <w:szCs w:val="32"/>
          <w:highlight w:val="none"/>
        </w:rPr>
        <w:t>5.10具备履行合同所必需的设备和专业技术能力的书面声明</w:t>
      </w:r>
    </w:p>
    <w:p>
      <w:pPr>
        <w:spacing w:line="360" w:lineRule="auto"/>
        <w:ind w:firstLine="641"/>
        <w:jc w:val="center"/>
        <w:rPr>
          <w:rFonts w:ascii="宋体" w:hAnsi="宋体"/>
          <w:b/>
          <w:color w:val="auto"/>
          <w:sz w:val="32"/>
          <w:szCs w:val="32"/>
          <w:highlight w:val="none"/>
        </w:rPr>
      </w:pPr>
    </w:p>
    <w:p>
      <w:pPr>
        <w:spacing w:line="360" w:lineRule="auto"/>
        <w:ind w:right="-197" w:rightChars="-94" w:firstLine="641"/>
        <w:jc w:val="left"/>
        <w:rPr>
          <w:rFonts w:ascii="宋体" w:hAnsi="宋体"/>
          <w:b/>
          <w:color w:val="auto"/>
          <w:sz w:val="24"/>
          <w:szCs w:val="24"/>
          <w:highlight w:val="none"/>
        </w:rPr>
      </w:pPr>
      <w:r>
        <w:rPr>
          <w:rFonts w:hint="eastAsia" w:ascii="宋体" w:hAnsi="宋体"/>
          <w:b/>
          <w:color w:val="auto"/>
          <w:sz w:val="24"/>
          <w:szCs w:val="24"/>
          <w:highlight w:val="none"/>
        </w:rPr>
        <w:t>我单位郑重声明：我单位具备履行本项采购合同所必需的设备和专业技术能力，为履行本项采购合同我公司具备如下主要设备和主要专业技术能力（自行填写）：</w:t>
      </w:r>
    </w:p>
    <w:p>
      <w:pPr>
        <w:spacing w:line="360" w:lineRule="auto"/>
        <w:ind w:firstLine="641"/>
        <w:jc w:val="left"/>
        <w:rPr>
          <w:rFonts w:ascii="宋体" w:hAnsi="宋体"/>
          <w:b/>
          <w:color w:val="auto"/>
          <w:sz w:val="24"/>
          <w:szCs w:val="24"/>
          <w:highlight w:val="none"/>
        </w:rPr>
      </w:pPr>
      <w:r>
        <w:rPr>
          <w:rFonts w:hint="eastAsia" w:ascii="宋体" w:hAnsi="宋体"/>
          <w:b/>
          <w:color w:val="auto"/>
          <w:sz w:val="24"/>
          <w:szCs w:val="24"/>
          <w:highlight w:val="none"/>
        </w:rPr>
        <w:t>主要设备有：</w:t>
      </w:r>
      <w:r>
        <w:rPr>
          <w:rFonts w:hint="eastAsia" w:ascii="宋体" w:hAnsi="宋体"/>
          <w:b/>
          <w:color w:val="auto"/>
          <w:sz w:val="24"/>
          <w:szCs w:val="24"/>
          <w:highlight w:val="none"/>
          <w:u w:val="single"/>
        </w:rPr>
        <w:t xml:space="preserve">                                       </w:t>
      </w:r>
      <w:r>
        <w:rPr>
          <w:rFonts w:hint="eastAsia" w:ascii="宋体" w:hAnsi="宋体"/>
          <w:b/>
          <w:color w:val="auto"/>
          <w:sz w:val="24"/>
          <w:szCs w:val="24"/>
          <w:highlight w:val="none"/>
        </w:rPr>
        <w:t>。</w:t>
      </w:r>
    </w:p>
    <w:p>
      <w:pPr>
        <w:spacing w:line="360" w:lineRule="auto"/>
        <w:ind w:firstLine="641"/>
        <w:jc w:val="left"/>
        <w:rPr>
          <w:rFonts w:ascii="宋体" w:hAnsi="宋体"/>
          <w:b/>
          <w:color w:val="auto"/>
          <w:sz w:val="24"/>
          <w:szCs w:val="24"/>
          <w:highlight w:val="none"/>
        </w:rPr>
      </w:pPr>
      <w:r>
        <w:rPr>
          <w:rFonts w:hint="eastAsia" w:ascii="宋体" w:hAnsi="宋体"/>
          <w:b/>
          <w:color w:val="auto"/>
          <w:sz w:val="24"/>
          <w:szCs w:val="24"/>
          <w:highlight w:val="none"/>
        </w:rPr>
        <w:t xml:space="preserve">主要专业技术能力有： </w:t>
      </w:r>
      <w:r>
        <w:rPr>
          <w:rFonts w:hint="eastAsia" w:ascii="宋体" w:hAnsi="宋体"/>
          <w:b/>
          <w:color w:val="auto"/>
          <w:sz w:val="24"/>
          <w:szCs w:val="24"/>
          <w:highlight w:val="none"/>
          <w:u w:val="single"/>
        </w:rPr>
        <w:t xml:space="preserve">                              </w:t>
      </w:r>
      <w:r>
        <w:rPr>
          <w:rFonts w:hint="eastAsia" w:ascii="宋体" w:hAnsi="宋体"/>
          <w:b/>
          <w:color w:val="auto"/>
          <w:sz w:val="24"/>
          <w:szCs w:val="24"/>
          <w:highlight w:val="none"/>
        </w:rPr>
        <w:t>。</w:t>
      </w: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p>
    <w:p>
      <w:pPr>
        <w:spacing w:line="360" w:lineRule="auto"/>
        <w:ind w:firstLine="641"/>
        <w:jc w:val="left"/>
        <w:rPr>
          <w:rFonts w:ascii="宋体" w:hAnsi="宋体"/>
          <w:b/>
          <w:color w:val="auto"/>
          <w:sz w:val="24"/>
          <w:szCs w:val="24"/>
          <w:highlight w:val="none"/>
        </w:rPr>
      </w:pPr>
      <w:r>
        <w:rPr>
          <w:rFonts w:hint="eastAsia" w:ascii="宋体" w:hAnsi="宋体"/>
          <w:b/>
          <w:color w:val="auto"/>
          <w:sz w:val="24"/>
          <w:szCs w:val="24"/>
          <w:highlight w:val="none"/>
        </w:rPr>
        <w:t xml:space="preserve">                                 投标人全称（盖章）：</w:t>
      </w:r>
    </w:p>
    <w:p>
      <w:pPr>
        <w:spacing w:line="360" w:lineRule="auto"/>
        <w:ind w:firstLine="641"/>
        <w:jc w:val="left"/>
        <w:rPr>
          <w:rFonts w:ascii="宋体" w:hAnsi="宋体"/>
          <w:b/>
          <w:color w:val="auto"/>
          <w:sz w:val="24"/>
          <w:szCs w:val="24"/>
          <w:highlight w:val="none"/>
        </w:rPr>
      </w:pPr>
      <w:r>
        <w:rPr>
          <w:rFonts w:hint="eastAsia" w:ascii="宋体" w:hAnsi="宋体"/>
          <w:b/>
          <w:color w:val="auto"/>
          <w:sz w:val="24"/>
          <w:szCs w:val="24"/>
          <w:highlight w:val="none"/>
        </w:rPr>
        <w:t xml:space="preserve">                                 法定代表人或授权代表签字：</w:t>
      </w:r>
    </w:p>
    <w:p>
      <w:pPr>
        <w:spacing w:line="360" w:lineRule="auto"/>
        <w:ind w:firstLine="641"/>
        <w:jc w:val="left"/>
        <w:rPr>
          <w:rFonts w:ascii="宋体" w:hAnsi="宋体"/>
          <w:b/>
          <w:color w:val="auto"/>
          <w:sz w:val="24"/>
          <w:szCs w:val="24"/>
          <w:highlight w:val="none"/>
        </w:rPr>
      </w:pPr>
      <w:r>
        <w:rPr>
          <w:rFonts w:hint="eastAsia" w:ascii="宋体" w:hAnsi="宋体"/>
          <w:b/>
          <w:color w:val="auto"/>
          <w:sz w:val="24"/>
          <w:szCs w:val="24"/>
          <w:highlight w:val="none"/>
        </w:rPr>
        <w:t xml:space="preserve">                                 日期：______年______月______日</w:t>
      </w:r>
    </w:p>
    <w:p>
      <w:pPr>
        <w:spacing w:line="360" w:lineRule="auto"/>
        <w:ind w:firstLine="641"/>
        <w:jc w:val="left"/>
        <w:rPr>
          <w:rFonts w:ascii="宋体" w:hAnsi="宋体"/>
          <w:b/>
          <w:color w:val="auto"/>
          <w:sz w:val="24"/>
          <w:szCs w:val="24"/>
          <w:highlight w:val="none"/>
        </w:rPr>
      </w:pPr>
    </w:p>
    <w:p>
      <w:pPr>
        <w:adjustRightInd w:val="0"/>
        <w:snapToGrid w:val="0"/>
        <w:rPr>
          <w:rFonts w:ascii="宋体" w:hAnsi="宋体"/>
          <w:b/>
          <w:bCs/>
          <w:color w:val="auto"/>
          <w:sz w:val="24"/>
          <w:szCs w:val="24"/>
          <w:highlight w:val="none"/>
        </w:rPr>
      </w:pPr>
    </w:p>
    <w:p>
      <w:pPr>
        <w:adjustRightInd w:val="0"/>
        <w:snapToGrid w:val="0"/>
        <w:rPr>
          <w:rFonts w:ascii="宋体" w:hAnsi="宋体"/>
          <w:b/>
          <w:bCs/>
          <w:color w:val="auto"/>
          <w:sz w:val="24"/>
          <w:szCs w:val="24"/>
          <w:highlight w:val="none"/>
        </w:rPr>
      </w:pPr>
    </w:p>
    <w:p>
      <w:pPr>
        <w:adjustRightInd w:val="0"/>
        <w:snapToGrid w:val="0"/>
        <w:rPr>
          <w:rFonts w:ascii="宋体" w:hAnsi="宋体"/>
          <w:b/>
          <w:bCs/>
          <w:color w:val="auto"/>
          <w:sz w:val="24"/>
          <w:szCs w:val="24"/>
          <w:highlight w:val="none"/>
        </w:rPr>
      </w:pPr>
    </w:p>
    <w:p>
      <w:pPr>
        <w:adjustRightInd w:val="0"/>
        <w:snapToGrid w:val="0"/>
        <w:rPr>
          <w:rFonts w:ascii="宋体" w:hAnsi="宋体"/>
          <w:b/>
          <w:bCs/>
          <w:color w:val="auto"/>
          <w:sz w:val="24"/>
          <w:szCs w:val="24"/>
          <w:highlight w:val="none"/>
        </w:rPr>
      </w:pPr>
    </w:p>
    <w:p>
      <w:pPr>
        <w:adjustRightInd w:val="0"/>
        <w:snapToGrid w:val="0"/>
        <w:rPr>
          <w:rFonts w:ascii="宋体" w:hAnsi="宋体"/>
          <w:b/>
          <w:bCs/>
          <w:color w:val="auto"/>
          <w:sz w:val="24"/>
          <w:szCs w:val="24"/>
          <w:highlight w:val="none"/>
        </w:rPr>
      </w:pPr>
    </w:p>
    <w:p>
      <w:pPr>
        <w:pStyle w:val="3"/>
        <w:ind w:firstLine="3373" w:firstLineChars="1200"/>
        <w:jc w:val="both"/>
        <w:rPr>
          <w:rFonts w:ascii="宋体" w:hAnsi="宋体" w:eastAsia="宋体"/>
          <w:b/>
          <w:color w:val="auto"/>
          <w:highlight w:val="none"/>
        </w:rPr>
      </w:pPr>
    </w:p>
    <w:p>
      <w:pPr>
        <w:pStyle w:val="3"/>
        <w:jc w:val="both"/>
        <w:rPr>
          <w:rFonts w:ascii="宋体" w:hAnsi="宋体" w:eastAsia="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adjustRightInd w:val="0"/>
        <w:spacing w:line="500" w:lineRule="exact"/>
        <w:ind w:left="-2" w:right="120" w:firstLine="1928" w:firstLineChars="600"/>
        <w:textAlignment w:val="baseline"/>
        <w:rPr>
          <w:rFonts w:ascii="宋体"/>
          <w:color w:val="auto"/>
          <w:sz w:val="24"/>
          <w:szCs w:val="24"/>
          <w:highlight w:val="none"/>
        </w:rPr>
      </w:pPr>
      <w:r>
        <w:rPr>
          <w:rFonts w:hint="eastAsia" w:ascii="宋体" w:hAnsi="宋体"/>
          <w:b/>
          <w:color w:val="auto"/>
          <w:sz w:val="32"/>
          <w:szCs w:val="32"/>
          <w:highlight w:val="none"/>
        </w:rPr>
        <w:t>5.11公共资源交易投标信用承诺书</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为营造公开、公平、公正的公共资源交易环境，树立诚信守法的投标人形象，本人代表本单位作出以下承诺</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一、本单位对所提交的单位基本信息、单位负责人、项目负责人、技术负责人、从业资质和资格、业绩、财务状况、信誉等所有资料，均合法、真实、准确、有效，无任何伪造、修改、虚假成分</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二、严格依照国家和省、市、县关于招标投标等方面的法律、法规、规章、规范性文件，参加公共资源交易招标投标活动</w:t>
      </w:r>
      <w:r>
        <w:rPr>
          <w:rFonts w:ascii="宋体" w:hAnsi="宋体"/>
          <w:color w:val="auto"/>
          <w:sz w:val="24"/>
          <w:szCs w:val="24"/>
          <w:highlight w:val="none"/>
        </w:rPr>
        <w:t>;</w:t>
      </w:r>
      <w:r>
        <w:rPr>
          <w:rFonts w:hint="eastAsia" w:ascii="宋体" w:hAnsi="宋体"/>
          <w:color w:val="auto"/>
          <w:sz w:val="24"/>
          <w:szCs w:val="24"/>
          <w:highlight w:val="none"/>
        </w:rPr>
        <w:t>积极履行社会责任，促进廉政建设</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三、严格遵守即时信息公示规定，及时更新公共资源交易中心主体信息库中信息</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四、自我约束、自我管理，守合同、重信用，不参与围标串标、弄虚作假、骗取中标、干扰评标、违约毁约、恶意投诉等行为，主动维护公共资源交易招标投标的良好秩序</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五、本单位自愿接受招标投标有关行政监督部门的依法检查。如发生违法违规或不良行为或存在其他法律法规对招标投标行为予以限制的情形，自愿接受招标投标有关行政监督部门依法给予的行政处罚</w:t>
      </w:r>
      <w:r>
        <w:rPr>
          <w:rFonts w:ascii="宋体" w:hAnsi="宋体"/>
          <w:color w:val="auto"/>
          <w:sz w:val="24"/>
          <w:szCs w:val="24"/>
          <w:highlight w:val="none"/>
        </w:rPr>
        <w:t>(</w:t>
      </w:r>
      <w:r>
        <w:rPr>
          <w:rFonts w:hint="eastAsia" w:ascii="宋体" w:hAnsi="宋体"/>
          <w:color w:val="auto"/>
          <w:sz w:val="24"/>
          <w:szCs w:val="24"/>
          <w:highlight w:val="none"/>
        </w:rPr>
        <w:t>处理</w:t>
      </w:r>
      <w:r>
        <w:rPr>
          <w:rFonts w:ascii="宋体" w:hAnsi="宋体"/>
          <w:color w:val="auto"/>
          <w:sz w:val="24"/>
          <w:szCs w:val="24"/>
          <w:highlight w:val="none"/>
        </w:rPr>
        <w:t>)</w:t>
      </w:r>
      <w:r>
        <w:rPr>
          <w:rFonts w:hint="eastAsia" w:ascii="宋体" w:hAnsi="宋体"/>
          <w:color w:val="auto"/>
          <w:sz w:val="24"/>
          <w:szCs w:val="24"/>
          <w:highlight w:val="none"/>
        </w:rPr>
        <w:t>，并依法承担相应的法律责任</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六、自觉接受政府部门、行业组织、社会公众、新闻舆论等监督</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七、上述承诺已向本单位员工作了宣传教育</w:t>
      </w:r>
      <w:r>
        <w:rPr>
          <w:rFonts w:ascii="宋体" w:hAnsi="宋体"/>
          <w:color w:val="auto"/>
          <w:sz w:val="24"/>
          <w:szCs w:val="24"/>
          <w:highlight w:val="none"/>
        </w:rPr>
        <w:t>;</w:t>
      </w: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本单位同意将以上承诺事项上网公示。</w:t>
      </w:r>
    </w:p>
    <w:p>
      <w:pPr>
        <w:adjustRightInd w:val="0"/>
        <w:spacing w:line="500" w:lineRule="exact"/>
        <w:ind w:right="120"/>
        <w:textAlignment w:val="baseline"/>
        <w:rPr>
          <w:rFonts w:ascii="宋体"/>
          <w:color w:val="auto"/>
          <w:sz w:val="24"/>
          <w:szCs w:val="24"/>
          <w:highlight w:val="none"/>
        </w:rPr>
      </w:pPr>
    </w:p>
    <w:p>
      <w:pPr>
        <w:adjustRightInd w:val="0"/>
        <w:spacing w:line="500" w:lineRule="exact"/>
        <w:ind w:left="-2" w:right="120" w:firstLine="480" w:firstLineChars="200"/>
        <w:textAlignment w:val="baseline"/>
        <w:rPr>
          <w:rFonts w:ascii="宋体"/>
          <w:color w:val="auto"/>
          <w:sz w:val="24"/>
          <w:szCs w:val="24"/>
          <w:highlight w:val="none"/>
        </w:rPr>
      </w:pPr>
      <w:r>
        <w:rPr>
          <w:rFonts w:hint="eastAsia" w:ascii="宋体" w:hAnsi="宋体"/>
          <w:color w:val="auto"/>
          <w:sz w:val="24"/>
          <w:szCs w:val="24"/>
          <w:highlight w:val="none"/>
        </w:rPr>
        <w:t>投标人全称（加盖公章）：</w:t>
      </w:r>
    </w:p>
    <w:p>
      <w:pPr>
        <w:spacing w:line="500" w:lineRule="exact"/>
        <w:ind w:firstLine="480" w:firstLineChars="200"/>
        <w:rPr>
          <w:rFonts w:ascii="宋体"/>
          <w:color w:val="auto"/>
          <w:sz w:val="24"/>
          <w:szCs w:val="24"/>
          <w:highlight w:val="none"/>
        </w:rPr>
      </w:pPr>
      <w:r>
        <w:rPr>
          <w:rFonts w:hint="eastAsia" w:ascii="宋体" w:hAnsi="宋体"/>
          <w:color w:val="auto"/>
          <w:sz w:val="24"/>
          <w:szCs w:val="24"/>
          <w:highlight w:val="none"/>
        </w:rPr>
        <w:t>法定代表人（签字或盖章）：</w:t>
      </w:r>
    </w:p>
    <w:p>
      <w:pPr>
        <w:spacing w:line="500" w:lineRule="exact"/>
        <w:ind w:firstLine="641"/>
        <w:jc w:val="center"/>
        <w:rPr>
          <w:rFonts w:ascii="宋体" w:hAnsi="宋体"/>
          <w:b/>
          <w:color w:val="auto"/>
          <w:sz w:val="32"/>
          <w:szCs w:val="32"/>
          <w:highlight w:val="none"/>
        </w:rPr>
      </w:pPr>
      <w:r>
        <w:rPr>
          <w:rFonts w:hint="eastAsia" w:ascii="宋体" w:hAnsi="宋体"/>
          <w:color w:val="auto"/>
          <w:sz w:val="24"/>
          <w:szCs w:val="24"/>
          <w:highlight w:val="none"/>
        </w:rPr>
        <w:t>时间</w:t>
      </w:r>
      <w:r>
        <w:rPr>
          <w:rFonts w:ascii="宋体" w:hAnsi="宋体"/>
          <w:color w:val="auto"/>
          <w:sz w:val="24"/>
          <w:szCs w:val="24"/>
          <w:highlight w:val="none"/>
        </w:rPr>
        <w:t xml:space="preserve">:   </w:t>
      </w:r>
      <w:r>
        <w:rPr>
          <w:rFonts w:hint="eastAsia" w:ascii="宋体" w:hAnsi="宋体"/>
          <w:color w:val="auto"/>
          <w:sz w:val="24"/>
          <w:szCs w:val="24"/>
          <w:highlight w:val="none"/>
        </w:rPr>
        <w:t>年   月    日</w:t>
      </w:r>
    </w:p>
    <w:p>
      <w:pPr>
        <w:snapToGrid w:val="0"/>
        <w:spacing w:line="360" w:lineRule="auto"/>
        <w:ind w:firstLine="643" w:firstLineChars="200"/>
        <w:outlineLvl w:val="0"/>
        <w:rPr>
          <w:rFonts w:ascii="宋体" w:hAnsi="宋体"/>
          <w:b/>
          <w:color w:val="auto"/>
          <w:sz w:val="32"/>
          <w:szCs w:val="32"/>
          <w:highlight w:val="none"/>
        </w:rPr>
      </w:pPr>
    </w:p>
    <w:p>
      <w:pPr>
        <w:snapToGrid w:val="0"/>
        <w:spacing w:line="360" w:lineRule="auto"/>
        <w:outlineLvl w:val="0"/>
        <w:rPr>
          <w:rFonts w:ascii="宋体" w:hAnsi="宋体"/>
          <w:b/>
          <w:color w:val="auto"/>
          <w:sz w:val="32"/>
          <w:szCs w:val="32"/>
          <w:highlight w:val="none"/>
        </w:rPr>
      </w:pPr>
    </w:p>
    <w:p>
      <w:pPr>
        <w:snapToGrid w:val="0"/>
        <w:spacing w:line="300" w:lineRule="auto"/>
        <w:jc w:val="center"/>
        <w:outlineLvl w:val="0"/>
        <w:rPr>
          <w:b/>
          <w:bCs/>
          <w:color w:val="auto"/>
          <w:sz w:val="28"/>
          <w:szCs w:val="28"/>
          <w:highlight w:val="none"/>
          <w:lang w:bidi="zh-CN"/>
        </w:rPr>
      </w:pPr>
      <w:r>
        <w:rPr>
          <w:rFonts w:hint="eastAsia" w:ascii="宋体" w:hAnsi="宋体"/>
          <w:b/>
          <w:color w:val="auto"/>
          <w:sz w:val="32"/>
          <w:szCs w:val="32"/>
          <w:highlight w:val="none"/>
        </w:rPr>
        <w:t>5.12</w:t>
      </w:r>
      <w:r>
        <w:rPr>
          <w:b/>
          <w:bCs/>
          <w:color w:val="auto"/>
          <w:sz w:val="28"/>
          <w:szCs w:val="28"/>
          <w:highlight w:val="none"/>
          <w:lang w:bidi="zh-CN"/>
        </w:rPr>
        <w:t>中小企业声明函（服务）</w:t>
      </w:r>
    </w:p>
    <w:p>
      <w:pPr>
        <w:snapToGrid w:val="0"/>
        <w:spacing w:line="360" w:lineRule="auto"/>
        <w:ind w:firstLine="560" w:firstLineChars="200"/>
        <w:outlineLvl w:val="0"/>
        <w:rPr>
          <w:color w:val="auto"/>
          <w:sz w:val="28"/>
          <w:szCs w:val="28"/>
          <w:highlight w:val="none"/>
          <w:lang w:bidi="zh-CN"/>
        </w:rPr>
      </w:pPr>
      <w:r>
        <w:rPr>
          <w:color w:val="auto"/>
          <w:sz w:val="28"/>
          <w:szCs w:val="28"/>
          <w:highlight w:val="none"/>
          <w:lang w:bidi="zh-CN"/>
        </w:rPr>
        <w:t>本公司（联合体）郑重声明，根据《政府采购促进中小企业发展管理办法》（财库</w:t>
      </w:r>
      <w:r>
        <w:rPr>
          <w:rFonts w:hint="eastAsia"/>
          <w:color w:val="auto"/>
          <w:sz w:val="28"/>
          <w:szCs w:val="28"/>
          <w:highlight w:val="none"/>
          <w:lang w:bidi="zh-CN"/>
        </w:rPr>
        <w:t>﹝</w:t>
      </w:r>
      <w:r>
        <w:rPr>
          <w:color w:val="auto"/>
          <w:sz w:val="28"/>
          <w:szCs w:val="28"/>
          <w:highlight w:val="none"/>
          <w:lang w:bidi="zh-CN"/>
        </w:rPr>
        <w:t>2020</w:t>
      </w:r>
      <w:r>
        <w:rPr>
          <w:rFonts w:hint="eastAsia"/>
          <w:color w:val="auto"/>
          <w:sz w:val="28"/>
          <w:szCs w:val="28"/>
          <w:highlight w:val="none"/>
          <w:lang w:bidi="zh-CN"/>
        </w:rPr>
        <w:t>﹞</w:t>
      </w:r>
      <w:r>
        <w:rPr>
          <w:color w:val="auto"/>
          <w:sz w:val="28"/>
          <w:szCs w:val="28"/>
          <w:highlight w:val="none"/>
          <w:lang w:bidi="zh-CN"/>
        </w:rPr>
        <w:t>46 号）的规定，本公司（联合体）参加</w:t>
      </w:r>
      <w:r>
        <w:rPr>
          <w:color w:val="auto"/>
          <w:sz w:val="28"/>
          <w:szCs w:val="28"/>
          <w:highlight w:val="none"/>
          <w:u w:val="single"/>
          <w:lang w:bidi="zh-CN"/>
        </w:rPr>
        <w:t>（单位名称）</w:t>
      </w:r>
      <w:r>
        <w:rPr>
          <w:color w:val="auto"/>
          <w:sz w:val="28"/>
          <w:szCs w:val="28"/>
          <w:highlight w:val="none"/>
          <w:lang w:bidi="zh-CN"/>
        </w:rPr>
        <w:t>的</w:t>
      </w:r>
      <w:r>
        <w:rPr>
          <w:color w:val="auto"/>
          <w:sz w:val="28"/>
          <w:szCs w:val="28"/>
          <w:highlight w:val="none"/>
          <w:u w:val="single"/>
          <w:lang w:bidi="zh-CN"/>
        </w:rPr>
        <w:t>（项目名称）</w:t>
      </w:r>
      <w:r>
        <w:rPr>
          <w:color w:val="auto"/>
          <w:sz w:val="28"/>
          <w:szCs w:val="28"/>
          <w:highlight w:val="none"/>
          <w:lang w:bidi="zh-CN"/>
        </w:rPr>
        <w:t>采购活动，工程的施工单位全部为符合政策要求的中小企业（或者：服务全部由符合政策要求的中小企业承接）。相关企业（含联合体中的中小企业、签订分包意向协议的中小企业）的具体情况如下：</w:t>
      </w:r>
    </w:p>
    <w:p>
      <w:pPr>
        <w:snapToGrid w:val="0"/>
        <w:spacing w:line="360" w:lineRule="auto"/>
        <w:jc w:val="left"/>
        <w:outlineLvl w:val="0"/>
        <w:rPr>
          <w:color w:val="auto"/>
          <w:sz w:val="28"/>
          <w:szCs w:val="28"/>
          <w:highlight w:val="none"/>
          <w:lang w:bidi="zh-CN"/>
        </w:rPr>
      </w:pPr>
      <w:r>
        <w:rPr>
          <w:rFonts w:hint="eastAsia"/>
          <w:color w:val="auto"/>
          <w:sz w:val="28"/>
          <w:szCs w:val="28"/>
          <w:highlight w:val="none"/>
          <w:lang w:bidi="zh-CN"/>
        </w:rPr>
        <w:t>1.</w:t>
      </w:r>
      <w:r>
        <w:rPr>
          <w:color w:val="auto"/>
          <w:sz w:val="28"/>
          <w:szCs w:val="28"/>
          <w:highlight w:val="none"/>
          <w:u w:val="single"/>
          <w:lang w:bidi="zh-CN"/>
        </w:rPr>
        <w:t>（标的名称）</w:t>
      </w:r>
      <w:r>
        <w:rPr>
          <w:color w:val="auto"/>
          <w:sz w:val="28"/>
          <w:szCs w:val="28"/>
          <w:highlight w:val="none"/>
          <w:lang w:bidi="zh-CN"/>
        </w:rPr>
        <w:t>，属于</w:t>
      </w:r>
      <w:r>
        <w:rPr>
          <w:rFonts w:hint="eastAsia"/>
          <w:color w:val="auto"/>
          <w:sz w:val="28"/>
          <w:szCs w:val="28"/>
          <w:highlight w:val="none"/>
          <w:u w:val="single"/>
          <w:lang w:bidi="zh-CN"/>
        </w:rPr>
        <w:t>其他未列明行业</w:t>
      </w:r>
      <w:r>
        <w:rPr>
          <w:color w:val="auto"/>
          <w:sz w:val="28"/>
          <w:szCs w:val="28"/>
          <w:highlight w:val="none"/>
          <w:u w:val="single"/>
          <w:lang w:bidi="zh-CN"/>
        </w:rPr>
        <w:t>（采购文件中明确的所属行业）</w:t>
      </w:r>
      <w:r>
        <w:rPr>
          <w:color w:val="auto"/>
          <w:sz w:val="28"/>
          <w:szCs w:val="28"/>
          <w:highlight w:val="none"/>
          <w:lang w:bidi="zh-CN"/>
        </w:rPr>
        <w:t>；承建（承接）企业为</w:t>
      </w:r>
      <w:r>
        <w:rPr>
          <w:color w:val="auto"/>
          <w:sz w:val="28"/>
          <w:szCs w:val="28"/>
          <w:highlight w:val="none"/>
          <w:u w:val="single"/>
          <w:lang w:bidi="zh-CN"/>
        </w:rPr>
        <w:t>（企业名称）</w:t>
      </w:r>
      <w:r>
        <w:rPr>
          <w:color w:val="auto"/>
          <w:sz w:val="28"/>
          <w:szCs w:val="28"/>
          <w:highlight w:val="none"/>
          <w:lang w:bidi="zh-CN"/>
        </w:rPr>
        <w:t>，从业人员</w:t>
      </w:r>
      <w:r>
        <w:rPr>
          <w:color w:val="auto"/>
          <w:sz w:val="28"/>
          <w:szCs w:val="28"/>
          <w:highlight w:val="none"/>
          <w:u w:val="single"/>
          <w:lang w:bidi="zh-CN"/>
        </w:rPr>
        <w:tab/>
      </w:r>
      <w:r>
        <w:rPr>
          <w:color w:val="auto"/>
          <w:sz w:val="28"/>
          <w:szCs w:val="28"/>
          <w:highlight w:val="none"/>
          <w:lang w:bidi="zh-CN"/>
        </w:rPr>
        <w:t>人，营业收入为</w:t>
      </w:r>
      <w:r>
        <w:rPr>
          <w:color w:val="auto"/>
          <w:sz w:val="28"/>
          <w:szCs w:val="28"/>
          <w:highlight w:val="none"/>
          <w:u w:val="single"/>
          <w:lang w:bidi="zh-CN"/>
        </w:rPr>
        <w:tab/>
      </w:r>
      <w:r>
        <w:rPr>
          <w:color w:val="auto"/>
          <w:sz w:val="28"/>
          <w:szCs w:val="28"/>
          <w:highlight w:val="none"/>
          <w:lang w:bidi="zh-CN"/>
        </w:rPr>
        <w:t>万元，资产总额为</w:t>
      </w:r>
      <w:r>
        <w:rPr>
          <w:color w:val="auto"/>
          <w:sz w:val="28"/>
          <w:szCs w:val="28"/>
          <w:highlight w:val="none"/>
          <w:u w:val="single"/>
          <w:lang w:bidi="zh-CN"/>
        </w:rPr>
        <w:tab/>
      </w:r>
      <w:r>
        <w:rPr>
          <w:color w:val="auto"/>
          <w:sz w:val="28"/>
          <w:szCs w:val="28"/>
          <w:highlight w:val="none"/>
          <w:lang w:bidi="zh-CN"/>
        </w:rPr>
        <w:t>万元，属于</w:t>
      </w:r>
      <w:r>
        <w:rPr>
          <w:color w:val="auto"/>
          <w:sz w:val="28"/>
          <w:szCs w:val="28"/>
          <w:highlight w:val="none"/>
          <w:u w:val="single"/>
          <w:lang w:bidi="zh-CN"/>
        </w:rPr>
        <w:t>（中型企业、小型企业、微型企业）</w:t>
      </w:r>
      <w:r>
        <w:rPr>
          <w:color w:val="auto"/>
          <w:sz w:val="28"/>
          <w:szCs w:val="28"/>
          <w:highlight w:val="none"/>
          <w:lang w:bidi="zh-CN"/>
        </w:rPr>
        <w:t>；</w:t>
      </w:r>
    </w:p>
    <w:p>
      <w:pPr>
        <w:snapToGrid w:val="0"/>
        <w:spacing w:line="360" w:lineRule="auto"/>
        <w:jc w:val="left"/>
        <w:outlineLvl w:val="0"/>
        <w:rPr>
          <w:color w:val="auto"/>
          <w:sz w:val="28"/>
          <w:szCs w:val="28"/>
          <w:highlight w:val="none"/>
          <w:lang w:bidi="zh-CN"/>
        </w:rPr>
      </w:pPr>
      <w:r>
        <w:rPr>
          <w:rFonts w:hint="eastAsia"/>
          <w:color w:val="auto"/>
          <w:sz w:val="28"/>
          <w:szCs w:val="28"/>
          <w:highlight w:val="none"/>
          <w:lang w:bidi="zh-CN"/>
        </w:rPr>
        <w:t>2.</w:t>
      </w:r>
      <w:r>
        <w:rPr>
          <w:color w:val="auto"/>
          <w:sz w:val="28"/>
          <w:szCs w:val="28"/>
          <w:highlight w:val="none"/>
          <w:u w:val="single"/>
          <w:lang w:bidi="zh-CN"/>
        </w:rPr>
        <w:t>（标的名称）</w:t>
      </w:r>
      <w:r>
        <w:rPr>
          <w:color w:val="auto"/>
          <w:sz w:val="28"/>
          <w:szCs w:val="28"/>
          <w:highlight w:val="none"/>
          <w:lang w:bidi="zh-CN"/>
        </w:rPr>
        <w:t>，属于</w:t>
      </w:r>
      <w:r>
        <w:rPr>
          <w:rFonts w:hint="eastAsia"/>
          <w:color w:val="auto"/>
          <w:sz w:val="28"/>
          <w:szCs w:val="28"/>
          <w:highlight w:val="none"/>
          <w:u w:val="single"/>
          <w:lang w:bidi="zh-CN"/>
        </w:rPr>
        <w:t>其他未列明行业</w:t>
      </w:r>
      <w:r>
        <w:rPr>
          <w:color w:val="auto"/>
          <w:sz w:val="28"/>
          <w:szCs w:val="28"/>
          <w:highlight w:val="none"/>
          <w:u w:val="single"/>
          <w:lang w:bidi="zh-CN"/>
        </w:rPr>
        <w:t>（采购文件中明确的所属行业）</w:t>
      </w:r>
      <w:r>
        <w:rPr>
          <w:color w:val="auto"/>
          <w:sz w:val="28"/>
          <w:szCs w:val="28"/>
          <w:highlight w:val="none"/>
          <w:lang w:bidi="zh-CN"/>
        </w:rPr>
        <w:t>；承建（承接）企业为</w:t>
      </w:r>
      <w:r>
        <w:rPr>
          <w:color w:val="auto"/>
          <w:sz w:val="28"/>
          <w:szCs w:val="28"/>
          <w:highlight w:val="none"/>
          <w:u w:val="single"/>
          <w:lang w:bidi="zh-CN"/>
        </w:rPr>
        <w:t>（企业名称）</w:t>
      </w:r>
      <w:r>
        <w:rPr>
          <w:color w:val="auto"/>
          <w:sz w:val="28"/>
          <w:szCs w:val="28"/>
          <w:highlight w:val="none"/>
          <w:lang w:bidi="zh-CN"/>
        </w:rPr>
        <w:t>，从业人员</w:t>
      </w:r>
      <w:r>
        <w:rPr>
          <w:color w:val="auto"/>
          <w:sz w:val="28"/>
          <w:szCs w:val="28"/>
          <w:highlight w:val="none"/>
          <w:u w:val="single"/>
          <w:lang w:bidi="zh-CN"/>
        </w:rPr>
        <w:tab/>
      </w:r>
      <w:r>
        <w:rPr>
          <w:color w:val="auto"/>
          <w:sz w:val="28"/>
          <w:szCs w:val="28"/>
          <w:highlight w:val="none"/>
          <w:lang w:bidi="zh-CN"/>
        </w:rPr>
        <w:t>人，营业收入为</w:t>
      </w:r>
      <w:r>
        <w:rPr>
          <w:color w:val="auto"/>
          <w:sz w:val="28"/>
          <w:szCs w:val="28"/>
          <w:highlight w:val="none"/>
          <w:u w:val="single"/>
          <w:lang w:bidi="zh-CN"/>
        </w:rPr>
        <w:tab/>
      </w:r>
      <w:r>
        <w:rPr>
          <w:color w:val="auto"/>
          <w:sz w:val="28"/>
          <w:szCs w:val="28"/>
          <w:highlight w:val="none"/>
          <w:lang w:bidi="zh-CN"/>
        </w:rPr>
        <w:t>万元，资产总额为</w:t>
      </w:r>
      <w:r>
        <w:rPr>
          <w:color w:val="auto"/>
          <w:sz w:val="28"/>
          <w:szCs w:val="28"/>
          <w:highlight w:val="none"/>
          <w:u w:val="single"/>
          <w:lang w:bidi="zh-CN"/>
        </w:rPr>
        <w:tab/>
      </w:r>
      <w:r>
        <w:rPr>
          <w:color w:val="auto"/>
          <w:sz w:val="28"/>
          <w:szCs w:val="28"/>
          <w:highlight w:val="none"/>
          <w:lang w:bidi="zh-CN"/>
        </w:rPr>
        <w:t>万元，属于</w:t>
      </w:r>
      <w:r>
        <w:rPr>
          <w:color w:val="auto"/>
          <w:sz w:val="28"/>
          <w:szCs w:val="28"/>
          <w:highlight w:val="none"/>
          <w:u w:val="single"/>
          <w:lang w:bidi="zh-CN"/>
        </w:rPr>
        <w:t>（中型企业、小型企业、微型企业）</w:t>
      </w:r>
      <w:r>
        <w:rPr>
          <w:color w:val="auto"/>
          <w:sz w:val="28"/>
          <w:szCs w:val="28"/>
          <w:highlight w:val="none"/>
          <w:lang w:bidi="zh-CN"/>
        </w:rPr>
        <w:t>；</w:t>
      </w:r>
    </w:p>
    <w:p>
      <w:pPr>
        <w:snapToGrid w:val="0"/>
        <w:spacing w:line="360" w:lineRule="auto"/>
        <w:jc w:val="left"/>
        <w:outlineLvl w:val="0"/>
        <w:rPr>
          <w:color w:val="auto"/>
          <w:sz w:val="28"/>
          <w:szCs w:val="28"/>
          <w:highlight w:val="none"/>
          <w:lang w:bidi="zh-CN"/>
        </w:rPr>
      </w:pPr>
      <w:r>
        <w:rPr>
          <w:color w:val="auto"/>
          <w:sz w:val="28"/>
          <w:szCs w:val="28"/>
          <w:highlight w:val="none"/>
          <w:lang w:bidi="zh-CN"/>
        </w:rPr>
        <w:t>……</w:t>
      </w:r>
    </w:p>
    <w:p>
      <w:pPr>
        <w:snapToGrid w:val="0"/>
        <w:spacing w:line="360" w:lineRule="auto"/>
        <w:ind w:firstLine="560" w:firstLineChars="200"/>
        <w:outlineLvl w:val="0"/>
        <w:rPr>
          <w:color w:val="auto"/>
          <w:sz w:val="28"/>
          <w:szCs w:val="28"/>
          <w:highlight w:val="none"/>
          <w:lang w:bidi="zh-CN"/>
        </w:rPr>
      </w:pPr>
      <w:r>
        <w:rPr>
          <w:color w:val="auto"/>
          <w:sz w:val="28"/>
          <w:szCs w:val="28"/>
          <w:highlight w:val="none"/>
          <w:lang w:bidi="zh-CN"/>
        </w:rPr>
        <w:t>以上企业，不属于大企业的分支机构，不存在控股股东为大企业的情形，也不存在与大企业的负责人为同一人的情形。</w:t>
      </w:r>
    </w:p>
    <w:p>
      <w:pPr>
        <w:snapToGrid w:val="0"/>
        <w:spacing w:line="360" w:lineRule="auto"/>
        <w:ind w:firstLine="560" w:firstLineChars="200"/>
        <w:outlineLvl w:val="0"/>
        <w:rPr>
          <w:color w:val="auto"/>
          <w:sz w:val="28"/>
          <w:szCs w:val="28"/>
          <w:highlight w:val="none"/>
          <w:lang w:bidi="zh-CN"/>
        </w:rPr>
      </w:pPr>
      <w:r>
        <w:rPr>
          <w:color w:val="auto"/>
          <w:sz w:val="28"/>
          <w:szCs w:val="28"/>
          <w:highlight w:val="none"/>
          <w:lang w:bidi="zh-CN"/>
        </w:rPr>
        <w:t>本企业对上述声明内容的真实性负责。如有虚假，将依法承担相应责任。</w:t>
      </w:r>
    </w:p>
    <w:p>
      <w:pPr>
        <w:snapToGrid w:val="0"/>
        <w:spacing w:line="300" w:lineRule="auto"/>
        <w:ind w:firstLine="4900" w:firstLineChars="1750"/>
        <w:outlineLvl w:val="0"/>
        <w:rPr>
          <w:color w:val="auto"/>
          <w:sz w:val="28"/>
          <w:szCs w:val="28"/>
          <w:highlight w:val="none"/>
          <w:lang w:bidi="zh-CN"/>
        </w:rPr>
      </w:pPr>
      <w:r>
        <w:rPr>
          <w:color w:val="auto"/>
          <w:sz w:val="28"/>
          <w:szCs w:val="28"/>
          <w:highlight w:val="none"/>
          <w:lang w:bidi="zh-CN"/>
        </w:rPr>
        <w:t>企业名称（盖章）：</w:t>
      </w:r>
    </w:p>
    <w:p>
      <w:pPr>
        <w:snapToGrid w:val="0"/>
        <w:spacing w:line="300" w:lineRule="auto"/>
        <w:ind w:firstLine="4900" w:firstLineChars="1750"/>
        <w:outlineLvl w:val="0"/>
        <w:rPr>
          <w:color w:val="auto"/>
          <w:sz w:val="28"/>
          <w:szCs w:val="28"/>
          <w:highlight w:val="none"/>
          <w:lang w:bidi="zh-CN"/>
        </w:rPr>
      </w:pPr>
      <w:r>
        <w:rPr>
          <w:color w:val="auto"/>
          <w:sz w:val="28"/>
          <w:szCs w:val="28"/>
          <w:highlight w:val="none"/>
          <w:lang w:bidi="zh-CN"/>
        </w:rPr>
        <w:t>日期：</w:t>
      </w:r>
    </w:p>
    <w:p>
      <w:pPr>
        <w:snapToGrid w:val="0"/>
        <w:spacing w:line="300" w:lineRule="auto"/>
        <w:outlineLvl w:val="0"/>
        <w:rPr>
          <w:color w:val="auto"/>
          <w:sz w:val="28"/>
          <w:szCs w:val="28"/>
          <w:highlight w:val="none"/>
        </w:rPr>
      </w:pPr>
    </w:p>
    <w:p>
      <w:pPr>
        <w:spacing w:line="500" w:lineRule="exact"/>
        <w:ind w:firstLine="480" w:firstLineChars="200"/>
        <w:rPr>
          <w:rFonts w:ascii="宋体" w:hAnsi="宋体"/>
          <w:color w:val="auto"/>
          <w:sz w:val="24"/>
          <w:szCs w:val="24"/>
          <w:highlight w:val="none"/>
        </w:rPr>
      </w:pPr>
    </w:p>
    <w:p>
      <w:pPr>
        <w:snapToGrid w:val="0"/>
        <w:spacing w:before="50" w:after="50"/>
        <w:jc w:val="center"/>
        <w:rPr>
          <w:rFonts w:ascii="宋体" w:hAnsi="宋体"/>
          <w:color w:val="auto"/>
          <w:sz w:val="24"/>
          <w:szCs w:val="24"/>
          <w:highlight w:val="none"/>
        </w:rPr>
      </w:pPr>
    </w:p>
    <w:p>
      <w:pPr>
        <w:snapToGrid w:val="0"/>
        <w:spacing w:before="50" w:after="50"/>
        <w:jc w:val="center"/>
        <w:rPr>
          <w:rFonts w:ascii="宋体" w:hAnsi="宋体"/>
          <w:color w:val="auto"/>
          <w:sz w:val="24"/>
          <w:szCs w:val="24"/>
          <w:highlight w:val="none"/>
        </w:rPr>
      </w:pPr>
    </w:p>
    <w:p>
      <w:pPr>
        <w:snapToGrid w:val="0"/>
        <w:spacing w:before="50" w:after="50"/>
        <w:rPr>
          <w:rFonts w:ascii="宋体" w:hAnsi="宋体"/>
          <w:color w:val="auto"/>
          <w:sz w:val="24"/>
          <w:szCs w:val="24"/>
          <w:highlight w:val="none"/>
        </w:rPr>
      </w:pPr>
    </w:p>
    <w:bookmarkEnd w:id="42"/>
    <w:bookmarkEnd w:id="43"/>
    <w:p>
      <w:pPr>
        <w:pStyle w:val="23"/>
        <w:ind w:left="0" w:leftChars="0" w:firstLine="0" w:firstLineChars="0"/>
        <w:rPr>
          <w:color w:val="auto"/>
          <w:highlight w:val="none"/>
        </w:rPr>
      </w:pPr>
    </w:p>
    <w:p>
      <w:pPr>
        <w:spacing w:line="460" w:lineRule="exact"/>
        <w:jc w:val="center"/>
        <w:rPr>
          <w:rFonts w:ascii="宋体" w:hAnsi="宋体"/>
          <w:b/>
          <w:color w:val="auto"/>
          <w:sz w:val="32"/>
          <w:szCs w:val="32"/>
          <w:highlight w:val="none"/>
        </w:rPr>
      </w:pPr>
    </w:p>
    <w:p>
      <w:pPr>
        <w:spacing w:line="460" w:lineRule="exact"/>
        <w:jc w:val="center"/>
        <w:rPr>
          <w:rFonts w:ascii="宋体" w:hAnsi="宋体"/>
          <w:b/>
          <w:color w:val="auto"/>
          <w:sz w:val="32"/>
          <w:szCs w:val="32"/>
          <w:highlight w:val="none"/>
        </w:rPr>
      </w:pPr>
      <w:r>
        <w:rPr>
          <w:rFonts w:hint="eastAsia" w:ascii="宋体" w:hAnsi="宋体"/>
          <w:b/>
          <w:color w:val="auto"/>
          <w:sz w:val="32"/>
          <w:szCs w:val="32"/>
          <w:highlight w:val="none"/>
        </w:rPr>
        <w:t>5.13残疾人福利性单位声明函</w:t>
      </w:r>
    </w:p>
    <w:p>
      <w:pPr>
        <w:spacing w:line="588"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本单位郑重声明，根据《财政部 民政部 中国残疾人联合会关于促进残疾人就业政府采购政策的通知》（财库〔2017〕141号）的规定，本单位为符合条件的残疾人福利性单位，且本单位参加______单位的项目编号为______的项目采购活动提供本单位制造的货物（由本单位承担工程/提供服务），或者提供其他残疾人福利性单位制造的货物（不包括使用非残疾人福利性单位注册商标的货物）。</w:t>
      </w:r>
    </w:p>
    <w:p>
      <w:pPr>
        <w:spacing w:line="588"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本单位对上述声明的真实性负责。如有虚假，将依法承担相应责任。</w:t>
      </w:r>
    </w:p>
    <w:p>
      <w:pPr>
        <w:spacing w:line="588" w:lineRule="exact"/>
        <w:ind w:firstLine="560" w:firstLineChars="200"/>
        <w:rPr>
          <w:rFonts w:ascii="宋体" w:hAnsi="宋体"/>
          <w:color w:val="auto"/>
          <w:sz w:val="28"/>
          <w:szCs w:val="28"/>
          <w:highlight w:val="none"/>
        </w:rPr>
      </w:pPr>
      <w:r>
        <w:rPr>
          <w:rFonts w:hint="eastAsia" w:ascii="宋体" w:hAnsi="宋体"/>
          <w:color w:val="auto"/>
          <w:sz w:val="28"/>
          <w:szCs w:val="28"/>
          <w:highlight w:val="none"/>
        </w:rPr>
        <w:t>（备注：1、供应商如不提供此声明函，价格将不做相应扣除。2、中标供应商为残疾人福利单位的，此声明函将随中标结果同时公告，接受社会监督）</w:t>
      </w:r>
    </w:p>
    <w:p>
      <w:pPr>
        <w:spacing w:line="588" w:lineRule="exact"/>
        <w:ind w:firstLine="584" w:firstLineChars="200"/>
        <w:rPr>
          <w:rFonts w:ascii="仿宋_GB2312" w:eastAsia="仿宋_GB2312"/>
          <w:color w:val="auto"/>
          <w:spacing w:val="6"/>
          <w:sz w:val="28"/>
          <w:szCs w:val="28"/>
          <w:highlight w:val="none"/>
        </w:rPr>
      </w:pPr>
    </w:p>
    <w:p>
      <w:pPr>
        <w:spacing w:line="588" w:lineRule="exact"/>
        <w:ind w:firstLine="584" w:firstLineChars="200"/>
        <w:rPr>
          <w:rFonts w:ascii="仿宋_GB2312" w:eastAsia="仿宋_GB2312"/>
          <w:color w:val="auto"/>
          <w:spacing w:val="6"/>
          <w:sz w:val="28"/>
          <w:szCs w:val="28"/>
          <w:highlight w:val="none"/>
        </w:rPr>
      </w:pPr>
    </w:p>
    <w:p>
      <w:pPr>
        <w:tabs>
          <w:tab w:val="left" w:pos="4860"/>
        </w:tabs>
        <w:spacing w:line="588" w:lineRule="exact"/>
        <w:ind w:right="1560" w:firstLine="560" w:firstLineChars="200"/>
        <w:jc w:val="center"/>
        <w:rPr>
          <w:rFonts w:ascii="宋体" w:hAnsi="宋体"/>
          <w:color w:val="auto"/>
          <w:sz w:val="28"/>
          <w:szCs w:val="28"/>
          <w:highlight w:val="none"/>
        </w:rPr>
      </w:pPr>
      <w:r>
        <w:rPr>
          <w:rFonts w:hint="eastAsia" w:ascii="宋体" w:hAnsi="宋体"/>
          <w:color w:val="auto"/>
          <w:sz w:val="28"/>
          <w:szCs w:val="28"/>
          <w:highlight w:val="none"/>
        </w:rPr>
        <w:t xml:space="preserve">           供应商全称（盖章）：</w:t>
      </w:r>
    </w:p>
    <w:p>
      <w:pPr>
        <w:tabs>
          <w:tab w:val="left" w:pos="4860"/>
        </w:tabs>
        <w:spacing w:line="588" w:lineRule="exact"/>
        <w:ind w:right="1560" w:firstLine="560" w:firstLineChars="200"/>
        <w:jc w:val="center"/>
        <w:rPr>
          <w:rFonts w:ascii="宋体" w:hAnsi="宋体"/>
          <w:color w:val="auto"/>
          <w:sz w:val="28"/>
          <w:szCs w:val="28"/>
          <w:highlight w:val="none"/>
        </w:rPr>
      </w:pPr>
      <w:r>
        <w:rPr>
          <w:rFonts w:hint="eastAsia" w:ascii="宋体" w:hAnsi="宋体"/>
          <w:color w:val="auto"/>
          <w:sz w:val="28"/>
          <w:szCs w:val="28"/>
          <w:highlight w:val="none"/>
        </w:rPr>
        <w:t xml:space="preserve">              日  期：</w:t>
      </w:r>
    </w:p>
    <w:p>
      <w:pPr>
        <w:spacing w:line="588" w:lineRule="exact"/>
        <w:ind w:firstLine="480" w:firstLineChars="200"/>
        <w:rPr>
          <w:rFonts w:ascii="宋体" w:hAnsi="宋体" w:cs="Times New Roman"/>
          <w:bCs/>
          <w:color w:val="auto"/>
          <w:sz w:val="24"/>
          <w:szCs w:val="24"/>
          <w:highlight w:val="none"/>
        </w:rPr>
      </w:pPr>
    </w:p>
    <w:p>
      <w:pPr>
        <w:spacing w:line="360" w:lineRule="auto"/>
        <w:ind w:firstLine="400" w:firstLineChars="200"/>
        <w:rPr>
          <w:rFonts w:ascii="宋体" w:hAnsi="宋体" w:cs="Times New Roman"/>
          <w:color w:val="auto"/>
          <w:kern w:val="0"/>
          <w:sz w:val="20"/>
          <w:szCs w:val="20"/>
          <w:highlight w:val="none"/>
        </w:rPr>
      </w:pPr>
    </w:p>
    <w:p>
      <w:pPr>
        <w:pStyle w:val="23"/>
        <w:ind w:firstLine="400"/>
        <w:rPr>
          <w:rFonts w:ascii="宋体" w:hAnsi="宋体" w:cs="Times New Roman"/>
          <w:color w:val="auto"/>
          <w:kern w:val="0"/>
          <w:sz w:val="20"/>
          <w:szCs w:val="20"/>
          <w:highlight w:val="none"/>
        </w:rPr>
      </w:pPr>
    </w:p>
    <w:p>
      <w:pPr>
        <w:rPr>
          <w:color w:val="auto"/>
          <w:highlight w:val="none"/>
        </w:rPr>
      </w:pPr>
    </w:p>
    <w:p>
      <w:pPr>
        <w:spacing w:line="500" w:lineRule="exact"/>
        <w:jc w:val="center"/>
        <w:rPr>
          <w:color w:val="auto"/>
          <w:sz w:val="24"/>
          <w:highlight w:val="none"/>
        </w:rPr>
      </w:pPr>
    </w:p>
    <w:p>
      <w:pPr>
        <w:pStyle w:val="3"/>
        <w:ind w:firstLine="3092" w:firstLineChars="1100"/>
        <w:jc w:val="both"/>
        <w:rPr>
          <w:rFonts w:ascii="宋体" w:hAnsi="宋体" w:eastAsia="宋体"/>
          <w:b/>
          <w:color w:val="auto"/>
          <w:highlight w:val="none"/>
        </w:rPr>
      </w:pPr>
    </w:p>
    <w:p>
      <w:pPr>
        <w:rPr>
          <w:rFonts w:ascii="宋体" w:hAnsi="宋体"/>
          <w:b/>
          <w:color w:val="auto"/>
          <w:highlight w:val="none"/>
        </w:rPr>
      </w:pPr>
    </w:p>
    <w:p>
      <w:pPr>
        <w:rPr>
          <w:rFonts w:ascii="宋体" w:hAnsi="宋体"/>
          <w:b/>
          <w:color w:val="auto"/>
          <w:highlight w:val="none"/>
        </w:rPr>
      </w:pPr>
    </w:p>
    <w:p>
      <w:pPr>
        <w:rPr>
          <w:rFonts w:ascii="宋体" w:hAnsi="宋体"/>
          <w:b/>
          <w:color w:val="auto"/>
          <w:highlight w:val="none"/>
        </w:rPr>
      </w:pPr>
    </w:p>
    <w:p>
      <w:pPr>
        <w:spacing w:line="400" w:lineRule="exact"/>
        <w:jc w:val="left"/>
        <w:rPr>
          <w:color w:val="auto"/>
          <w:sz w:val="24"/>
          <w:szCs w:val="24"/>
          <w:highlight w:val="none"/>
        </w:rPr>
      </w:pPr>
    </w:p>
    <w:p>
      <w:pPr>
        <w:pStyle w:val="23"/>
        <w:rPr>
          <w:color w:val="auto"/>
          <w:highlight w:val="none"/>
        </w:rPr>
      </w:pPr>
    </w:p>
    <w:p>
      <w:pPr>
        <w:snapToGrid w:val="0"/>
        <w:spacing w:line="420" w:lineRule="exact"/>
        <w:jc w:val="center"/>
        <w:outlineLvl w:val="3"/>
        <w:rPr>
          <w:b/>
          <w:bCs/>
          <w:color w:val="auto"/>
          <w:sz w:val="32"/>
          <w:szCs w:val="32"/>
          <w:highlight w:val="none"/>
        </w:rPr>
      </w:pPr>
      <w:r>
        <w:rPr>
          <w:rFonts w:hint="eastAsia" w:ascii="宋体" w:hAnsi="宋体"/>
          <w:b/>
          <w:color w:val="auto"/>
          <w:sz w:val="32"/>
          <w:szCs w:val="32"/>
          <w:highlight w:val="none"/>
        </w:rPr>
        <w:t>5.14</w:t>
      </w:r>
      <w:r>
        <w:rPr>
          <w:rFonts w:hint="eastAsia"/>
          <w:b/>
          <w:bCs/>
          <w:color w:val="auto"/>
          <w:sz w:val="32"/>
          <w:szCs w:val="32"/>
          <w:highlight w:val="none"/>
        </w:rPr>
        <w:t>监狱和戒毒企业证明材料</w:t>
      </w:r>
    </w:p>
    <w:p>
      <w:pPr>
        <w:snapToGrid w:val="0"/>
        <w:spacing w:line="420" w:lineRule="exact"/>
        <w:ind w:firstLine="495" w:firstLineChars="177"/>
        <w:rPr>
          <w:rFonts w:ascii="宋体" w:hAnsi="宋体"/>
          <w:color w:val="auto"/>
          <w:sz w:val="28"/>
          <w:szCs w:val="28"/>
          <w:highlight w:val="none"/>
        </w:rPr>
      </w:pPr>
    </w:p>
    <w:p>
      <w:pPr>
        <w:snapToGrid w:val="0"/>
        <w:spacing w:line="420" w:lineRule="exact"/>
        <w:ind w:firstLine="498" w:firstLineChars="177"/>
        <w:rPr>
          <w:rFonts w:ascii="宋体" w:hAnsi="宋体"/>
          <w:b/>
          <w:color w:val="auto"/>
          <w:sz w:val="28"/>
          <w:szCs w:val="28"/>
          <w:highlight w:val="none"/>
        </w:rPr>
      </w:pPr>
      <w:r>
        <w:rPr>
          <w:rFonts w:hint="eastAsia" w:ascii="宋体" w:hAnsi="宋体"/>
          <w:b/>
          <w:color w:val="auto"/>
          <w:sz w:val="28"/>
          <w:szCs w:val="28"/>
          <w:highlight w:val="none"/>
        </w:rPr>
        <w:t>（格式自拟）</w:t>
      </w:r>
    </w:p>
    <w:p>
      <w:pPr>
        <w:snapToGrid w:val="0"/>
        <w:spacing w:line="420" w:lineRule="exact"/>
        <w:ind w:firstLine="495" w:firstLineChars="177"/>
        <w:rPr>
          <w:rFonts w:ascii="宋体" w:hAnsi="宋体"/>
          <w:color w:val="auto"/>
          <w:sz w:val="28"/>
          <w:szCs w:val="28"/>
          <w:highlight w:val="none"/>
        </w:rPr>
      </w:pPr>
    </w:p>
    <w:p>
      <w:pPr>
        <w:snapToGrid w:val="0"/>
        <w:spacing w:line="420" w:lineRule="exact"/>
        <w:ind w:firstLine="660" w:firstLineChars="236"/>
        <w:rPr>
          <w:rFonts w:ascii="宋体" w:hAnsi="宋体"/>
          <w:color w:val="auto"/>
          <w:sz w:val="28"/>
          <w:szCs w:val="28"/>
          <w:highlight w:val="none"/>
        </w:rPr>
      </w:pPr>
      <w:r>
        <w:rPr>
          <w:rFonts w:hint="eastAsia" w:ascii="宋体" w:hAnsi="宋体"/>
          <w:color w:val="auto"/>
          <w:sz w:val="28"/>
          <w:szCs w:val="28"/>
          <w:highlight w:val="none"/>
        </w:rPr>
        <w:t>根据《财政部司法部关于政府采购支持监狱企业发展有关问题的通知》（财库〔2014〕68号），监狱企业参加政府采购活动时，应当提供由省级以上监狱管理局、戒毒管理局（含新疆生产建设兵团）出具的，供应商属于监狱企业的证明文件。</w:t>
      </w:r>
    </w:p>
    <w:p>
      <w:pPr>
        <w:snapToGrid w:val="0"/>
        <w:spacing w:line="300" w:lineRule="auto"/>
        <w:outlineLvl w:val="0"/>
        <w:rPr>
          <w:color w:val="auto"/>
          <w:sz w:val="28"/>
          <w:szCs w:val="28"/>
          <w:highlight w:val="none"/>
        </w:rPr>
      </w:pPr>
    </w:p>
    <w:p>
      <w:pPr>
        <w:spacing w:line="400" w:lineRule="exact"/>
        <w:ind w:firstLine="643" w:firstLineChars="200"/>
        <w:jc w:val="cente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rFonts w:ascii="宋体" w:hAnsi="宋体"/>
          <w:b/>
          <w:color w:val="auto"/>
          <w:sz w:val="32"/>
          <w:szCs w:val="32"/>
          <w:highlight w:val="none"/>
        </w:rPr>
      </w:pPr>
    </w:p>
    <w:p>
      <w:pPr>
        <w:pStyle w:val="23"/>
        <w:ind w:firstLine="643"/>
        <w:rPr>
          <w:rFonts w:ascii="宋体" w:hAnsi="宋体"/>
          <w:b/>
          <w:color w:val="auto"/>
          <w:sz w:val="32"/>
          <w:szCs w:val="32"/>
          <w:highlight w:val="none"/>
        </w:rPr>
      </w:pPr>
    </w:p>
    <w:p>
      <w:pPr>
        <w:rPr>
          <w:color w:val="auto"/>
          <w:highlight w:val="none"/>
        </w:rPr>
      </w:pPr>
    </w:p>
    <w:p>
      <w:pPr>
        <w:spacing w:line="400" w:lineRule="exact"/>
        <w:ind w:firstLine="643" w:firstLineChars="200"/>
        <w:jc w:val="center"/>
        <w:rPr>
          <w:rFonts w:ascii="宋体" w:hAnsi="宋体"/>
          <w:b/>
          <w:color w:val="auto"/>
          <w:sz w:val="32"/>
          <w:szCs w:val="32"/>
          <w:highlight w:val="none"/>
        </w:rPr>
      </w:pPr>
    </w:p>
    <w:p>
      <w:pPr>
        <w:spacing w:line="400" w:lineRule="exact"/>
        <w:ind w:firstLine="643" w:firstLineChars="200"/>
        <w:jc w:val="center"/>
        <w:rPr>
          <w:rFonts w:ascii="宋体" w:hAnsi="宋体"/>
          <w:b/>
          <w:color w:val="auto"/>
          <w:sz w:val="32"/>
          <w:szCs w:val="32"/>
          <w:highlight w:val="none"/>
        </w:rPr>
      </w:pPr>
    </w:p>
    <w:p>
      <w:pPr>
        <w:spacing w:line="400" w:lineRule="exact"/>
        <w:ind w:firstLine="643" w:firstLineChars="200"/>
        <w:jc w:val="center"/>
        <w:rPr>
          <w:rFonts w:ascii="宋体" w:hAnsi="宋体"/>
          <w:b/>
          <w:color w:val="auto"/>
          <w:sz w:val="32"/>
          <w:szCs w:val="32"/>
          <w:highlight w:val="none"/>
        </w:rPr>
      </w:pPr>
    </w:p>
    <w:p>
      <w:pPr>
        <w:spacing w:line="400" w:lineRule="exact"/>
        <w:ind w:firstLine="643" w:firstLineChars="200"/>
        <w:jc w:val="center"/>
        <w:rPr>
          <w:rFonts w:ascii="宋体" w:hAnsi="宋体"/>
          <w:b/>
          <w:color w:val="auto"/>
          <w:sz w:val="32"/>
          <w:szCs w:val="32"/>
          <w:highlight w:val="none"/>
        </w:rPr>
      </w:pPr>
    </w:p>
    <w:p>
      <w:pPr>
        <w:spacing w:line="400" w:lineRule="exact"/>
        <w:ind w:firstLine="643" w:firstLineChars="200"/>
        <w:jc w:val="center"/>
        <w:rPr>
          <w:rFonts w:ascii="宋体" w:hAnsi="宋体"/>
          <w:b/>
          <w:color w:val="auto"/>
          <w:sz w:val="32"/>
          <w:szCs w:val="32"/>
          <w:highlight w:val="none"/>
        </w:rPr>
      </w:pPr>
      <w:r>
        <w:rPr>
          <w:rFonts w:hint="eastAsia" w:ascii="宋体" w:hAnsi="宋体"/>
          <w:b/>
          <w:color w:val="auto"/>
          <w:sz w:val="32"/>
          <w:szCs w:val="32"/>
          <w:highlight w:val="none"/>
        </w:rPr>
        <w:t>5.15政府采购政策功能落实说明</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一、小微型企业价格扣除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（1）本项目对小型和微型企业产品给予10%的扣除价格，用扣除后的价格参与评审。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（2）供应商需按照《政府采购促进中小企业发展管理办法》（财库﹝2020﹞46 号）的规定提供相应的《中小企业声明函》。</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（3）企业标准请参照《关于印发中小企业划型标准规定的通知》（工信部联企业[2011]300号）文件规定自行填写。</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二、残疾人福利单位价格扣除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（1）本项目对残疾人福利性单位，给予10%的价格扣除，用扣除后的价格参与评审。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（2）残疾人福利单位需按照采购文件的要求提供《残疾人福利性单位声明函》。</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（3）残疾人福利单位标准请参照《关于促进残疾人就业政府采购政策的通知》（财库〔2017〕141号）。</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三、监狱和戒毒企业价格扣除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（1）本项目对监狱和戒毒企业（简称监狱企业）给予10%的价格扣除，用扣除后的价格参与评审。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（2）监狱企业参加政府采购活动时，需提供由省级以上监狱管理局、戒毒管理局(含新疆生产建设兵团)出具的属于监狱企业的证明文件。供应商如不提供上述证明文件，价格将不做相应扣除。</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（3）监狱企业标准请参照《关于政府采购支持监狱企业发展有关问题的通知》（财库[2014]68号）。</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四、残疾人福利单位、监狱企业属于小型、微型企业的，不重复享受政策。</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五、大中型企业与小微企业（残疾人福利单位、监狱企业）组成联合体或者大中型企业向小微企业（残疾人福利单位、监狱企业）分包的，对联合协议或者分包意向协议约定小微企业合同份额占到合同总金额30%以上的，对联合体或者大中型企业的报价给予4%的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六、联合体各方均为小型、微型企业（残疾人福利单位、监狱企业）的，联合体享受上述同类价格扣除，用扣除后的价格参与评审。</w:t>
      </w:r>
    </w:p>
    <w:p>
      <w:pPr>
        <w:snapToGrid w:val="0"/>
        <w:spacing w:line="300" w:lineRule="auto"/>
        <w:ind w:firstLine="480" w:firstLineChars="200"/>
        <w:rPr>
          <w:rFonts w:ascii="宋体" w:hAnsi="宋体" w:cs="Times New Roman"/>
          <w:bCs/>
          <w:color w:val="auto"/>
          <w:sz w:val="24"/>
          <w:szCs w:val="24"/>
          <w:highlight w:val="none"/>
        </w:rPr>
      </w:pPr>
      <w:r>
        <w:rPr>
          <w:rFonts w:hint="eastAsia" w:ascii="宋体" w:hAnsi="宋体" w:cs="Times New Roman"/>
          <w:bCs/>
          <w:color w:val="auto"/>
          <w:sz w:val="24"/>
          <w:szCs w:val="24"/>
          <w:highlight w:val="none"/>
        </w:rPr>
        <w:t>七、专门面向中小企业采购的项目或者采购包，不再执行价格评审优惠的扶持政策。</w:t>
      </w:r>
    </w:p>
    <w:p>
      <w:pPr>
        <w:spacing w:line="400" w:lineRule="exact"/>
        <w:ind w:firstLine="480" w:firstLineChars="200"/>
        <w:jc w:val="left"/>
        <w:rPr>
          <w:color w:val="auto"/>
          <w:sz w:val="24"/>
          <w:szCs w:val="24"/>
          <w:highlight w:val="none"/>
        </w:rPr>
      </w:pPr>
    </w:p>
    <w:p>
      <w:pPr>
        <w:pStyle w:val="22"/>
        <w:ind w:firstLine="240"/>
        <w:rPr>
          <w:color w:val="auto"/>
          <w:sz w:val="24"/>
          <w:szCs w:val="24"/>
          <w:highlight w:val="none"/>
        </w:rPr>
      </w:pPr>
    </w:p>
    <w:p>
      <w:pPr>
        <w:pStyle w:val="22"/>
        <w:ind w:firstLine="240"/>
        <w:rPr>
          <w:color w:val="auto"/>
          <w:sz w:val="24"/>
          <w:szCs w:val="24"/>
          <w:highlight w:val="none"/>
        </w:rPr>
      </w:pPr>
    </w:p>
    <w:p>
      <w:pPr>
        <w:spacing w:line="480" w:lineRule="exact"/>
        <w:ind w:firstLine="562" w:firstLineChars="200"/>
        <w:jc w:val="center"/>
        <w:rPr>
          <w:rFonts w:ascii="宋体" w:hAnsi="宋体"/>
          <w:b/>
          <w:color w:val="auto"/>
          <w:sz w:val="28"/>
          <w:szCs w:val="28"/>
          <w:highlight w:val="none"/>
        </w:rPr>
      </w:pPr>
      <w:r>
        <w:rPr>
          <w:rFonts w:hint="eastAsia" w:ascii="宋体" w:hAnsi="宋体"/>
          <w:b/>
          <w:color w:val="auto"/>
          <w:sz w:val="28"/>
          <w:szCs w:val="28"/>
          <w:highlight w:val="none"/>
        </w:rPr>
        <w:t>5.16实质性资格证明文件</w:t>
      </w:r>
    </w:p>
    <w:p>
      <w:pPr>
        <w:spacing w:line="480" w:lineRule="exact"/>
        <w:ind w:firstLine="482" w:firstLineChars="200"/>
        <w:jc w:val="left"/>
        <w:rPr>
          <w:b/>
          <w:color w:val="auto"/>
          <w:sz w:val="24"/>
          <w:szCs w:val="24"/>
          <w:highlight w:val="none"/>
        </w:rPr>
      </w:pPr>
      <w:r>
        <w:rPr>
          <w:rFonts w:hint="eastAsia"/>
          <w:b/>
          <w:color w:val="auto"/>
          <w:sz w:val="24"/>
          <w:szCs w:val="24"/>
          <w:highlight w:val="none"/>
        </w:rPr>
        <w:t>投标人实质性资格证明文件：</w:t>
      </w:r>
    </w:p>
    <w:p>
      <w:pPr>
        <w:spacing w:line="40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（1）营业执照（三证合一）或事业单位法人证书复印件（</w:t>
      </w:r>
      <w:r>
        <w:rPr>
          <w:rFonts w:hint="eastAsia"/>
          <w:b/>
          <w:color w:val="auto"/>
          <w:sz w:val="24"/>
          <w:szCs w:val="24"/>
          <w:highlight w:val="none"/>
        </w:rPr>
        <w:t>如为联合体投标，联合体各方均须提供）；</w:t>
      </w:r>
    </w:p>
    <w:p>
      <w:pPr>
        <w:spacing w:line="40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（2）投标人须提供</w:t>
      </w:r>
      <w:r>
        <w:rPr>
          <w:rFonts w:hint="eastAsia" w:asciiTheme="minorEastAsia" w:hAnsiTheme="minorEastAsia" w:eastAsiaTheme="minorEastAsia"/>
          <w:color w:val="auto"/>
          <w:sz w:val="24"/>
          <w:szCs w:val="24"/>
          <w:highlight w:val="none"/>
        </w:rPr>
        <w:t>企业资质</w:t>
      </w:r>
      <w:r>
        <w:rPr>
          <w:rFonts w:hint="eastAsia" w:asciiTheme="minorEastAsia" w:hAnsiTheme="minorEastAsia" w:eastAsiaTheme="minorEastAsia"/>
          <w:bCs/>
          <w:color w:val="auto"/>
          <w:sz w:val="24"/>
          <w:szCs w:val="24"/>
          <w:highlight w:val="none"/>
        </w:rPr>
        <w:t>证书复印件（</w:t>
      </w:r>
      <w:r>
        <w:rPr>
          <w:rFonts w:hint="eastAsia"/>
          <w:b/>
          <w:color w:val="auto"/>
          <w:sz w:val="24"/>
          <w:szCs w:val="24"/>
          <w:highlight w:val="none"/>
        </w:rPr>
        <w:t>如为联合体投标，联合体各方均须提供）；</w:t>
      </w:r>
    </w:p>
    <w:p>
      <w:pPr>
        <w:spacing w:line="400" w:lineRule="exact"/>
        <w:ind w:firstLine="480" w:firstLineChars="200"/>
        <w:jc w:val="left"/>
        <w:rPr>
          <w:b/>
          <w:color w:val="auto"/>
          <w:sz w:val="24"/>
          <w:szCs w:val="24"/>
          <w:highlight w:val="none"/>
        </w:rPr>
      </w:pPr>
      <w:r>
        <w:rPr>
          <w:rFonts w:hint="eastAsia" w:asciiTheme="minorEastAsia" w:hAnsiTheme="minorEastAsia" w:eastAsiaTheme="minorEastAsia"/>
          <w:bCs/>
          <w:color w:val="auto"/>
          <w:sz w:val="24"/>
          <w:szCs w:val="24"/>
          <w:highlight w:val="none"/>
        </w:rPr>
        <w:t>（3）投标人须提供</w:t>
      </w:r>
      <w:r>
        <w:rPr>
          <w:rFonts w:hint="eastAsia" w:asciiTheme="minorEastAsia" w:hAnsiTheme="minorEastAsia" w:eastAsiaTheme="minorEastAsia"/>
          <w:color w:val="auto"/>
          <w:sz w:val="24"/>
          <w:szCs w:val="24"/>
          <w:highlight w:val="none"/>
        </w:rPr>
        <w:t>企业安全生产许可证</w:t>
      </w:r>
      <w:r>
        <w:rPr>
          <w:rFonts w:hint="eastAsia" w:asciiTheme="minorEastAsia" w:hAnsiTheme="minorEastAsia" w:eastAsiaTheme="minorEastAsia"/>
          <w:bCs/>
          <w:color w:val="auto"/>
          <w:sz w:val="24"/>
          <w:szCs w:val="24"/>
          <w:highlight w:val="none"/>
        </w:rPr>
        <w:t>复印件（</w:t>
      </w:r>
      <w:r>
        <w:rPr>
          <w:rFonts w:hint="eastAsia"/>
          <w:b/>
          <w:color w:val="auto"/>
          <w:sz w:val="24"/>
          <w:szCs w:val="24"/>
          <w:highlight w:val="none"/>
        </w:rPr>
        <w:t>如为联合体投标，联合体各方均须提供）；</w:t>
      </w:r>
    </w:p>
    <w:p>
      <w:pPr>
        <w:spacing w:line="400" w:lineRule="exact"/>
        <w:ind w:firstLine="480" w:firstLineChars="200"/>
        <w:jc w:val="left"/>
        <w:rPr>
          <w:rFonts w:asciiTheme="minorEastAsia" w:hAnsiTheme="minorEastAsia" w:eastAsiaTheme="minorEastAsia"/>
          <w:bCs/>
          <w:color w:val="auto"/>
          <w:sz w:val="24"/>
          <w:szCs w:val="24"/>
          <w:highlight w:val="none"/>
        </w:rPr>
      </w:pPr>
      <w:r>
        <w:rPr>
          <w:rFonts w:hint="eastAsia" w:asciiTheme="minorEastAsia" w:hAnsiTheme="minorEastAsia" w:eastAsiaTheme="minorEastAsia"/>
          <w:bCs/>
          <w:color w:val="auto"/>
          <w:sz w:val="24"/>
          <w:szCs w:val="24"/>
          <w:highlight w:val="none"/>
        </w:rPr>
        <w:t>（4）拟派项目负责人建造师注册证书和</w:t>
      </w:r>
      <w:r>
        <w:rPr>
          <w:rFonts w:hint="eastAsia" w:asciiTheme="minorEastAsia" w:hAnsiTheme="minorEastAsia" w:eastAsiaTheme="minorEastAsia"/>
          <w:color w:val="auto"/>
          <w:sz w:val="24"/>
          <w:szCs w:val="24"/>
          <w:highlight w:val="none"/>
        </w:rPr>
        <w:t>安全生产培训合格证B证</w:t>
      </w:r>
      <w:r>
        <w:rPr>
          <w:rFonts w:hint="eastAsia" w:asciiTheme="minorEastAsia" w:hAnsiTheme="minorEastAsia" w:eastAsiaTheme="minorEastAsia"/>
          <w:bCs/>
          <w:color w:val="auto"/>
          <w:sz w:val="24"/>
          <w:szCs w:val="24"/>
          <w:highlight w:val="none"/>
        </w:rPr>
        <w:t>复印件，同时须提供投标人近3个月为其连续缴纳的社会保险金清单复印件，如事业单位无法提供社保证明的，须提供本单位盖章的承诺证明材料复印件；</w:t>
      </w:r>
    </w:p>
    <w:p>
      <w:pPr>
        <w:pStyle w:val="3"/>
        <w:spacing w:line="360" w:lineRule="exact"/>
        <w:ind w:firstLine="479" w:firstLineChars="199"/>
        <w:jc w:val="left"/>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（5）联合体协议（如为联合体投标须提供联合体协议，明确联合体牵头人和其他成员的主要权利和义务，格式自拟）。</w:t>
      </w:r>
    </w:p>
    <w:p>
      <w:pPr>
        <w:pStyle w:val="3"/>
        <w:spacing w:line="400" w:lineRule="exact"/>
        <w:ind w:firstLine="361" w:firstLineChars="150"/>
        <w:jc w:val="left"/>
        <w:rPr>
          <w:rFonts w:asciiTheme="minorEastAsia" w:hAnsiTheme="minorEastAsia" w:eastAsiaTheme="minorEastAsia"/>
          <w:b/>
          <w:color w:val="auto"/>
          <w:sz w:val="24"/>
          <w:szCs w:val="24"/>
          <w:highlight w:val="none"/>
        </w:rPr>
      </w:pPr>
    </w:p>
    <w:p>
      <w:pPr>
        <w:spacing w:line="480" w:lineRule="exact"/>
        <w:ind w:firstLine="562" w:firstLineChars="200"/>
        <w:jc w:val="center"/>
        <w:rPr>
          <w:rFonts w:ascii="宋体" w:hAnsi="宋体"/>
          <w:b/>
          <w:color w:val="auto"/>
          <w:sz w:val="28"/>
          <w:szCs w:val="28"/>
          <w:highlight w:val="none"/>
        </w:rPr>
      </w:pPr>
      <w:r>
        <w:rPr>
          <w:rFonts w:hint="eastAsia" w:ascii="宋体" w:hAnsi="宋体"/>
          <w:b/>
          <w:color w:val="auto"/>
          <w:sz w:val="28"/>
          <w:szCs w:val="28"/>
          <w:highlight w:val="none"/>
        </w:rPr>
        <w:t>5.17非实质性资格证明文件</w:t>
      </w:r>
    </w:p>
    <w:p>
      <w:pPr>
        <w:spacing w:line="480" w:lineRule="exact"/>
        <w:ind w:firstLine="482" w:firstLineChars="200"/>
        <w:jc w:val="left"/>
        <w:rPr>
          <w:b/>
          <w:color w:val="auto"/>
          <w:sz w:val="24"/>
          <w:szCs w:val="24"/>
          <w:highlight w:val="none"/>
        </w:rPr>
      </w:pPr>
      <w:r>
        <w:rPr>
          <w:rFonts w:hint="eastAsia"/>
          <w:b/>
          <w:color w:val="auto"/>
          <w:sz w:val="24"/>
          <w:szCs w:val="24"/>
          <w:highlight w:val="none"/>
        </w:rPr>
        <w:t>投标人非实质性资格证明文件：（根据评分标准要求的内容自行制作）</w:t>
      </w:r>
    </w:p>
    <w:p>
      <w:pPr>
        <w:spacing w:line="380" w:lineRule="exact"/>
        <w:ind w:firstLine="361" w:firstLineChars="150"/>
        <w:rPr>
          <w:rFonts w:asciiTheme="minorEastAsia" w:hAnsiTheme="minorEastAsia" w:eastAsiaTheme="minorEastAsia"/>
          <w:b/>
          <w:color w:val="auto"/>
          <w:kern w:val="0"/>
          <w:sz w:val="24"/>
          <w:szCs w:val="24"/>
          <w:highlight w:val="none"/>
        </w:rPr>
      </w:pPr>
      <w:r>
        <w:rPr>
          <w:rFonts w:hint="eastAsia" w:asciiTheme="minorEastAsia" w:hAnsiTheme="minorEastAsia" w:eastAsiaTheme="minorEastAsia"/>
          <w:b/>
          <w:color w:val="auto"/>
          <w:kern w:val="0"/>
          <w:sz w:val="24"/>
          <w:szCs w:val="24"/>
          <w:highlight w:val="none"/>
        </w:rPr>
        <w:t>（1）服务方案；</w:t>
      </w:r>
    </w:p>
    <w:p>
      <w:pPr>
        <w:pStyle w:val="3"/>
        <w:spacing w:line="380" w:lineRule="exact"/>
        <w:ind w:firstLine="359" w:firstLineChars="149"/>
        <w:jc w:val="both"/>
        <w:rPr>
          <w:rFonts w:asciiTheme="minorEastAsia" w:hAnsiTheme="minorEastAsia" w:eastAsiaTheme="minorEastAsia"/>
          <w:b/>
          <w:color w:val="auto"/>
          <w:sz w:val="24"/>
          <w:szCs w:val="24"/>
          <w:highlight w:val="none"/>
        </w:rPr>
      </w:pPr>
      <w:r>
        <w:rPr>
          <w:rFonts w:hint="eastAsia" w:asciiTheme="minorEastAsia" w:hAnsiTheme="minorEastAsia" w:eastAsiaTheme="minorEastAsia"/>
          <w:b/>
          <w:color w:val="auto"/>
          <w:sz w:val="24"/>
          <w:szCs w:val="24"/>
          <w:highlight w:val="none"/>
        </w:rPr>
        <w:t>（2）企业综合实力；</w:t>
      </w:r>
    </w:p>
    <w:p>
      <w:pPr>
        <w:spacing w:line="380" w:lineRule="exact"/>
        <w:ind w:firstLine="354" w:firstLineChars="147"/>
        <w:jc w:val="left"/>
        <w:rPr>
          <w:b/>
          <w:color w:val="auto"/>
          <w:sz w:val="24"/>
          <w:szCs w:val="24"/>
          <w:highlight w:val="none"/>
        </w:rPr>
      </w:pPr>
      <w:r>
        <w:rPr>
          <w:rFonts w:hint="eastAsia" w:asciiTheme="minorEastAsia" w:hAnsiTheme="minorEastAsia" w:eastAsiaTheme="minorEastAsia"/>
          <w:b/>
          <w:color w:val="auto"/>
          <w:sz w:val="24"/>
          <w:szCs w:val="24"/>
          <w:highlight w:val="none"/>
        </w:rPr>
        <w:t>（3）为完成本项目投标</w:t>
      </w:r>
      <w:r>
        <w:rPr>
          <w:rFonts w:hint="eastAsia"/>
          <w:b/>
          <w:color w:val="auto"/>
          <w:sz w:val="24"/>
          <w:szCs w:val="24"/>
          <w:highlight w:val="none"/>
        </w:rPr>
        <w:t>人认为以及满足本招标文件及评标办法所需要的其它资料。</w:t>
      </w:r>
    </w:p>
    <w:p>
      <w:pPr>
        <w:spacing w:line="480" w:lineRule="exact"/>
        <w:ind w:firstLine="482" w:firstLineChars="200"/>
        <w:jc w:val="left"/>
        <w:rPr>
          <w:b/>
          <w:color w:val="auto"/>
          <w:sz w:val="24"/>
          <w:szCs w:val="24"/>
          <w:highlight w:val="none"/>
        </w:rPr>
      </w:pPr>
      <w:r>
        <w:rPr>
          <w:rFonts w:hint="eastAsia"/>
          <w:b/>
          <w:color w:val="auto"/>
          <w:sz w:val="24"/>
          <w:szCs w:val="24"/>
          <w:highlight w:val="none"/>
        </w:rPr>
        <w:t>投标文件中未提供评分标准中涉及的证书及证明材料等资料复印件加盖投标人公章的，相应条款不得分。</w:t>
      </w:r>
    </w:p>
    <w:p>
      <w:pPr>
        <w:spacing w:line="480" w:lineRule="exact"/>
        <w:ind w:firstLine="482" w:firstLineChars="200"/>
        <w:jc w:val="left"/>
        <w:rPr>
          <w:b/>
          <w:color w:val="auto"/>
          <w:sz w:val="24"/>
          <w:szCs w:val="24"/>
          <w:highlight w:val="none"/>
        </w:rPr>
      </w:pPr>
    </w:p>
    <w:p>
      <w:pPr>
        <w:spacing w:line="480" w:lineRule="exact"/>
        <w:ind w:firstLine="482" w:firstLineChars="200"/>
        <w:jc w:val="left"/>
        <w:rPr>
          <w:b/>
          <w:color w:val="auto"/>
          <w:sz w:val="24"/>
          <w:szCs w:val="24"/>
          <w:highlight w:val="none"/>
        </w:rPr>
      </w:pPr>
    </w:p>
    <w:p>
      <w:pPr>
        <w:spacing w:line="480" w:lineRule="exact"/>
        <w:ind w:firstLine="482" w:firstLineChars="200"/>
        <w:jc w:val="left"/>
        <w:rPr>
          <w:rFonts w:hint="eastAsia"/>
          <w:b/>
          <w:color w:val="auto"/>
          <w:sz w:val="24"/>
          <w:szCs w:val="24"/>
          <w:highlight w:val="none"/>
        </w:rPr>
      </w:pPr>
      <w:r>
        <w:rPr>
          <w:rFonts w:hint="eastAsia"/>
          <w:b/>
          <w:color w:val="auto"/>
          <w:sz w:val="24"/>
          <w:szCs w:val="24"/>
          <w:highlight w:val="none"/>
        </w:rPr>
        <w:t>5.18为完成本项目投标人认为以及满足本招标文件及评标办法所需要的其它资料。</w:t>
      </w: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b/>
          <w:color w:val="auto"/>
          <w:sz w:val="24"/>
          <w:szCs w:val="24"/>
          <w:highlight w:val="none"/>
        </w:rPr>
      </w:pPr>
    </w:p>
    <w:p>
      <w:pPr>
        <w:pStyle w:val="2"/>
        <w:rPr>
          <w:rFonts w:hint="eastAsia" w:asciiTheme="minorEastAsia" w:hAnsiTheme="minorEastAsia" w:eastAsiaTheme="minorEastAsia" w:cstheme="minorEastAsia"/>
          <w:b/>
          <w:color w:val="auto"/>
          <w:sz w:val="28"/>
          <w:szCs w:val="28"/>
          <w:highlight w:val="none"/>
        </w:rPr>
      </w:pPr>
      <w:r>
        <w:rPr>
          <w:rFonts w:hint="eastAsia" w:asciiTheme="minorEastAsia" w:hAnsiTheme="minorEastAsia" w:eastAsiaTheme="minorEastAsia" w:cstheme="minorEastAsia"/>
          <w:b/>
          <w:color w:val="auto"/>
          <w:sz w:val="28"/>
          <w:szCs w:val="28"/>
          <w:highlight w:val="none"/>
        </w:rPr>
        <w:t>附：除治方案示意图</w:t>
      </w:r>
    </w:p>
    <w:p>
      <w:pPr>
        <w:pStyle w:val="2"/>
        <w:rPr>
          <w:rFonts w:hint="eastAsia" w:eastAsia="等线"/>
          <w:b/>
          <w:color w:val="auto"/>
          <w:sz w:val="24"/>
          <w:szCs w:val="24"/>
          <w:highlight w:val="none"/>
          <w:lang w:eastAsia="zh-CN"/>
        </w:rPr>
      </w:pPr>
      <w:r>
        <w:rPr>
          <w:rFonts w:hint="eastAsia" w:eastAsia="等线"/>
          <w:b/>
          <w:color w:val="auto"/>
          <w:sz w:val="24"/>
          <w:szCs w:val="24"/>
          <w:highlight w:val="none"/>
          <w:lang w:eastAsia="zh-CN"/>
        </w:rPr>
        <w:drawing>
          <wp:inline distT="0" distB="0" distL="114300" distR="114300">
            <wp:extent cx="5271135" cy="7452360"/>
            <wp:effectExtent l="0" t="0" r="1905" b="0"/>
            <wp:docPr id="1" name="图片 1" descr="0ea78594a908ba206f339157d8765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ea78594a908ba206f339157d87659a"/>
                    <pic:cNvPicPr>
                      <a:picLocks noChangeAspect="1"/>
                    </pic:cNvPicPr>
                  </pic:nvPicPr>
                  <pic:blipFill>
                    <a:blip r:embed="rId13"/>
                    <a:stretch>
                      <a:fillRect/>
                    </a:stretch>
                  </pic:blipFill>
                  <pic:spPr>
                    <a:xfrm>
                      <a:off x="0" y="0"/>
                      <a:ext cx="5271135" cy="7452360"/>
                    </a:xfrm>
                    <a:prstGeom prst="rect">
                      <a:avLst/>
                    </a:prstGeom>
                  </pic:spPr>
                </pic:pic>
              </a:graphicData>
            </a:graphic>
          </wp:inline>
        </w:drawing>
      </w:r>
    </w:p>
    <w:p>
      <w:pPr>
        <w:rPr>
          <w:color w:val="auto"/>
          <w:sz w:val="24"/>
          <w:szCs w:val="24"/>
          <w:highlight w:val="none"/>
        </w:rPr>
      </w:pPr>
    </w:p>
    <w:p>
      <w:pPr>
        <w:pStyle w:val="8"/>
        <w:rPr>
          <w:color w:val="auto"/>
          <w:sz w:val="24"/>
          <w:szCs w:val="24"/>
          <w:highlight w:val="none"/>
        </w:rPr>
      </w:pPr>
    </w:p>
    <w:p>
      <w:pPr>
        <w:pStyle w:val="8"/>
        <w:rPr>
          <w:color w:val="auto"/>
          <w:sz w:val="24"/>
          <w:szCs w:val="24"/>
          <w:highlight w:val="none"/>
        </w:rPr>
      </w:pPr>
    </w:p>
    <w:p>
      <w:pPr>
        <w:rPr>
          <w:color w:val="auto"/>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w:pict>
        <v:shape id="4097" o:spid="_x0000_s1027" o:spt="202" type="#_x0000_t202" style="position:absolute;left:0pt;margin-top:0pt;height:11pt;width:4.6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19"/>
                </w:pPr>
                <w:r>
                  <w:fldChar w:fldCharType="begin"/>
                </w:r>
                <w:r>
                  <w:instrText xml:space="preserve"> PAGE  \* MERGEFORMAT </w:instrText>
                </w:r>
                <w:r>
                  <w:fldChar w:fldCharType="separate"/>
                </w:r>
                <w:r>
                  <w:t>2</w:t>
                </w:r>
                <w:r>
                  <w:fldChar w:fldCharType="end"/>
                </w:r>
              </w:p>
            </w:txbxContent>
          </v:textbox>
        </v:shape>
      </w:pict>
    </w:r>
  </w:p>
  <w:p>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framePr w:wrap="around" w:vAnchor="text" w:hAnchor="margin" w:xAlign="center" w:y="1"/>
      <w:rPr>
        <w:rStyle w:val="26"/>
      </w:rPr>
    </w:pPr>
    <w:r>
      <w:fldChar w:fldCharType="begin"/>
    </w:r>
    <w:r>
      <w:rPr>
        <w:rStyle w:val="26"/>
      </w:rPr>
      <w:instrText xml:space="preserve">PAGE  </w:instrText>
    </w:r>
    <w:r>
      <w:fldChar w:fldCharType="end"/>
    </w:r>
  </w:p>
  <w:p>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pict>
        <v:shape id="4098" o:spid="_x0000_s1028" o:spt="202" type="#_x0000_t202" style="position:absolute;left:0pt;margin-top:0pt;height:11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pict>
        <v:shape id="4099" o:spid="_x0000_s1026" o:spt="202" type="#_x0000_t202" style="position:absolute;left:0pt;margin-top:0pt;height:11pt;width:4.6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19"/>
                </w:pPr>
                <w:r>
                  <w:fldChar w:fldCharType="begin"/>
                </w:r>
                <w:r>
                  <w:instrText xml:space="preserve"> PAGE  \* MERGEFORMAT </w:instrText>
                </w:r>
                <w:r>
                  <w:fldChar w:fldCharType="separate"/>
                </w:r>
                <w:r>
                  <w:t>8</w:t>
                </w:r>
                <w:r>
                  <w:fldChar w:fldCharType="end"/>
                </w:r>
              </w:p>
            </w:txbxContent>
          </v:textbox>
        </v:shape>
      </w:pict>
    </w:r>
    <w:r>
      <w:pict>
        <v:shape id="4100" o:spid="_x0000_s1025" o:spt="202" type="#_x0000_t202" style="position:absolute;left:0pt;margin-top:-24.5pt;height:34.8pt;width:9.05pt;mso-position-horizontal:center;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pPr>
                  <w:pStyle w:val="19"/>
                </w:pPr>
              </w:p>
              <w:p>
                <w:pPr>
                  <w:pStyle w:val="19"/>
                </w:pPr>
              </w:p>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90" w:firstLineChars="50"/>
      <w:jc w:val="center"/>
    </w:pPr>
    <w:r>
      <w:rPr>
        <w:szCs w:val="21"/>
      </w:rPr>
      <w:fldChar w:fldCharType="begin"/>
    </w:r>
    <w:r>
      <w:rPr>
        <w:szCs w:val="21"/>
      </w:rPr>
      <w:instrText xml:space="preserve"> PAGE </w:instrText>
    </w:r>
    <w:r>
      <w:rPr>
        <w:szCs w:val="21"/>
      </w:rPr>
      <w:fldChar w:fldCharType="separate"/>
    </w:r>
    <w:r>
      <w:rPr>
        <w:szCs w:val="21"/>
      </w:rPr>
      <w:t>34</w:t>
    </w:r>
    <w:r>
      <w:rPr>
        <w:szCs w:val="21"/>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20" w:lineRule="atLeast"/>
      <w:jc w:val="center"/>
    </w:pPr>
  </w:p>
  <w:p>
    <w:pPr>
      <w:spacing w:line="320" w:lineRule="atLeast"/>
      <w:ind w:right="-82" w:rightChars="-39"/>
      <w:jc w:val="center"/>
      <w:rPr>
        <w:sz w:val="15"/>
        <w:szCs w:val="15"/>
      </w:rPr>
    </w:pPr>
  </w:p>
  <w:p>
    <w:pPr>
      <w:spacing w:line="320" w:lineRule="atLeast"/>
      <w:ind w:right="-82" w:rightChars="-3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TM2NWY3NTI2NWEwZGFhYmVjNDM4YWU5MjJiOGY2YjYifQ=="/>
  </w:docVars>
  <w:rsids>
    <w:rsidRoot w:val="00EE0FF5"/>
    <w:rsid w:val="00053C68"/>
    <w:rsid w:val="000627B7"/>
    <w:rsid w:val="00072DF7"/>
    <w:rsid w:val="00081CD3"/>
    <w:rsid w:val="00095F5E"/>
    <w:rsid w:val="00097D25"/>
    <w:rsid w:val="000C6073"/>
    <w:rsid w:val="000D7406"/>
    <w:rsid w:val="000E50AA"/>
    <w:rsid w:val="0014380C"/>
    <w:rsid w:val="001760FA"/>
    <w:rsid w:val="0017726C"/>
    <w:rsid w:val="00187E17"/>
    <w:rsid w:val="001B1584"/>
    <w:rsid w:val="00215F2C"/>
    <w:rsid w:val="00221387"/>
    <w:rsid w:val="00235CFB"/>
    <w:rsid w:val="00245421"/>
    <w:rsid w:val="002525A7"/>
    <w:rsid w:val="00260EC9"/>
    <w:rsid w:val="00262E94"/>
    <w:rsid w:val="00264832"/>
    <w:rsid w:val="002707D9"/>
    <w:rsid w:val="00272240"/>
    <w:rsid w:val="00287A49"/>
    <w:rsid w:val="00296707"/>
    <w:rsid w:val="002A1CE0"/>
    <w:rsid w:val="002C739C"/>
    <w:rsid w:val="002E1F6F"/>
    <w:rsid w:val="0035139C"/>
    <w:rsid w:val="00352A63"/>
    <w:rsid w:val="003534D7"/>
    <w:rsid w:val="00370C3B"/>
    <w:rsid w:val="0037508F"/>
    <w:rsid w:val="00391086"/>
    <w:rsid w:val="003C1DE8"/>
    <w:rsid w:val="003D3A3E"/>
    <w:rsid w:val="003D3ED1"/>
    <w:rsid w:val="00421584"/>
    <w:rsid w:val="00426235"/>
    <w:rsid w:val="004277C9"/>
    <w:rsid w:val="00480E90"/>
    <w:rsid w:val="00482436"/>
    <w:rsid w:val="004871FD"/>
    <w:rsid w:val="004B558F"/>
    <w:rsid w:val="004C19E4"/>
    <w:rsid w:val="004D569B"/>
    <w:rsid w:val="004D5B2B"/>
    <w:rsid w:val="004E47B7"/>
    <w:rsid w:val="00513BDA"/>
    <w:rsid w:val="00516A4B"/>
    <w:rsid w:val="0053729C"/>
    <w:rsid w:val="005439C3"/>
    <w:rsid w:val="00544C24"/>
    <w:rsid w:val="00576210"/>
    <w:rsid w:val="00576FD0"/>
    <w:rsid w:val="00576FDC"/>
    <w:rsid w:val="00583386"/>
    <w:rsid w:val="005868A8"/>
    <w:rsid w:val="00595FE8"/>
    <w:rsid w:val="005A6516"/>
    <w:rsid w:val="005C4058"/>
    <w:rsid w:val="005C6758"/>
    <w:rsid w:val="005D70B7"/>
    <w:rsid w:val="005F46C8"/>
    <w:rsid w:val="006011D3"/>
    <w:rsid w:val="0061463C"/>
    <w:rsid w:val="00621C19"/>
    <w:rsid w:val="006408D9"/>
    <w:rsid w:val="00640975"/>
    <w:rsid w:val="00644657"/>
    <w:rsid w:val="00663D67"/>
    <w:rsid w:val="00666499"/>
    <w:rsid w:val="0067414A"/>
    <w:rsid w:val="006A7703"/>
    <w:rsid w:val="006A78FC"/>
    <w:rsid w:val="006B5A97"/>
    <w:rsid w:val="006E1CE4"/>
    <w:rsid w:val="00716452"/>
    <w:rsid w:val="00724479"/>
    <w:rsid w:val="00732078"/>
    <w:rsid w:val="00737AF2"/>
    <w:rsid w:val="00752328"/>
    <w:rsid w:val="00773AAF"/>
    <w:rsid w:val="0079569B"/>
    <w:rsid w:val="007B03AB"/>
    <w:rsid w:val="007C15F6"/>
    <w:rsid w:val="007C2C0E"/>
    <w:rsid w:val="007E0FFA"/>
    <w:rsid w:val="007E2CDC"/>
    <w:rsid w:val="007F198E"/>
    <w:rsid w:val="00811E40"/>
    <w:rsid w:val="00814899"/>
    <w:rsid w:val="00814B0B"/>
    <w:rsid w:val="00815DCD"/>
    <w:rsid w:val="00835D4B"/>
    <w:rsid w:val="008838D0"/>
    <w:rsid w:val="008C15B4"/>
    <w:rsid w:val="008C20D6"/>
    <w:rsid w:val="008C31DA"/>
    <w:rsid w:val="008D00D0"/>
    <w:rsid w:val="008D1520"/>
    <w:rsid w:val="00901F66"/>
    <w:rsid w:val="0090217F"/>
    <w:rsid w:val="00926C65"/>
    <w:rsid w:val="00935432"/>
    <w:rsid w:val="00964E97"/>
    <w:rsid w:val="009A0C8A"/>
    <w:rsid w:val="009A10FA"/>
    <w:rsid w:val="009D4765"/>
    <w:rsid w:val="00A13F5C"/>
    <w:rsid w:val="00A17121"/>
    <w:rsid w:val="00A26DED"/>
    <w:rsid w:val="00A441CE"/>
    <w:rsid w:val="00A547F1"/>
    <w:rsid w:val="00A62449"/>
    <w:rsid w:val="00A752F0"/>
    <w:rsid w:val="00AA43E1"/>
    <w:rsid w:val="00AD0453"/>
    <w:rsid w:val="00B46917"/>
    <w:rsid w:val="00B67486"/>
    <w:rsid w:val="00B867D4"/>
    <w:rsid w:val="00B927F6"/>
    <w:rsid w:val="00BE55A9"/>
    <w:rsid w:val="00BF481E"/>
    <w:rsid w:val="00C01586"/>
    <w:rsid w:val="00C603FA"/>
    <w:rsid w:val="00C87261"/>
    <w:rsid w:val="00CB3C62"/>
    <w:rsid w:val="00CC0A94"/>
    <w:rsid w:val="00D21B95"/>
    <w:rsid w:val="00D40ABA"/>
    <w:rsid w:val="00D436BD"/>
    <w:rsid w:val="00D44867"/>
    <w:rsid w:val="00D47B9E"/>
    <w:rsid w:val="00DC639C"/>
    <w:rsid w:val="00DF49DB"/>
    <w:rsid w:val="00E13014"/>
    <w:rsid w:val="00E161D8"/>
    <w:rsid w:val="00E369FB"/>
    <w:rsid w:val="00E47ABE"/>
    <w:rsid w:val="00E64531"/>
    <w:rsid w:val="00E66217"/>
    <w:rsid w:val="00EA2E28"/>
    <w:rsid w:val="00EB3C69"/>
    <w:rsid w:val="00ED6B06"/>
    <w:rsid w:val="00EE0FF5"/>
    <w:rsid w:val="00EE7709"/>
    <w:rsid w:val="00F74FBF"/>
    <w:rsid w:val="00F974F2"/>
    <w:rsid w:val="00FA51B6"/>
    <w:rsid w:val="00FC3B79"/>
    <w:rsid w:val="00FD61C5"/>
    <w:rsid w:val="010F7FF3"/>
    <w:rsid w:val="01457570"/>
    <w:rsid w:val="014852B3"/>
    <w:rsid w:val="015B6D94"/>
    <w:rsid w:val="017E0CD4"/>
    <w:rsid w:val="01B9625B"/>
    <w:rsid w:val="01C761D7"/>
    <w:rsid w:val="01E50D53"/>
    <w:rsid w:val="020016E9"/>
    <w:rsid w:val="0224362A"/>
    <w:rsid w:val="0236335D"/>
    <w:rsid w:val="024E06A7"/>
    <w:rsid w:val="02571C51"/>
    <w:rsid w:val="0261487E"/>
    <w:rsid w:val="02647ECA"/>
    <w:rsid w:val="027345B1"/>
    <w:rsid w:val="02AB5AF9"/>
    <w:rsid w:val="02BD75DA"/>
    <w:rsid w:val="03195159"/>
    <w:rsid w:val="031E451D"/>
    <w:rsid w:val="032B6C3A"/>
    <w:rsid w:val="032F2286"/>
    <w:rsid w:val="03411FB9"/>
    <w:rsid w:val="034877EC"/>
    <w:rsid w:val="0388408C"/>
    <w:rsid w:val="03C70628"/>
    <w:rsid w:val="03C74BB5"/>
    <w:rsid w:val="03C86237"/>
    <w:rsid w:val="03CC3F79"/>
    <w:rsid w:val="03D90444"/>
    <w:rsid w:val="03DD7F34"/>
    <w:rsid w:val="03F60FF6"/>
    <w:rsid w:val="040F3E66"/>
    <w:rsid w:val="04936845"/>
    <w:rsid w:val="04A40A52"/>
    <w:rsid w:val="04BE5FB8"/>
    <w:rsid w:val="04CC1D57"/>
    <w:rsid w:val="04DF5F2E"/>
    <w:rsid w:val="04F7690C"/>
    <w:rsid w:val="050B287F"/>
    <w:rsid w:val="0539563E"/>
    <w:rsid w:val="055B3806"/>
    <w:rsid w:val="056A57F8"/>
    <w:rsid w:val="05B80004"/>
    <w:rsid w:val="05DB66F5"/>
    <w:rsid w:val="05EE467B"/>
    <w:rsid w:val="064A73D7"/>
    <w:rsid w:val="065A1D10"/>
    <w:rsid w:val="0661309E"/>
    <w:rsid w:val="06654211"/>
    <w:rsid w:val="066C1A43"/>
    <w:rsid w:val="067A4160"/>
    <w:rsid w:val="0680104B"/>
    <w:rsid w:val="068428E9"/>
    <w:rsid w:val="068B1EC9"/>
    <w:rsid w:val="06B01930"/>
    <w:rsid w:val="06B64A6C"/>
    <w:rsid w:val="06D10A3E"/>
    <w:rsid w:val="06DD024B"/>
    <w:rsid w:val="071874D5"/>
    <w:rsid w:val="072E6CF9"/>
    <w:rsid w:val="079F3753"/>
    <w:rsid w:val="07BB058C"/>
    <w:rsid w:val="07D63618"/>
    <w:rsid w:val="07D6413F"/>
    <w:rsid w:val="07FD4D55"/>
    <w:rsid w:val="081E0B1B"/>
    <w:rsid w:val="083640B7"/>
    <w:rsid w:val="0837398B"/>
    <w:rsid w:val="08585DDB"/>
    <w:rsid w:val="08607386"/>
    <w:rsid w:val="0878647D"/>
    <w:rsid w:val="08892439"/>
    <w:rsid w:val="0898267C"/>
    <w:rsid w:val="08A07782"/>
    <w:rsid w:val="08A94889"/>
    <w:rsid w:val="08E6788B"/>
    <w:rsid w:val="091F4B4B"/>
    <w:rsid w:val="092108C3"/>
    <w:rsid w:val="09383E5F"/>
    <w:rsid w:val="093C1139"/>
    <w:rsid w:val="09554A11"/>
    <w:rsid w:val="0969226A"/>
    <w:rsid w:val="099F7A3A"/>
    <w:rsid w:val="09B94F9F"/>
    <w:rsid w:val="09C83435"/>
    <w:rsid w:val="0A195A3E"/>
    <w:rsid w:val="0A6A629A"/>
    <w:rsid w:val="0A867DEF"/>
    <w:rsid w:val="0A92134D"/>
    <w:rsid w:val="0A9B46A5"/>
    <w:rsid w:val="0AA34B75"/>
    <w:rsid w:val="0ACC485F"/>
    <w:rsid w:val="0AEF054D"/>
    <w:rsid w:val="0AF049F1"/>
    <w:rsid w:val="0AF65D7F"/>
    <w:rsid w:val="0B416FFB"/>
    <w:rsid w:val="0B8D0492"/>
    <w:rsid w:val="0B9730BE"/>
    <w:rsid w:val="0BBC0D77"/>
    <w:rsid w:val="0BE300B2"/>
    <w:rsid w:val="0BF56037"/>
    <w:rsid w:val="0C142961"/>
    <w:rsid w:val="0C5B233E"/>
    <w:rsid w:val="0C752FB1"/>
    <w:rsid w:val="0C9B0EE6"/>
    <w:rsid w:val="0CC17E6B"/>
    <w:rsid w:val="0CE20369"/>
    <w:rsid w:val="0D1644B7"/>
    <w:rsid w:val="0D2A6EDE"/>
    <w:rsid w:val="0D5D20E6"/>
    <w:rsid w:val="0D646FD0"/>
    <w:rsid w:val="0D6B035F"/>
    <w:rsid w:val="0D6E7E4F"/>
    <w:rsid w:val="0D961154"/>
    <w:rsid w:val="0DA73361"/>
    <w:rsid w:val="0DAB4BFF"/>
    <w:rsid w:val="0DB5782C"/>
    <w:rsid w:val="0DBE7140"/>
    <w:rsid w:val="0DCE08EE"/>
    <w:rsid w:val="0DD24882"/>
    <w:rsid w:val="0DF2282E"/>
    <w:rsid w:val="0E1A1D85"/>
    <w:rsid w:val="0E6A6868"/>
    <w:rsid w:val="0E6F20D1"/>
    <w:rsid w:val="0E7B1415"/>
    <w:rsid w:val="0EA578A0"/>
    <w:rsid w:val="0EAA3109"/>
    <w:rsid w:val="0ECE51CC"/>
    <w:rsid w:val="0EDD34DE"/>
    <w:rsid w:val="0EF34AB0"/>
    <w:rsid w:val="0EFF16A6"/>
    <w:rsid w:val="0F07055B"/>
    <w:rsid w:val="0F0F5662"/>
    <w:rsid w:val="0F1467D4"/>
    <w:rsid w:val="0F2E2842"/>
    <w:rsid w:val="0F601A19"/>
    <w:rsid w:val="0F7A0D2D"/>
    <w:rsid w:val="0F9D2C6D"/>
    <w:rsid w:val="0FAB0EE6"/>
    <w:rsid w:val="0FBC30F4"/>
    <w:rsid w:val="0FD61CDB"/>
    <w:rsid w:val="10060813"/>
    <w:rsid w:val="10264A11"/>
    <w:rsid w:val="10482BD9"/>
    <w:rsid w:val="106317C1"/>
    <w:rsid w:val="106D0892"/>
    <w:rsid w:val="107514F4"/>
    <w:rsid w:val="107F4121"/>
    <w:rsid w:val="10973B61"/>
    <w:rsid w:val="10B721D0"/>
    <w:rsid w:val="10CD7582"/>
    <w:rsid w:val="10E8616A"/>
    <w:rsid w:val="111451B1"/>
    <w:rsid w:val="112A22DF"/>
    <w:rsid w:val="114A2981"/>
    <w:rsid w:val="114C04A7"/>
    <w:rsid w:val="11561326"/>
    <w:rsid w:val="115D4462"/>
    <w:rsid w:val="118045F5"/>
    <w:rsid w:val="11A227BD"/>
    <w:rsid w:val="11A55E09"/>
    <w:rsid w:val="11A71B81"/>
    <w:rsid w:val="11B85B3D"/>
    <w:rsid w:val="11BB73DB"/>
    <w:rsid w:val="11C20769"/>
    <w:rsid w:val="11F254F3"/>
    <w:rsid w:val="121F796A"/>
    <w:rsid w:val="12437AFC"/>
    <w:rsid w:val="128B14A3"/>
    <w:rsid w:val="129B16E6"/>
    <w:rsid w:val="12C34799"/>
    <w:rsid w:val="12CC5D44"/>
    <w:rsid w:val="12EB3CF0"/>
    <w:rsid w:val="12F2507E"/>
    <w:rsid w:val="130F79DE"/>
    <w:rsid w:val="13274D28"/>
    <w:rsid w:val="13367661"/>
    <w:rsid w:val="133B6A25"/>
    <w:rsid w:val="134C478E"/>
    <w:rsid w:val="13A04ADA"/>
    <w:rsid w:val="13A66595"/>
    <w:rsid w:val="13DA623E"/>
    <w:rsid w:val="13E26EA1"/>
    <w:rsid w:val="13E62E35"/>
    <w:rsid w:val="13E72709"/>
    <w:rsid w:val="13E96481"/>
    <w:rsid w:val="13EB3FA7"/>
    <w:rsid w:val="14074B59"/>
    <w:rsid w:val="14092680"/>
    <w:rsid w:val="143C2A55"/>
    <w:rsid w:val="144E4536"/>
    <w:rsid w:val="14C64A14"/>
    <w:rsid w:val="14CD31AF"/>
    <w:rsid w:val="14FE7D0A"/>
    <w:rsid w:val="15035321"/>
    <w:rsid w:val="150572EB"/>
    <w:rsid w:val="150A66AF"/>
    <w:rsid w:val="151B6B0E"/>
    <w:rsid w:val="15202377"/>
    <w:rsid w:val="153100E0"/>
    <w:rsid w:val="155C2C83"/>
    <w:rsid w:val="15657D89"/>
    <w:rsid w:val="157955E3"/>
    <w:rsid w:val="15817A39"/>
    <w:rsid w:val="15BE749A"/>
    <w:rsid w:val="1606156C"/>
    <w:rsid w:val="161F43DC"/>
    <w:rsid w:val="163C6D3C"/>
    <w:rsid w:val="165A5414"/>
    <w:rsid w:val="168801D3"/>
    <w:rsid w:val="168D57EA"/>
    <w:rsid w:val="16A62408"/>
    <w:rsid w:val="16EB0762"/>
    <w:rsid w:val="170A0BE8"/>
    <w:rsid w:val="17103D25"/>
    <w:rsid w:val="1742464F"/>
    <w:rsid w:val="17614581"/>
    <w:rsid w:val="176D13A8"/>
    <w:rsid w:val="17AF1790"/>
    <w:rsid w:val="17B60D70"/>
    <w:rsid w:val="17C92852"/>
    <w:rsid w:val="17E94CA2"/>
    <w:rsid w:val="17F81389"/>
    <w:rsid w:val="183121A5"/>
    <w:rsid w:val="1888270D"/>
    <w:rsid w:val="18C748B7"/>
    <w:rsid w:val="18F7146D"/>
    <w:rsid w:val="18F71640"/>
    <w:rsid w:val="18FF4051"/>
    <w:rsid w:val="191775ED"/>
    <w:rsid w:val="19254DE9"/>
    <w:rsid w:val="192B5F11"/>
    <w:rsid w:val="193E2DCB"/>
    <w:rsid w:val="1940130A"/>
    <w:rsid w:val="19461C80"/>
    <w:rsid w:val="1977008B"/>
    <w:rsid w:val="1981715C"/>
    <w:rsid w:val="19A74E14"/>
    <w:rsid w:val="19AB181D"/>
    <w:rsid w:val="19CC487B"/>
    <w:rsid w:val="19E85736"/>
    <w:rsid w:val="1A0B1C25"/>
    <w:rsid w:val="1A0D279E"/>
    <w:rsid w:val="1A2E4BEE"/>
    <w:rsid w:val="1AE96D67"/>
    <w:rsid w:val="1B1738D4"/>
    <w:rsid w:val="1B1F6C2C"/>
    <w:rsid w:val="1B28788F"/>
    <w:rsid w:val="1B410951"/>
    <w:rsid w:val="1B542D7A"/>
    <w:rsid w:val="1B6C00C4"/>
    <w:rsid w:val="1BC51582"/>
    <w:rsid w:val="1BEA723A"/>
    <w:rsid w:val="1BF41E67"/>
    <w:rsid w:val="1C0876C1"/>
    <w:rsid w:val="1C0A3439"/>
    <w:rsid w:val="1C1222ED"/>
    <w:rsid w:val="1C146065"/>
    <w:rsid w:val="1C19367C"/>
    <w:rsid w:val="1C281B11"/>
    <w:rsid w:val="1C387FA6"/>
    <w:rsid w:val="1C5B5A42"/>
    <w:rsid w:val="1CB05D8E"/>
    <w:rsid w:val="1CB82E95"/>
    <w:rsid w:val="1CBF2475"/>
    <w:rsid w:val="1CC57360"/>
    <w:rsid w:val="1CCB0E1A"/>
    <w:rsid w:val="1D5A219E"/>
    <w:rsid w:val="1D7A639C"/>
    <w:rsid w:val="1D8B67FB"/>
    <w:rsid w:val="1DB16262"/>
    <w:rsid w:val="1DB775F0"/>
    <w:rsid w:val="1DDA237C"/>
    <w:rsid w:val="1DE63A32"/>
    <w:rsid w:val="1E1E31CB"/>
    <w:rsid w:val="1E3B1FCF"/>
    <w:rsid w:val="1E636E30"/>
    <w:rsid w:val="1E74103D"/>
    <w:rsid w:val="1E8A260F"/>
    <w:rsid w:val="1E9B2A6E"/>
    <w:rsid w:val="1EA41923"/>
    <w:rsid w:val="1EB03B94"/>
    <w:rsid w:val="1EBA7398"/>
    <w:rsid w:val="1ED02718"/>
    <w:rsid w:val="1ED65854"/>
    <w:rsid w:val="1F1D7927"/>
    <w:rsid w:val="1F1E2EEA"/>
    <w:rsid w:val="1F6115C2"/>
    <w:rsid w:val="1F7C289F"/>
    <w:rsid w:val="1F9A2D26"/>
    <w:rsid w:val="1FA140B4"/>
    <w:rsid w:val="1FB96B52"/>
    <w:rsid w:val="20340A84"/>
    <w:rsid w:val="20586E69"/>
    <w:rsid w:val="20670AB1"/>
    <w:rsid w:val="207417C9"/>
    <w:rsid w:val="20A57C2C"/>
    <w:rsid w:val="20AA343C"/>
    <w:rsid w:val="20C130C2"/>
    <w:rsid w:val="20C718F8"/>
    <w:rsid w:val="20F85F56"/>
    <w:rsid w:val="210466A8"/>
    <w:rsid w:val="2107263D"/>
    <w:rsid w:val="21132D8F"/>
    <w:rsid w:val="21317460"/>
    <w:rsid w:val="213D1BBA"/>
    <w:rsid w:val="21780E44"/>
    <w:rsid w:val="218C2503"/>
    <w:rsid w:val="21A16C6F"/>
    <w:rsid w:val="21A63C04"/>
    <w:rsid w:val="21AA36F4"/>
    <w:rsid w:val="21C83B7A"/>
    <w:rsid w:val="21ED1832"/>
    <w:rsid w:val="21F11323"/>
    <w:rsid w:val="21F66939"/>
    <w:rsid w:val="220821C8"/>
    <w:rsid w:val="2208666C"/>
    <w:rsid w:val="22105521"/>
    <w:rsid w:val="222608A0"/>
    <w:rsid w:val="22322E8D"/>
    <w:rsid w:val="224156DA"/>
    <w:rsid w:val="224F429B"/>
    <w:rsid w:val="225C42C2"/>
    <w:rsid w:val="227C6712"/>
    <w:rsid w:val="229879F0"/>
    <w:rsid w:val="22E70030"/>
    <w:rsid w:val="2318643B"/>
    <w:rsid w:val="237F7E91"/>
    <w:rsid w:val="239312F5"/>
    <w:rsid w:val="23A93537"/>
    <w:rsid w:val="23C245F9"/>
    <w:rsid w:val="23D34A58"/>
    <w:rsid w:val="23F01166"/>
    <w:rsid w:val="23F8626D"/>
    <w:rsid w:val="24015121"/>
    <w:rsid w:val="241308E2"/>
    <w:rsid w:val="241C01AD"/>
    <w:rsid w:val="24217571"/>
    <w:rsid w:val="242A0B1C"/>
    <w:rsid w:val="2432352D"/>
    <w:rsid w:val="243E45C7"/>
    <w:rsid w:val="24457704"/>
    <w:rsid w:val="24594F5D"/>
    <w:rsid w:val="24747FE9"/>
    <w:rsid w:val="24765B0F"/>
    <w:rsid w:val="247955FF"/>
    <w:rsid w:val="24A81A41"/>
    <w:rsid w:val="24AA7567"/>
    <w:rsid w:val="24B30B11"/>
    <w:rsid w:val="24CA7C09"/>
    <w:rsid w:val="24D42836"/>
    <w:rsid w:val="24FA6740"/>
    <w:rsid w:val="2500362B"/>
    <w:rsid w:val="25056E93"/>
    <w:rsid w:val="25537BFE"/>
    <w:rsid w:val="257A33DD"/>
    <w:rsid w:val="257D111F"/>
    <w:rsid w:val="257F6C45"/>
    <w:rsid w:val="25AE3087"/>
    <w:rsid w:val="25B032A3"/>
    <w:rsid w:val="25D074A1"/>
    <w:rsid w:val="25D6438C"/>
    <w:rsid w:val="265A320F"/>
    <w:rsid w:val="26722306"/>
    <w:rsid w:val="268B161A"/>
    <w:rsid w:val="26906C30"/>
    <w:rsid w:val="26A83F7A"/>
    <w:rsid w:val="26B741BD"/>
    <w:rsid w:val="26C97BE2"/>
    <w:rsid w:val="26E1123A"/>
    <w:rsid w:val="27675BE3"/>
    <w:rsid w:val="276854B7"/>
    <w:rsid w:val="276E51C4"/>
    <w:rsid w:val="27871DE1"/>
    <w:rsid w:val="27960276"/>
    <w:rsid w:val="279B763B"/>
    <w:rsid w:val="27C052F3"/>
    <w:rsid w:val="27C2106B"/>
    <w:rsid w:val="27C70430"/>
    <w:rsid w:val="27C76682"/>
    <w:rsid w:val="27F51441"/>
    <w:rsid w:val="280653FC"/>
    <w:rsid w:val="280B656E"/>
    <w:rsid w:val="28463A4A"/>
    <w:rsid w:val="28577A06"/>
    <w:rsid w:val="28856217"/>
    <w:rsid w:val="2890116A"/>
    <w:rsid w:val="28A075FF"/>
    <w:rsid w:val="28BE7A85"/>
    <w:rsid w:val="28CA467C"/>
    <w:rsid w:val="290C4C94"/>
    <w:rsid w:val="2921299A"/>
    <w:rsid w:val="2944442E"/>
    <w:rsid w:val="295403E9"/>
    <w:rsid w:val="295D729E"/>
    <w:rsid w:val="29C15A7E"/>
    <w:rsid w:val="29E90B31"/>
    <w:rsid w:val="2A32072A"/>
    <w:rsid w:val="2A331DAD"/>
    <w:rsid w:val="2A3C3357"/>
    <w:rsid w:val="2A5330AD"/>
    <w:rsid w:val="2A742AF1"/>
    <w:rsid w:val="2A812E0F"/>
    <w:rsid w:val="2AAB5086"/>
    <w:rsid w:val="2B147E30"/>
    <w:rsid w:val="2B3E6C5B"/>
    <w:rsid w:val="2B606BD1"/>
    <w:rsid w:val="2B667F60"/>
    <w:rsid w:val="2B74267D"/>
    <w:rsid w:val="2BC96E6C"/>
    <w:rsid w:val="2BD82C0B"/>
    <w:rsid w:val="2C5F157F"/>
    <w:rsid w:val="2C7C7A3B"/>
    <w:rsid w:val="2C8763E0"/>
    <w:rsid w:val="2C8E776E"/>
    <w:rsid w:val="2C934D84"/>
    <w:rsid w:val="2C954FA0"/>
    <w:rsid w:val="2CB90C8F"/>
    <w:rsid w:val="2CDC672B"/>
    <w:rsid w:val="2CE455E0"/>
    <w:rsid w:val="2CE87942"/>
    <w:rsid w:val="2CEB4BC0"/>
    <w:rsid w:val="2D0619FA"/>
    <w:rsid w:val="2D450775"/>
    <w:rsid w:val="2D564730"/>
    <w:rsid w:val="2D595FCE"/>
    <w:rsid w:val="2D687FBF"/>
    <w:rsid w:val="2D7B4196"/>
    <w:rsid w:val="2D986AF6"/>
    <w:rsid w:val="2DBE22D5"/>
    <w:rsid w:val="2DD65871"/>
    <w:rsid w:val="2DE41D3C"/>
    <w:rsid w:val="2DE735DA"/>
    <w:rsid w:val="2DEC0BF0"/>
    <w:rsid w:val="2E0B376C"/>
    <w:rsid w:val="2E374561"/>
    <w:rsid w:val="2E3D58F0"/>
    <w:rsid w:val="2E7A444E"/>
    <w:rsid w:val="2E9077CD"/>
    <w:rsid w:val="2EAD4823"/>
    <w:rsid w:val="2EC90F31"/>
    <w:rsid w:val="2EF02962"/>
    <w:rsid w:val="2F3B1E2F"/>
    <w:rsid w:val="2F560A17"/>
    <w:rsid w:val="2F5729E1"/>
    <w:rsid w:val="2F5C7FF7"/>
    <w:rsid w:val="2F807842"/>
    <w:rsid w:val="2F884949"/>
    <w:rsid w:val="2F8A06C1"/>
    <w:rsid w:val="2F9C21A2"/>
    <w:rsid w:val="2F9C6646"/>
    <w:rsid w:val="2FA379D4"/>
    <w:rsid w:val="2FE029D7"/>
    <w:rsid w:val="300F0BC6"/>
    <w:rsid w:val="30275F10"/>
    <w:rsid w:val="302F3016"/>
    <w:rsid w:val="303F76FD"/>
    <w:rsid w:val="305111DE"/>
    <w:rsid w:val="30515682"/>
    <w:rsid w:val="30F85AFE"/>
    <w:rsid w:val="30FC55EE"/>
    <w:rsid w:val="310224D9"/>
    <w:rsid w:val="3150593A"/>
    <w:rsid w:val="31615600"/>
    <w:rsid w:val="31771119"/>
    <w:rsid w:val="31A31F0E"/>
    <w:rsid w:val="31ED3189"/>
    <w:rsid w:val="32230959"/>
    <w:rsid w:val="3260395B"/>
    <w:rsid w:val="3291620A"/>
    <w:rsid w:val="32A63A63"/>
    <w:rsid w:val="32AC3044"/>
    <w:rsid w:val="32AC4DF2"/>
    <w:rsid w:val="32B36180"/>
    <w:rsid w:val="32C43EEA"/>
    <w:rsid w:val="337C2A16"/>
    <w:rsid w:val="33863895"/>
    <w:rsid w:val="33884F17"/>
    <w:rsid w:val="33941B0E"/>
    <w:rsid w:val="33A70526"/>
    <w:rsid w:val="33A8380B"/>
    <w:rsid w:val="34036C94"/>
    <w:rsid w:val="34401C96"/>
    <w:rsid w:val="344A041F"/>
    <w:rsid w:val="345179FF"/>
    <w:rsid w:val="34586FDF"/>
    <w:rsid w:val="34CB5A03"/>
    <w:rsid w:val="34F36D08"/>
    <w:rsid w:val="34FB796B"/>
    <w:rsid w:val="35373099"/>
    <w:rsid w:val="35551771"/>
    <w:rsid w:val="356E2833"/>
    <w:rsid w:val="357D65D2"/>
    <w:rsid w:val="35A40002"/>
    <w:rsid w:val="35C10BB4"/>
    <w:rsid w:val="36010FB1"/>
    <w:rsid w:val="360A60B7"/>
    <w:rsid w:val="362C0724"/>
    <w:rsid w:val="36486BE0"/>
    <w:rsid w:val="364A0BAA"/>
    <w:rsid w:val="36A93B22"/>
    <w:rsid w:val="36C344B8"/>
    <w:rsid w:val="36C721FA"/>
    <w:rsid w:val="36CE5337"/>
    <w:rsid w:val="36EE3C2B"/>
    <w:rsid w:val="37151844"/>
    <w:rsid w:val="371D006C"/>
    <w:rsid w:val="37427AD3"/>
    <w:rsid w:val="374C0952"/>
    <w:rsid w:val="3788120C"/>
    <w:rsid w:val="37D01583"/>
    <w:rsid w:val="37D746BF"/>
    <w:rsid w:val="38341B11"/>
    <w:rsid w:val="389E342F"/>
    <w:rsid w:val="38B844F1"/>
    <w:rsid w:val="38E928FC"/>
    <w:rsid w:val="390A69A0"/>
    <w:rsid w:val="390E4110"/>
    <w:rsid w:val="396226AE"/>
    <w:rsid w:val="3962620A"/>
    <w:rsid w:val="39697599"/>
    <w:rsid w:val="39875C71"/>
    <w:rsid w:val="39C46EC5"/>
    <w:rsid w:val="39D215E2"/>
    <w:rsid w:val="3A046550"/>
    <w:rsid w:val="3A0E1EEE"/>
    <w:rsid w:val="3A30455A"/>
    <w:rsid w:val="3A370748"/>
    <w:rsid w:val="3A4D2A17"/>
    <w:rsid w:val="3A63048C"/>
    <w:rsid w:val="3A706705"/>
    <w:rsid w:val="3A850402"/>
    <w:rsid w:val="3A86417A"/>
    <w:rsid w:val="3AB46F3A"/>
    <w:rsid w:val="3ACF1C8D"/>
    <w:rsid w:val="3ADB0022"/>
    <w:rsid w:val="3AE01ADD"/>
    <w:rsid w:val="3AEA295B"/>
    <w:rsid w:val="3B023801"/>
    <w:rsid w:val="3B5F50F7"/>
    <w:rsid w:val="3B673FAC"/>
    <w:rsid w:val="3BA96372"/>
    <w:rsid w:val="3BD3519D"/>
    <w:rsid w:val="3BE41159"/>
    <w:rsid w:val="3BE455FD"/>
    <w:rsid w:val="3BE70C49"/>
    <w:rsid w:val="3BF80A27"/>
    <w:rsid w:val="3BF910A8"/>
    <w:rsid w:val="3C395948"/>
    <w:rsid w:val="3C410359"/>
    <w:rsid w:val="3C522566"/>
    <w:rsid w:val="3C53008C"/>
    <w:rsid w:val="3C552056"/>
    <w:rsid w:val="3C5C33E5"/>
    <w:rsid w:val="3C776471"/>
    <w:rsid w:val="3C920BB5"/>
    <w:rsid w:val="3CB054DF"/>
    <w:rsid w:val="3CCD6091"/>
    <w:rsid w:val="3CF278A5"/>
    <w:rsid w:val="3D0A4BEF"/>
    <w:rsid w:val="3D2F0AF9"/>
    <w:rsid w:val="3D580050"/>
    <w:rsid w:val="3D583BAC"/>
    <w:rsid w:val="3D70539A"/>
    <w:rsid w:val="3D826E7B"/>
    <w:rsid w:val="3D891FB8"/>
    <w:rsid w:val="3DA768E2"/>
    <w:rsid w:val="3DAB4624"/>
    <w:rsid w:val="3DAE7C70"/>
    <w:rsid w:val="3DB159B2"/>
    <w:rsid w:val="3DBF1E7D"/>
    <w:rsid w:val="3DFA1107"/>
    <w:rsid w:val="3E0B6E71"/>
    <w:rsid w:val="3E1A5306"/>
    <w:rsid w:val="3E341F24"/>
    <w:rsid w:val="3E35213F"/>
    <w:rsid w:val="3EAE7D33"/>
    <w:rsid w:val="3EE020AB"/>
    <w:rsid w:val="3EEB27FE"/>
    <w:rsid w:val="3EF47905"/>
    <w:rsid w:val="3F4A1C1A"/>
    <w:rsid w:val="3F93536F"/>
    <w:rsid w:val="3FB62E0C"/>
    <w:rsid w:val="3FC523E1"/>
    <w:rsid w:val="3FD6525C"/>
    <w:rsid w:val="3FD97768"/>
    <w:rsid w:val="3FFD4EDF"/>
    <w:rsid w:val="40145F54"/>
    <w:rsid w:val="401F6C03"/>
    <w:rsid w:val="4024246B"/>
    <w:rsid w:val="40490124"/>
    <w:rsid w:val="404E1296"/>
    <w:rsid w:val="4050500F"/>
    <w:rsid w:val="40784565"/>
    <w:rsid w:val="40786313"/>
    <w:rsid w:val="408A49C4"/>
    <w:rsid w:val="40970E8F"/>
    <w:rsid w:val="409C46F8"/>
    <w:rsid w:val="40A47108"/>
    <w:rsid w:val="40B82BB4"/>
    <w:rsid w:val="40F87310"/>
    <w:rsid w:val="410D2F00"/>
    <w:rsid w:val="41197AF6"/>
    <w:rsid w:val="413B7A6D"/>
    <w:rsid w:val="413E57AF"/>
    <w:rsid w:val="41686388"/>
    <w:rsid w:val="41BD0482"/>
    <w:rsid w:val="41C21F3C"/>
    <w:rsid w:val="41FF0A9A"/>
    <w:rsid w:val="420662CD"/>
    <w:rsid w:val="421D7172"/>
    <w:rsid w:val="422449A5"/>
    <w:rsid w:val="42537038"/>
    <w:rsid w:val="42562684"/>
    <w:rsid w:val="42701998"/>
    <w:rsid w:val="42750D5C"/>
    <w:rsid w:val="42784CF1"/>
    <w:rsid w:val="42823479"/>
    <w:rsid w:val="42870A90"/>
    <w:rsid w:val="42AB0C22"/>
    <w:rsid w:val="42B850ED"/>
    <w:rsid w:val="42EA174A"/>
    <w:rsid w:val="42FE0D52"/>
    <w:rsid w:val="43061D0D"/>
    <w:rsid w:val="43234C5C"/>
    <w:rsid w:val="432F3601"/>
    <w:rsid w:val="43741014"/>
    <w:rsid w:val="43964DAD"/>
    <w:rsid w:val="439C056B"/>
    <w:rsid w:val="43C55D14"/>
    <w:rsid w:val="440305EA"/>
    <w:rsid w:val="448A741E"/>
    <w:rsid w:val="44C77869"/>
    <w:rsid w:val="44CB55AC"/>
    <w:rsid w:val="44CB735A"/>
    <w:rsid w:val="44D81A76"/>
    <w:rsid w:val="44EC107E"/>
    <w:rsid w:val="451707F1"/>
    <w:rsid w:val="45343151"/>
    <w:rsid w:val="453E5D7D"/>
    <w:rsid w:val="456A4DC4"/>
    <w:rsid w:val="45A04342"/>
    <w:rsid w:val="45CC15DB"/>
    <w:rsid w:val="45E00BE3"/>
    <w:rsid w:val="45FC3543"/>
    <w:rsid w:val="45FD79E7"/>
    <w:rsid w:val="46116FEE"/>
    <w:rsid w:val="461D3BE5"/>
    <w:rsid w:val="465313B5"/>
    <w:rsid w:val="469043B7"/>
    <w:rsid w:val="469B2D5C"/>
    <w:rsid w:val="469C7200"/>
    <w:rsid w:val="46A61E2C"/>
    <w:rsid w:val="46A95479"/>
    <w:rsid w:val="46E6047B"/>
    <w:rsid w:val="46E75FA1"/>
    <w:rsid w:val="46FE3A16"/>
    <w:rsid w:val="470B1C8F"/>
    <w:rsid w:val="47590C4D"/>
    <w:rsid w:val="477C0DDF"/>
    <w:rsid w:val="47953C4F"/>
    <w:rsid w:val="47C3256A"/>
    <w:rsid w:val="47D22BC7"/>
    <w:rsid w:val="47E32C0C"/>
    <w:rsid w:val="47FB61A8"/>
    <w:rsid w:val="480F3A01"/>
    <w:rsid w:val="488937B4"/>
    <w:rsid w:val="489108BA"/>
    <w:rsid w:val="489932CB"/>
    <w:rsid w:val="48B05498"/>
    <w:rsid w:val="48C742DC"/>
    <w:rsid w:val="48CE566A"/>
    <w:rsid w:val="48F74BC1"/>
    <w:rsid w:val="49115557"/>
    <w:rsid w:val="491A08B0"/>
    <w:rsid w:val="493059DD"/>
    <w:rsid w:val="49463453"/>
    <w:rsid w:val="49557B3A"/>
    <w:rsid w:val="49B06B1E"/>
    <w:rsid w:val="49D12DCC"/>
    <w:rsid w:val="4A00040B"/>
    <w:rsid w:val="4A0D21C2"/>
    <w:rsid w:val="4A1B668D"/>
    <w:rsid w:val="4A3459A1"/>
    <w:rsid w:val="4A791606"/>
    <w:rsid w:val="4A8F2BD7"/>
    <w:rsid w:val="4ABB39CC"/>
    <w:rsid w:val="4ABB577A"/>
    <w:rsid w:val="4AE41970"/>
    <w:rsid w:val="4AE922E8"/>
    <w:rsid w:val="4AFA62A3"/>
    <w:rsid w:val="4B5C0D0B"/>
    <w:rsid w:val="4B6A47C9"/>
    <w:rsid w:val="4B6C4CC7"/>
    <w:rsid w:val="4B6D2F19"/>
    <w:rsid w:val="4B6E4EE3"/>
    <w:rsid w:val="4B8D7117"/>
    <w:rsid w:val="4BB87F0C"/>
    <w:rsid w:val="4BD25472"/>
    <w:rsid w:val="4C090E16"/>
    <w:rsid w:val="4C1930A0"/>
    <w:rsid w:val="4C1E2465"/>
    <w:rsid w:val="4C211F55"/>
    <w:rsid w:val="4C3A6B73"/>
    <w:rsid w:val="4C424EC2"/>
    <w:rsid w:val="4C5639AD"/>
    <w:rsid w:val="4C687B84"/>
    <w:rsid w:val="4C742085"/>
    <w:rsid w:val="4C87313A"/>
    <w:rsid w:val="4CAF130F"/>
    <w:rsid w:val="4CCE5C39"/>
    <w:rsid w:val="4D151ABA"/>
    <w:rsid w:val="4D1F6494"/>
    <w:rsid w:val="4D31441A"/>
    <w:rsid w:val="4D7367E0"/>
    <w:rsid w:val="4D897DB2"/>
    <w:rsid w:val="4D9F3131"/>
    <w:rsid w:val="4DB017E2"/>
    <w:rsid w:val="4DBC0187"/>
    <w:rsid w:val="4DD252B5"/>
    <w:rsid w:val="4DE4148C"/>
    <w:rsid w:val="4E094A4F"/>
    <w:rsid w:val="4E0F475B"/>
    <w:rsid w:val="4E2B70BB"/>
    <w:rsid w:val="4E2F6BAB"/>
    <w:rsid w:val="4E573A0C"/>
    <w:rsid w:val="4E797E26"/>
    <w:rsid w:val="4E7C3473"/>
    <w:rsid w:val="4E7E368F"/>
    <w:rsid w:val="4EE554BC"/>
    <w:rsid w:val="4F0973FC"/>
    <w:rsid w:val="4F351F9F"/>
    <w:rsid w:val="4F55619D"/>
    <w:rsid w:val="4F9D5D96"/>
    <w:rsid w:val="4FBA6948"/>
    <w:rsid w:val="4FC82E13"/>
    <w:rsid w:val="4FE15C83"/>
    <w:rsid w:val="4FEB08B0"/>
    <w:rsid w:val="4FFC2ABD"/>
    <w:rsid w:val="4FFF435B"/>
    <w:rsid w:val="502D2C76"/>
    <w:rsid w:val="506F14E1"/>
    <w:rsid w:val="507C59AC"/>
    <w:rsid w:val="509F0C78"/>
    <w:rsid w:val="50A54F03"/>
    <w:rsid w:val="50A82C45"/>
    <w:rsid w:val="50D41344"/>
    <w:rsid w:val="50EA0B67"/>
    <w:rsid w:val="512A5408"/>
    <w:rsid w:val="513507BD"/>
    <w:rsid w:val="513A1AEF"/>
    <w:rsid w:val="514A7858"/>
    <w:rsid w:val="514E10F6"/>
    <w:rsid w:val="51597A9B"/>
    <w:rsid w:val="517174DB"/>
    <w:rsid w:val="517F7502"/>
    <w:rsid w:val="51840FBC"/>
    <w:rsid w:val="519A433C"/>
    <w:rsid w:val="51D27F79"/>
    <w:rsid w:val="52132340"/>
    <w:rsid w:val="521C2FA3"/>
    <w:rsid w:val="52483D98"/>
    <w:rsid w:val="52911BE2"/>
    <w:rsid w:val="52E71802"/>
    <w:rsid w:val="52EB0BC7"/>
    <w:rsid w:val="53165C44"/>
    <w:rsid w:val="53346A12"/>
    <w:rsid w:val="535B7AFB"/>
    <w:rsid w:val="53656BCB"/>
    <w:rsid w:val="53762B86"/>
    <w:rsid w:val="53AD7D9F"/>
    <w:rsid w:val="53AE40CE"/>
    <w:rsid w:val="53C42AF2"/>
    <w:rsid w:val="540E3B7C"/>
    <w:rsid w:val="5429409D"/>
    <w:rsid w:val="54300F87"/>
    <w:rsid w:val="54302D35"/>
    <w:rsid w:val="546B6463"/>
    <w:rsid w:val="546D5D37"/>
    <w:rsid w:val="54754BEC"/>
    <w:rsid w:val="54E0475B"/>
    <w:rsid w:val="54E57FC4"/>
    <w:rsid w:val="54F55D2D"/>
    <w:rsid w:val="55050666"/>
    <w:rsid w:val="55175CA3"/>
    <w:rsid w:val="5555142A"/>
    <w:rsid w:val="55627866"/>
    <w:rsid w:val="558275C0"/>
    <w:rsid w:val="55AC6D33"/>
    <w:rsid w:val="55B31E70"/>
    <w:rsid w:val="55C51BA3"/>
    <w:rsid w:val="55C67DF5"/>
    <w:rsid w:val="55D1679A"/>
    <w:rsid w:val="55D911AB"/>
    <w:rsid w:val="55E02539"/>
    <w:rsid w:val="55F935FB"/>
    <w:rsid w:val="55FA4D36"/>
    <w:rsid w:val="56226FF5"/>
    <w:rsid w:val="56312D95"/>
    <w:rsid w:val="56690780"/>
    <w:rsid w:val="566B44F9"/>
    <w:rsid w:val="56B063AF"/>
    <w:rsid w:val="56E8552A"/>
    <w:rsid w:val="56EA18C1"/>
    <w:rsid w:val="572B1EDA"/>
    <w:rsid w:val="573963A5"/>
    <w:rsid w:val="57711FE2"/>
    <w:rsid w:val="578D049F"/>
    <w:rsid w:val="57A53B6E"/>
    <w:rsid w:val="57B679F5"/>
    <w:rsid w:val="57CE2F91"/>
    <w:rsid w:val="57D04F5B"/>
    <w:rsid w:val="57D80A00"/>
    <w:rsid w:val="58093FC9"/>
    <w:rsid w:val="58117322"/>
    <w:rsid w:val="5813309A"/>
    <w:rsid w:val="58535244"/>
    <w:rsid w:val="585B234B"/>
    <w:rsid w:val="586B0507"/>
    <w:rsid w:val="5870229A"/>
    <w:rsid w:val="589917F1"/>
    <w:rsid w:val="58BF0B2C"/>
    <w:rsid w:val="58D2085F"/>
    <w:rsid w:val="58E578B7"/>
    <w:rsid w:val="58F033DB"/>
    <w:rsid w:val="58F46A27"/>
    <w:rsid w:val="58FF53CC"/>
    <w:rsid w:val="5919023C"/>
    <w:rsid w:val="591B0458"/>
    <w:rsid w:val="5960230F"/>
    <w:rsid w:val="596D2336"/>
    <w:rsid w:val="59B14918"/>
    <w:rsid w:val="59C52172"/>
    <w:rsid w:val="59CA3C2C"/>
    <w:rsid w:val="59D93E6F"/>
    <w:rsid w:val="59DE1485"/>
    <w:rsid w:val="59F20A8D"/>
    <w:rsid w:val="5A184997"/>
    <w:rsid w:val="5A2F1CE1"/>
    <w:rsid w:val="5A3F0176"/>
    <w:rsid w:val="5A4968FF"/>
    <w:rsid w:val="5A7A7400"/>
    <w:rsid w:val="5A7C4F26"/>
    <w:rsid w:val="5ACC12DE"/>
    <w:rsid w:val="5AEC372E"/>
    <w:rsid w:val="5AF80325"/>
    <w:rsid w:val="5B1A64ED"/>
    <w:rsid w:val="5B264E92"/>
    <w:rsid w:val="5B5C08B4"/>
    <w:rsid w:val="5B6D0D13"/>
    <w:rsid w:val="5B726329"/>
    <w:rsid w:val="5B995664"/>
    <w:rsid w:val="5BDB3ECE"/>
    <w:rsid w:val="5BE82147"/>
    <w:rsid w:val="5C05719D"/>
    <w:rsid w:val="5C0A47B4"/>
    <w:rsid w:val="5C335AB8"/>
    <w:rsid w:val="5CB12E81"/>
    <w:rsid w:val="5CFF599B"/>
    <w:rsid w:val="5D0E15FA"/>
    <w:rsid w:val="5D1A4582"/>
    <w:rsid w:val="5D1D4073"/>
    <w:rsid w:val="5D423AD9"/>
    <w:rsid w:val="5D465377"/>
    <w:rsid w:val="5D4D6706"/>
    <w:rsid w:val="5D6121B1"/>
    <w:rsid w:val="5D9C143B"/>
    <w:rsid w:val="5DC6470A"/>
    <w:rsid w:val="5DCA7D57"/>
    <w:rsid w:val="5E0314BA"/>
    <w:rsid w:val="5E176D14"/>
    <w:rsid w:val="5E28585A"/>
    <w:rsid w:val="5E5D0BCB"/>
    <w:rsid w:val="5E624433"/>
    <w:rsid w:val="5E761C8C"/>
    <w:rsid w:val="5E7D126D"/>
    <w:rsid w:val="5E8048B9"/>
    <w:rsid w:val="5EC0115A"/>
    <w:rsid w:val="5EDD1D0C"/>
    <w:rsid w:val="5EE906B0"/>
    <w:rsid w:val="5EF64B7B"/>
    <w:rsid w:val="5F021772"/>
    <w:rsid w:val="5F5C3C50"/>
    <w:rsid w:val="5F610B8F"/>
    <w:rsid w:val="5F830B05"/>
    <w:rsid w:val="5FA36AB1"/>
    <w:rsid w:val="5FA56CCD"/>
    <w:rsid w:val="5FAE5456"/>
    <w:rsid w:val="5FCE46C2"/>
    <w:rsid w:val="5FD17AC2"/>
    <w:rsid w:val="60107EBF"/>
    <w:rsid w:val="601E05C2"/>
    <w:rsid w:val="602C53F0"/>
    <w:rsid w:val="60310561"/>
    <w:rsid w:val="605204D7"/>
    <w:rsid w:val="60634492"/>
    <w:rsid w:val="60687CFB"/>
    <w:rsid w:val="60830691"/>
    <w:rsid w:val="6085265B"/>
    <w:rsid w:val="608D150F"/>
    <w:rsid w:val="60B71822"/>
    <w:rsid w:val="60F4333C"/>
    <w:rsid w:val="610D63F4"/>
    <w:rsid w:val="610E08A2"/>
    <w:rsid w:val="618172C6"/>
    <w:rsid w:val="61BC02FE"/>
    <w:rsid w:val="61C86CA3"/>
    <w:rsid w:val="61E17D65"/>
    <w:rsid w:val="61F730E4"/>
    <w:rsid w:val="62031A89"/>
    <w:rsid w:val="62126170"/>
    <w:rsid w:val="62314848"/>
    <w:rsid w:val="62347E94"/>
    <w:rsid w:val="623A1223"/>
    <w:rsid w:val="623C143F"/>
    <w:rsid w:val="623E0D13"/>
    <w:rsid w:val="62562501"/>
    <w:rsid w:val="627F63C9"/>
    <w:rsid w:val="62AE40EB"/>
    <w:rsid w:val="62D578C9"/>
    <w:rsid w:val="62D84CC4"/>
    <w:rsid w:val="62E95123"/>
    <w:rsid w:val="630E4B89"/>
    <w:rsid w:val="631F0153"/>
    <w:rsid w:val="63275C4B"/>
    <w:rsid w:val="632C14B3"/>
    <w:rsid w:val="63387E58"/>
    <w:rsid w:val="636B1FDC"/>
    <w:rsid w:val="637644DD"/>
    <w:rsid w:val="637D3ABD"/>
    <w:rsid w:val="637E4137"/>
    <w:rsid w:val="63E94CAF"/>
    <w:rsid w:val="63F21DB5"/>
    <w:rsid w:val="64281C7B"/>
    <w:rsid w:val="644B7717"/>
    <w:rsid w:val="64992B79"/>
    <w:rsid w:val="64A37553"/>
    <w:rsid w:val="64B452BD"/>
    <w:rsid w:val="64BD0AE6"/>
    <w:rsid w:val="64C179D9"/>
    <w:rsid w:val="64D92F75"/>
    <w:rsid w:val="64DB7571"/>
    <w:rsid w:val="64EA5182"/>
    <w:rsid w:val="65150451"/>
    <w:rsid w:val="655B398A"/>
    <w:rsid w:val="655B7E2E"/>
    <w:rsid w:val="65613696"/>
    <w:rsid w:val="65847385"/>
    <w:rsid w:val="659770B8"/>
    <w:rsid w:val="65DF45BB"/>
    <w:rsid w:val="65EE2A50"/>
    <w:rsid w:val="660202AA"/>
    <w:rsid w:val="660364FC"/>
    <w:rsid w:val="66285F62"/>
    <w:rsid w:val="66756CCD"/>
    <w:rsid w:val="669E4B86"/>
    <w:rsid w:val="66A6332B"/>
    <w:rsid w:val="66B97C70"/>
    <w:rsid w:val="66DD085E"/>
    <w:rsid w:val="671309C0"/>
    <w:rsid w:val="671D35ED"/>
    <w:rsid w:val="67694A84"/>
    <w:rsid w:val="6773320D"/>
    <w:rsid w:val="67CA4DF7"/>
    <w:rsid w:val="67D87514"/>
    <w:rsid w:val="680D18B3"/>
    <w:rsid w:val="68126D46"/>
    <w:rsid w:val="683D381B"/>
    <w:rsid w:val="68442DFB"/>
    <w:rsid w:val="688D6550"/>
    <w:rsid w:val="68A33FC6"/>
    <w:rsid w:val="68AF296B"/>
    <w:rsid w:val="68CB7079"/>
    <w:rsid w:val="68CD1043"/>
    <w:rsid w:val="68DC4DE2"/>
    <w:rsid w:val="68E02B24"/>
    <w:rsid w:val="693C3AD3"/>
    <w:rsid w:val="694035C3"/>
    <w:rsid w:val="696372B1"/>
    <w:rsid w:val="69AB1384"/>
    <w:rsid w:val="69ED2B5E"/>
    <w:rsid w:val="69F06D97"/>
    <w:rsid w:val="69FD7706"/>
    <w:rsid w:val="6A356EA0"/>
    <w:rsid w:val="6A7774B8"/>
    <w:rsid w:val="6A9242F2"/>
    <w:rsid w:val="6AA162E3"/>
    <w:rsid w:val="6AAD6A36"/>
    <w:rsid w:val="6AD541DF"/>
    <w:rsid w:val="6AF44665"/>
    <w:rsid w:val="6B036F9E"/>
    <w:rsid w:val="6B0845B4"/>
    <w:rsid w:val="6B144D07"/>
    <w:rsid w:val="6B2D401B"/>
    <w:rsid w:val="6B4A0729"/>
    <w:rsid w:val="6B5275DD"/>
    <w:rsid w:val="6B574BF4"/>
    <w:rsid w:val="6B7D28AC"/>
    <w:rsid w:val="6B9320D0"/>
    <w:rsid w:val="6BAE515B"/>
    <w:rsid w:val="6BBE4C73"/>
    <w:rsid w:val="6BFF1513"/>
    <w:rsid w:val="6C0755D9"/>
    <w:rsid w:val="6C152AE5"/>
    <w:rsid w:val="6C2C7E2E"/>
    <w:rsid w:val="6C2E1DF8"/>
    <w:rsid w:val="6C375151"/>
    <w:rsid w:val="6C417D7E"/>
    <w:rsid w:val="6C5D56EC"/>
    <w:rsid w:val="6C97174C"/>
    <w:rsid w:val="6CB16AD5"/>
    <w:rsid w:val="6CB93DB8"/>
    <w:rsid w:val="6CD04C5E"/>
    <w:rsid w:val="6CE95D1F"/>
    <w:rsid w:val="6D0A4613"/>
    <w:rsid w:val="6D205BE5"/>
    <w:rsid w:val="6D2C27DC"/>
    <w:rsid w:val="6D48513C"/>
    <w:rsid w:val="6D5238C5"/>
    <w:rsid w:val="6D631F76"/>
    <w:rsid w:val="6D7B72BF"/>
    <w:rsid w:val="6D940381"/>
    <w:rsid w:val="6DCA78FF"/>
    <w:rsid w:val="6DCC3677"/>
    <w:rsid w:val="6E162B44"/>
    <w:rsid w:val="6E2F79D0"/>
    <w:rsid w:val="6E3000AA"/>
    <w:rsid w:val="6E427DDD"/>
    <w:rsid w:val="6E58315D"/>
    <w:rsid w:val="6E970129"/>
    <w:rsid w:val="6E9817AB"/>
    <w:rsid w:val="6EC30F1E"/>
    <w:rsid w:val="6EEB5D7F"/>
    <w:rsid w:val="6EFF182A"/>
    <w:rsid w:val="6F0926A9"/>
    <w:rsid w:val="6F1A6664"/>
    <w:rsid w:val="6F2E3EBD"/>
    <w:rsid w:val="6F6A1399"/>
    <w:rsid w:val="6F6D0E8A"/>
    <w:rsid w:val="6FE50A20"/>
    <w:rsid w:val="6FF670D1"/>
    <w:rsid w:val="700A0487"/>
    <w:rsid w:val="70311EB7"/>
    <w:rsid w:val="70357BF9"/>
    <w:rsid w:val="705F1E1B"/>
    <w:rsid w:val="707F2C23"/>
    <w:rsid w:val="708566AC"/>
    <w:rsid w:val="709D12FB"/>
    <w:rsid w:val="70BA3C5B"/>
    <w:rsid w:val="715C11B6"/>
    <w:rsid w:val="716B764B"/>
    <w:rsid w:val="71810C1C"/>
    <w:rsid w:val="71AF7537"/>
    <w:rsid w:val="71C64881"/>
    <w:rsid w:val="723F6B0D"/>
    <w:rsid w:val="72760055"/>
    <w:rsid w:val="727662A7"/>
    <w:rsid w:val="727B566C"/>
    <w:rsid w:val="72930C07"/>
    <w:rsid w:val="729606F7"/>
    <w:rsid w:val="72C139C6"/>
    <w:rsid w:val="72D54D7C"/>
    <w:rsid w:val="72EC6569"/>
    <w:rsid w:val="7306587D"/>
    <w:rsid w:val="73076EFF"/>
    <w:rsid w:val="73375A36"/>
    <w:rsid w:val="73614861"/>
    <w:rsid w:val="737E3665"/>
    <w:rsid w:val="73B452D9"/>
    <w:rsid w:val="73D9089C"/>
    <w:rsid w:val="73EB05CF"/>
    <w:rsid w:val="73EB6821"/>
    <w:rsid w:val="73ED2599"/>
    <w:rsid w:val="74026044"/>
    <w:rsid w:val="7420471D"/>
    <w:rsid w:val="74235FBB"/>
    <w:rsid w:val="743C0E2B"/>
    <w:rsid w:val="74477EFB"/>
    <w:rsid w:val="74512B28"/>
    <w:rsid w:val="74575C64"/>
    <w:rsid w:val="7467234B"/>
    <w:rsid w:val="746E5488"/>
    <w:rsid w:val="747131CA"/>
    <w:rsid w:val="74714F78"/>
    <w:rsid w:val="74795BDB"/>
    <w:rsid w:val="749018A2"/>
    <w:rsid w:val="74A92964"/>
    <w:rsid w:val="74B51309"/>
    <w:rsid w:val="74DA0D6F"/>
    <w:rsid w:val="74F71921"/>
    <w:rsid w:val="75385A96"/>
    <w:rsid w:val="754461E9"/>
    <w:rsid w:val="757D16FB"/>
    <w:rsid w:val="759A22AD"/>
    <w:rsid w:val="759C7DD3"/>
    <w:rsid w:val="75B23A9A"/>
    <w:rsid w:val="75BE243F"/>
    <w:rsid w:val="763E0E8A"/>
    <w:rsid w:val="766034F6"/>
    <w:rsid w:val="76625752"/>
    <w:rsid w:val="768C6099"/>
    <w:rsid w:val="768D0DAF"/>
    <w:rsid w:val="7691545E"/>
    <w:rsid w:val="76984A3E"/>
    <w:rsid w:val="76BC3EBD"/>
    <w:rsid w:val="76BF646F"/>
    <w:rsid w:val="76CE66B2"/>
    <w:rsid w:val="76D21226"/>
    <w:rsid w:val="77336515"/>
    <w:rsid w:val="774424D0"/>
    <w:rsid w:val="775070C7"/>
    <w:rsid w:val="77A13DC6"/>
    <w:rsid w:val="77A25449"/>
    <w:rsid w:val="78126A72"/>
    <w:rsid w:val="78160310"/>
    <w:rsid w:val="781E71C5"/>
    <w:rsid w:val="7856695F"/>
    <w:rsid w:val="78574485"/>
    <w:rsid w:val="788334CC"/>
    <w:rsid w:val="789B25C4"/>
    <w:rsid w:val="789D27E0"/>
    <w:rsid w:val="789D458E"/>
    <w:rsid w:val="78B60EC8"/>
    <w:rsid w:val="78B6564F"/>
    <w:rsid w:val="78F85C68"/>
    <w:rsid w:val="791729B2"/>
    <w:rsid w:val="792425B9"/>
    <w:rsid w:val="79322EE8"/>
    <w:rsid w:val="7956298E"/>
    <w:rsid w:val="79584959"/>
    <w:rsid w:val="799D236B"/>
    <w:rsid w:val="79B778D1"/>
    <w:rsid w:val="79C02F7D"/>
    <w:rsid w:val="79C63670"/>
    <w:rsid w:val="79D0629D"/>
    <w:rsid w:val="79D55FA9"/>
    <w:rsid w:val="79E8048A"/>
    <w:rsid w:val="7A083C89"/>
    <w:rsid w:val="7A236D15"/>
    <w:rsid w:val="7A3B22B0"/>
    <w:rsid w:val="7A4153ED"/>
    <w:rsid w:val="7A5769BE"/>
    <w:rsid w:val="7A807CC3"/>
    <w:rsid w:val="7AA37E55"/>
    <w:rsid w:val="7AB61937"/>
    <w:rsid w:val="7AD65B35"/>
    <w:rsid w:val="7AF75AAB"/>
    <w:rsid w:val="7AFE6E3A"/>
    <w:rsid w:val="7B0A57DF"/>
    <w:rsid w:val="7B364826"/>
    <w:rsid w:val="7B6E3FBF"/>
    <w:rsid w:val="7B9652C4"/>
    <w:rsid w:val="7B98728E"/>
    <w:rsid w:val="7BB50301"/>
    <w:rsid w:val="7BE44282"/>
    <w:rsid w:val="7BF5023D"/>
    <w:rsid w:val="7C122B9D"/>
    <w:rsid w:val="7C372603"/>
    <w:rsid w:val="7C3C2310"/>
    <w:rsid w:val="7C4D1E27"/>
    <w:rsid w:val="7C8415C1"/>
    <w:rsid w:val="7C907F65"/>
    <w:rsid w:val="7C920181"/>
    <w:rsid w:val="7CA13F21"/>
    <w:rsid w:val="7CAA7279"/>
    <w:rsid w:val="7CD460A4"/>
    <w:rsid w:val="7D0F532E"/>
    <w:rsid w:val="7D2012E9"/>
    <w:rsid w:val="7D3D633F"/>
    <w:rsid w:val="7D58029C"/>
    <w:rsid w:val="7D5B4A17"/>
    <w:rsid w:val="7D5D4690"/>
    <w:rsid w:val="7D6A4C5A"/>
    <w:rsid w:val="7D9B4E14"/>
    <w:rsid w:val="7DD65E4C"/>
    <w:rsid w:val="7DEB5D9B"/>
    <w:rsid w:val="7DF2712A"/>
    <w:rsid w:val="7E857F9E"/>
    <w:rsid w:val="7E8B4E88"/>
    <w:rsid w:val="7EC9775F"/>
    <w:rsid w:val="7F0D3AEF"/>
    <w:rsid w:val="7F5160D2"/>
    <w:rsid w:val="7F673200"/>
    <w:rsid w:val="7F983D01"/>
    <w:rsid w:val="7FB977D3"/>
    <w:rsid w:val="7FF76C7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99"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99"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99" w:semiHidden="0"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3">
    <w:name w:val="heading 1"/>
    <w:basedOn w:val="1"/>
    <w:next w:val="1"/>
    <w:link w:val="28"/>
    <w:qFormat/>
    <w:uiPriority w:val="0"/>
    <w:pPr>
      <w:keepNext/>
      <w:jc w:val="center"/>
      <w:outlineLvl w:val="0"/>
    </w:pPr>
    <w:rPr>
      <w:rFonts w:ascii="楷体_GB2312" w:eastAsia="楷体_GB2312" w:cs="Times New Roman"/>
      <w:sz w:val="28"/>
      <w:szCs w:val="28"/>
    </w:rPr>
  </w:style>
  <w:style w:type="paragraph" w:styleId="4">
    <w:name w:val="heading 2"/>
    <w:basedOn w:val="1"/>
    <w:next w:val="1"/>
    <w:link w:val="29"/>
    <w:qFormat/>
    <w:uiPriority w:val="9"/>
    <w:pPr>
      <w:keepNext/>
      <w:keepLines/>
      <w:spacing w:line="580" w:lineRule="exact"/>
      <w:outlineLvl w:val="1"/>
    </w:pPr>
    <w:rPr>
      <w:rFonts w:ascii="Cambria" w:hAnsi="Cambria" w:eastAsia="仿宋"/>
      <w:b/>
      <w:bCs/>
      <w:sz w:val="32"/>
      <w:szCs w:val="32"/>
    </w:rPr>
  </w:style>
  <w:style w:type="paragraph" w:styleId="5">
    <w:name w:val="heading 3"/>
    <w:basedOn w:val="1"/>
    <w:next w:val="1"/>
    <w:link w:val="30"/>
    <w:qFormat/>
    <w:uiPriority w:val="9"/>
    <w:pPr>
      <w:keepNext/>
      <w:keepLines/>
      <w:spacing w:before="260" w:after="260" w:line="416" w:lineRule="auto"/>
      <w:outlineLvl w:val="2"/>
    </w:pPr>
    <w:rPr>
      <w:b/>
      <w:bCs/>
      <w:sz w:val="32"/>
      <w:szCs w:val="32"/>
    </w:rPr>
  </w:style>
  <w:style w:type="paragraph" w:styleId="6">
    <w:name w:val="heading 4"/>
    <w:basedOn w:val="1"/>
    <w:next w:val="1"/>
    <w:qFormat/>
    <w:uiPriority w:val="9"/>
    <w:pPr>
      <w:keepNext/>
      <w:keepLines/>
      <w:spacing w:before="280" w:after="290" w:line="374" w:lineRule="auto"/>
      <w:outlineLvl w:val="3"/>
    </w:pPr>
    <w:rPr>
      <w:rFonts w:ascii="Arial" w:hAnsi="Arial" w:eastAsia="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宋体" w:hAnsi="宋体" w:eastAsia="等线" w:cs="宋体"/>
      <w:color w:val="000000"/>
      <w:sz w:val="24"/>
      <w:szCs w:val="24"/>
      <w:lang w:val="en-US" w:eastAsia="zh-CN" w:bidi="ar-SA"/>
    </w:rPr>
  </w:style>
  <w:style w:type="paragraph" w:styleId="7">
    <w:name w:val="Normal Indent"/>
    <w:basedOn w:val="1"/>
    <w:qFormat/>
    <w:uiPriority w:val="99"/>
    <w:pPr>
      <w:ind w:firstLine="420"/>
    </w:pPr>
    <w:rPr>
      <w:rFonts w:ascii="Times New Roman" w:hAnsi="Times New Roman"/>
      <w:kern w:val="0"/>
      <w:sz w:val="20"/>
      <w:szCs w:val="20"/>
    </w:rPr>
  </w:style>
  <w:style w:type="paragraph" w:styleId="8">
    <w:name w:val="Body Text"/>
    <w:basedOn w:val="1"/>
    <w:next w:val="9"/>
    <w:link w:val="31"/>
    <w:unhideWhenUsed/>
    <w:qFormat/>
    <w:uiPriority w:val="0"/>
    <w:pPr>
      <w:spacing w:after="120"/>
    </w:pPr>
  </w:style>
  <w:style w:type="paragraph" w:customStyle="1" w:styleId="9">
    <w:name w:val="一级条标题"/>
    <w:basedOn w:val="10"/>
    <w:next w:val="11"/>
    <w:qFormat/>
    <w:uiPriority w:val="0"/>
    <w:pPr>
      <w:tabs>
        <w:tab w:val="left" w:pos="810"/>
        <w:tab w:val="left" w:pos="907"/>
        <w:tab w:val="left" w:pos="1265"/>
      </w:tabs>
      <w:spacing w:before="0" w:after="0"/>
      <w:ind w:left="907" w:hanging="907"/>
      <w:outlineLvl w:val="2"/>
    </w:pPr>
    <w:rPr>
      <w:rFonts w:hAnsi="宋体"/>
      <w:kern w:val="0"/>
      <w:sz w:val="20"/>
      <w:szCs w:val="20"/>
    </w:rPr>
  </w:style>
  <w:style w:type="paragraph" w:customStyle="1" w:styleId="10">
    <w:name w:val="章标题"/>
    <w:next w:val="1"/>
    <w:qFormat/>
    <w:uiPriority w:val="0"/>
    <w:pPr>
      <w:tabs>
        <w:tab w:val="left" w:pos="810"/>
        <w:tab w:val="left" w:pos="1265"/>
      </w:tabs>
      <w:spacing w:before="50" w:after="50"/>
      <w:ind w:left="810" w:hanging="810"/>
      <w:jc w:val="both"/>
      <w:outlineLvl w:val="1"/>
    </w:pPr>
    <w:rPr>
      <w:rFonts w:ascii="黑体" w:hAnsi="Calibri" w:eastAsia="黑体" w:cs="Times New Roman"/>
      <w:kern w:val="2"/>
      <w:sz w:val="21"/>
      <w:szCs w:val="22"/>
      <w:lang w:val="en-US" w:eastAsia="zh-CN" w:bidi="ar-SA"/>
    </w:rPr>
  </w:style>
  <w:style w:type="paragraph" w:customStyle="1" w:styleId="11">
    <w:name w:val="段"/>
    <w:next w:val="12"/>
    <w:qFormat/>
    <w:uiPriority w:val="0"/>
    <w:pPr>
      <w:widowControl w:val="0"/>
      <w:ind w:firstLine="200"/>
      <w:jc w:val="both"/>
    </w:pPr>
    <w:rPr>
      <w:rFonts w:ascii="宋体" w:hAnsi="宋体" w:eastAsia="宋体" w:cs="宋体"/>
      <w:color w:val="000000"/>
      <w:sz w:val="21"/>
      <w:szCs w:val="21"/>
      <w:lang w:val="en-US" w:eastAsia="zh-CN" w:bidi="ar-SA"/>
    </w:rPr>
  </w:style>
  <w:style w:type="paragraph" w:customStyle="1" w:styleId="12">
    <w:name w:val="正文 A"/>
    <w:next w:val="11"/>
    <w:qFormat/>
    <w:uiPriority w:val="0"/>
    <w:pPr>
      <w:widowControl w:val="0"/>
      <w:jc w:val="both"/>
    </w:pPr>
    <w:rPr>
      <w:rFonts w:ascii="Calibri" w:hAnsi="Calibri" w:eastAsia="Calibri" w:cs="Calibri"/>
      <w:color w:val="000000"/>
      <w:kern w:val="2"/>
      <w:sz w:val="21"/>
      <w:szCs w:val="21"/>
      <w:lang w:val="en-US" w:eastAsia="zh-CN" w:bidi="ar-SA"/>
    </w:rPr>
  </w:style>
  <w:style w:type="paragraph" w:styleId="13">
    <w:name w:val="Body Text Indent"/>
    <w:basedOn w:val="1"/>
    <w:next w:val="14"/>
    <w:link w:val="35"/>
    <w:qFormat/>
    <w:uiPriority w:val="0"/>
    <w:pPr>
      <w:spacing w:after="120"/>
      <w:ind w:left="420" w:leftChars="200"/>
    </w:pPr>
  </w:style>
  <w:style w:type="paragraph" w:styleId="14">
    <w:name w:val="envelope return"/>
    <w:basedOn w:val="1"/>
    <w:qFormat/>
    <w:uiPriority w:val="99"/>
    <w:pPr>
      <w:snapToGrid w:val="0"/>
    </w:pPr>
    <w:rPr>
      <w:rFonts w:ascii="Arial" w:hAnsi="Arial"/>
    </w:rPr>
  </w:style>
  <w:style w:type="paragraph" w:styleId="15">
    <w:name w:val="index 4"/>
    <w:basedOn w:val="1"/>
    <w:next w:val="1"/>
    <w:qFormat/>
    <w:uiPriority w:val="99"/>
    <w:pPr>
      <w:ind w:left="600" w:leftChars="600"/>
    </w:pPr>
  </w:style>
  <w:style w:type="paragraph" w:styleId="16">
    <w:name w:val="Plain Text"/>
    <w:basedOn w:val="1"/>
    <w:link w:val="36"/>
    <w:qFormat/>
    <w:uiPriority w:val="0"/>
    <w:rPr>
      <w:rFonts w:ascii="宋体" w:hAnsi="Courier New" w:cs="Courier New"/>
      <w:szCs w:val="21"/>
    </w:rPr>
  </w:style>
  <w:style w:type="paragraph" w:styleId="17">
    <w:name w:val="Date"/>
    <w:basedOn w:val="1"/>
    <w:next w:val="1"/>
    <w:link w:val="37"/>
    <w:qFormat/>
    <w:uiPriority w:val="0"/>
    <w:rPr>
      <w:rFonts w:cs="Times New Roman"/>
      <w:sz w:val="24"/>
      <w:szCs w:val="24"/>
    </w:rPr>
  </w:style>
  <w:style w:type="paragraph" w:styleId="18">
    <w:name w:val="Balloon Text"/>
    <w:basedOn w:val="1"/>
    <w:link w:val="38"/>
    <w:qFormat/>
    <w:uiPriority w:val="99"/>
    <w:rPr>
      <w:sz w:val="18"/>
      <w:szCs w:val="18"/>
    </w:rPr>
  </w:style>
  <w:style w:type="paragraph" w:styleId="19">
    <w:name w:val="footer"/>
    <w:basedOn w:val="1"/>
    <w:link w:val="39"/>
    <w:qFormat/>
    <w:uiPriority w:val="0"/>
    <w:pPr>
      <w:tabs>
        <w:tab w:val="center" w:pos="4153"/>
        <w:tab w:val="right" w:pos="8306"/>
      </w:tabs>
      <w:snapToGrid w:val="0"/>
      <w:jc w:val="left"/>
    </w:pPr>
    <w:rPr>
      <w:sz w:val="18"/>
      <w:szCs w:val="18"/>
    </w:rPr>
  </w:style>
  <w:style w:type="paragraph" w:styleId="20">
    <w:name w:val="header"/>
    <w:basedOn w:val="1"/>
    <w:link w:val="40"/>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0"/>
    <w:pPr>
      <w:spacing w:before="120" w:after="120"/>
      <w:jc w:val="left"/>
    </w:pPr>
    <w:rPr>
      <w:rFonts w:cs="Times New Roman"/>
      <w:b/>
      <w:bCs/>
      <w:caps/>
      <w:sz w:val="20"/>
      <w:szCs w:val="20"/>
    </w:rPr>
  </w:style>
  <w:style w:type="paragraph" w:styleId="22">
    <w:name w:val="Body Text First Indent"/>
    <w:basedOn w:val="8"/>
    <w:link w:val="32"/>
    <w:qFormat/>
    <w:uiPriority w:val="99"/>
    <w:pPr>
      <w:ind w:firstLine="420" w:firstLineChars="100"/>
    </w:pPr>
  </w:style>
  <w:style w:type="paragraph" w:styleId="23">
    <w:name w:val="Body Text First Indent 2"/>
    <w:basedOn w:val="13"/>
    <w:next w:val="1"/>
    <w:link w:val="41"/>
    <w:qFormat/>
    <w:uiPriority w:val="99"/>
    <w:pPr>
      <w:ind w:firstLine="420" w:firstLineChars="200"/>
    </w:pPr>
  </w:style>
  <w:style w:type="character" w:styleId="26">
    <w:name w:val="page number"/>
    <w:basedOn w:val="25"/>
    <w:qFormat/>
    <w:uiPriority w:val="0"/>
  </w:style>
  <w:style w:type="character" w:styleId="27">
    <w:name w:val="Hyperlink"/>
    <w:qFormat/>
    <w:uiPriority w:val="0"/>
    <w:rPr>
      <w:color w:val="0000FF"/>
      <w:u w:val="single"/>
    </w:rPr>
  </w:style>
  <w:style w:type="character" w:customStyle="1" w:styleId="28">
    <w:name w:val="标题 1 Char"/>
    <w:basedOn w:val="25"/>
    <w:link w:val="3"/>
    <w:qFormat/>
    <w:uiPriority w:val="0"/>
    <w:rPr>
      <w:rFonts w:ascii="楷体_GB2312" w:hAnsi="Calibri" w:eastAsia="楷体_GB2312" w:cs="Times New Roman"/>
      <w:sz w:val="28"/>
      <w:szCs w:val="28"/>
    </w:rPr>
  </w:style>
  <w:style w:type="character" w:customStyle="1" w:styleId="29">
    <w:name w:val="标题 2 Char"/>
    <w:basedOn w:val="25"/>
    <w:link w:val="4"/>
    <w:qFormat/>
    <w:uiPriority w:val="9"/>
    <w:rPr>
      <w:rFonts w:ascii="Cambria" w:hAnsi="Cambria" w:eastAsia="仿宋" w:cs="宋体"/>
      <w:b/>
      <w:bCs/>
      <w:sz w:val="32"/>
      <w:szCs w:val="32"/>
    </w:rPr>
  </w:style>
  <w:style w:type="character" w:customStyle="1" w:styleId="30">
    <w:name w:val="标题 3 Char"/>
    <w:basedOn w:val="25"/>
    <w:link w:val="5"/>
    <w:qFormat/>
    <w:uiPriority w:val="9"/>
    <w:rPr>
      <w:rFonts w:ascii="Calibri" w:hAnsi="Calibri" w:eastAsia="宋体" w:cs="宋体"/>
      <w:b/>
      <w:bCs/>
      <w:sz w:val="32"/>
      <w:szCs w:val="32"/>
    </w:rPr>
  </w:style>
  <w:style w:type="character" w:customStyle="1" w:styleId="31">
    <w:name w:val="正文文本 Char"/>
    <w:basedOn w:val="25"/>
    <w:link w:val="8"/>
    <w:qFormat/>
    <w:uiPriority w:val="0"/>
    <w:rPr>
      <w:rFonts w:ascii="Calibri" w:hAnsi="Calibri" w:eastAsia="宋体" w:cs="宋体"/>
    </w:rPr>
  </w:style>
  <w:style w:type="character" w:customStyle="1" w:styleId="32">
    <w:name w:val="正文首行缩进 Char"/>
    <w:basedOn w:val="31"/>
    <w:link w:val="22"/>
    <w:qFormat/>
    <w:uiPriority w:val="99"/>
  </w:style>
  <w:style w:type="paragraph" w:customStyle="1" w:styleId="33">
    <w:name w:val="style4"/>
    <w:basedOn w:val="1"/>
    <w:next w:val="34"/>
    <w:qFormat/>
    <w:uiPriority w:val="0"/>
    <w:pPr>
      <w:widowControl/>
      <w:spacing w:before="280" w:after="280"/>
    </w:pPr>
    <w:rPr>
      <w:rFonts w:ascii="宋体"/>
      <w:sz w:val="18"/>
    </w:rPr>
  </w:style>
  <w:style w:type="paragraph" w:customStyle="1" w:styleId="34">
    <w:name w:val="2"/>
    <w:next w:val="1"/>
    <w:qFormat/>
    <w:uiPriority w:val="0"/>
    <w:pPr>
      <w:widowControl w:val="0"/>
      <w:jc w:val="both"/>
    </w:pPr>
    <w:rPr>
      <w:rFonts w:ascii="Times New Roman" w:hAnsi="Times New Roman" w:eastAsia="宋体" w:cs="Times New Roman"/>
      <w:sz w:val="21"/>
      <w:szCs w:val="22"/>
      <w:lang w:val="en-US" w:eastAsia="zh-CN" w:bidi="ar-SA"/>
    </w:rPr>
  </w:style>
  <w:style w:type="character" w:customStyle="1" w:styleId="35">
    <w:name w:val="正文文本缩进 Char"/>
    <w:basedOn w:val="25"/>
    <w:link w:val="13"/>
    <w:qFormat/>
    <w:uiPriority w:val="0"/>
    <w:rPr>
      <w:rFonts w:ascii="Calibri" w:hAnsi="Calibri" w:eastAsia="宋体" w:cs="宋体"/>
    </w:rPr>
  </w:style>
  <w:style w:type="character" w:customStyle="1" w:styleId="36">
    <w:name w:val="纯文本 Char"/>
    <w:basedOn w:val="25"/>
    <w:link w:val="16"/>
    <w:qFormat/>
    <w:uiPriority w:val="0"/>
    <w:rPr>
      <w:rFonts w:ascii="宋体" w:hAnsi="Courier New" w:eastAsia="宋体" w:cs="Courier New"/>
      <w:szCs w:val="21"/>
    </w:rPr>
  </w:style>
  <w:style w:type="character" w:customStyle="1" w:styleId="37">
    <w:name w:val="日期 Char"/>
    <w:basedOn w:val="25"/>
    <w:link w:val="17"/>
    <w:qFormat/>
    <w:uiPriority w:val="0"/>
    <w:rPr>
      <w:rFonts w:ascii="Calibri" w:hAnsi="Calibri" w:eastAsia="宋体" w:cs="Times New Roman"/>
      <w:sz w:val="24"/>
      <w:szCs w:val="24"/>
    </w:rPr>
  </w:style>
  <w:style w:type="character" w:customStyle="1" w:styleId="38">
    <w:name w:val="批注框文本 Char"/>
    <w:basedOn w:val="25"/>
    <w:link w:val="18"/>
    <w:qFormat/>
    <w:uiPriority w:val="99"/>
    <w:rPr>
      <w:rFonts w:ascii="Calibri" w:hAnsi="Calibri" w:eastAsia="宋体" w:cs="宋体"/>
      <w:sz w:val="18"/>
      <w:szCs w:val="18"/>
    </w:rPr>
  </w:style>
  <w:style w:type="character" w:customStyle="1" w:styleId="39">
    <w:name w:val="页脚 Char"/>
    <w:basedOn w:val="25"/>
    <w:link w:val="19"/>
    <w:qFormat/>
    <w:uiPriority w:val="0"/>
    <w:rPr>
      <w:rFonts w:ascii="Calibri" w:hAnsi="Calibri" w:eastAsia="宋体" w:cs="宋体"/>
      <w:sz w:val="18"/>
      <w:szCs w:val="18"/>
    </w:rPr>
  </w:style>
  <w:style w:type="character" w:customStyle="1" w:styleId="40">
    <w:name w:val="页眉 Char"/>
    <w:basedOn w:val="25"/>
    <w:link w:val="20"/>
    <w:qFormat/>
    <w:uiPriority w:val="0"/>
    <w:rPr>
      <w:rFonts w:ascii="Calibri" w:hAnsi="Calibri" w:eastAsia="宋体" w:cs="宋体"/>
      <w:sz w:val="18"/>
      <w:szCs w:val="18"/>
    </w:rPr>
  </w:style>
  <w:style w:type="character" w:customStyle="1" w:styleId="41">
    <w:name w:val="正文首行缩进 2 Char"/>
    <w:basedOn w:val="35"/>
    <w:link w:val="23"/>
    <w:qFormat/>
    <w:uiPriority w:val="99"/>
  </w:style>
  <w:style w:type="paragraph" w:customStyle="1" w:styleId="42">
    <w:name w:val="正文（缩进）"/>
    <w:basedOn w:val="1"/>
    <w:qFormat/>
    <w:uiPriority w:val="0"/>
    <w:pPr>
      <w:spacing w:before="156" w:after="156"/>
      <w:ind w:firstLine="480" w:firstLineChars="200"/>
    </w:pPr>
    <w:rPr>
      <w:rFonts w:ascii="Times New Roman" w:hAnsi="Times New Roman" w:cs="Times New Roman"/>
      <w:szCs w:val="21"/>
    </w:rPr>
  </w:style>
  <w:style w:type="paragraph" w:customStyle="1" w:styleId="43">
    <w:name w:val="一级目录"/>
    <w:next w:val="1"/>
    <w:qFormat/>
    <w:uiPriority w:val="0"/>
    <w:pPr>
      <w:spacing w:afterLines="100"/>
      <w:jc w:val="center"/>
      <w:outlineLvl w:val="0"/>
    </w:pPr>
    <w:rPr>
      <w:rFonts w:ascii="黑体" w:hAnsi="Calibri" w:eastAsia="黑体" w:cs="Times New Roman"/>
      <w:b/>
      <w:kern w:val="2"/>
      <w:sz w:val="44"/>
      <w:szCs w:val="44"/>
      <w:lang w:val="en-US" w:eastAsia="zh-CN" w:bidi="ar-SA"/>
    </w:rPr>
  </w:style>
  <w:style w:type="paragraph" w:customStyle="1" w:styleId="44">
    <w:name w:val="普通正文"/>
    <w:basedOn w:val="1"/>
    <w:qFormat/>
    <w:uiPriority w:val="0"/>
    <w:pPr>
      <w:adjustRightInd w:val="0"/>
      <w:spacing w:before="120" w:after="120" w:line="360" w:lineRule="auto"/>
      <w:ind w:firstLine="480"/>
      <w:jc w:val="left"/>
      <w:textAlignment w:val="baseline"/>
    </w:pPr>
    <w:rPr>
      <w:rFonts w:ascii="Arial" w:hAnsi="Arial" w:cs="Times New Roman"/>
      <w:kern w:val="0"/>
      <w:sz w:val="24"/>
      <w:szCs w:val="24"/>
    </w:rPr>
  </w:style>
  <w:style w:type="paragraph" w:customStyle="1" w:styleId="45">
    <w:name w:val="正文缩进2"/>
    <w:basedOn w:val="1"/>
    <w:qFormat/>
    <w:uiPriority w:val="0"/>
    <w:pPr>
      <w:spacing w:before="50"/>
      <w:ind w:left="200" w:firstLine="420" w:firstLineChars="200"/>
    </w:pPr>
    <w:rPr>
      <w:rFonts w:cs="Times New Roman"/>
      <w:sz w:val="24"/>
      <w:szCs w:val="24"/>
    </w:rPr>
  </w:style>
  <w:style w:type="character" w:customStyle="1" w:styleId="46">
    <w:name w:val="NormalCharacter"/>
    <w:qFormat/>
    <w:uiPriority w:val="0"/>
    <w:rPr>
      <w:rFonts w:ascii="宋体" w:hAnsi="宋体" w:eastAsia="宋体" w:cs="宋体"/>
      <w:sz w:val="22"/>
      <w:szCs w:val="22"/>
      <w:lang w:val="zh-CN" w:eastAsia="zh-CN" w:bidi="zh-CN"/>
    </w:rPr>
  </w:style>
  <w:style w:type="paragraph" w:customStyle="1" w:styleId="47">
    <w:name w:val="正文缩进2格"/>
    <w:basedOn w:val="1"/>
    <w:qFormat/>
    <w:uiPriority w:val="0"/>
    <w:pPr>
      <w:spacing w:line="600" w:lineRule="exact"/>
      <w:ind w:firstLine="639" w:firstLineChars="206"/>
    </w:pPr>
    <w:rPr>
      <w:rFonts w:ascii="仿宋_GB2312" w:hAnsi="宋体" w:eastAsia="仿宋_GB2312"/>
      <w:kern w:val="0"/>
      <w:sz w:val="31"/>
      <w:szCs w:val="28"/>
    </w:rPr>
  </w:style>
  <w:style w:type="paragraph" w:styleId="48">
    <w:name w:val="List Paragraph"/>
    <w:basedOn w:val="1"/>
    <w:qFormat/>
    <w:uiPriority w:val="99"/>
    <w:pPr>
      <w:ind w:firstLine="420" w:firstLineChars="200"/>
    </w:pPr>
  </w:style>
  <w:style w:type="paragraph" w:customStyle="1" w:styleId="49">
    <w:name w:val="正文2"/>
    <w:basedOn w:val="1"/>
    <w:qFormat/>
    <w:uiPriority w:val="0"/>
    <w:pPr>
      <w:adjustRightInd w:val="0"/>
      <w:snapToGrid w:val="0"/>
      <w:spacing w:line="360" w:lineRule="auto"/>
      <w:ind w:firstLine="480" w:firstLineChars="200"/>
    </w:pPr>
    <w:rPr>
      <w:rFonts w:ascii="华文中宋" w:hAnsi="华文中宋" w:eastAsia="华文中宋"/>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7"/>
    <customShpInfo spid="_x0000_s1028"/>
    <customShpInfo spid="_x0000_s1026"/>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43</Pages>
  <Words>3870</Words>
  <Characters>22062</Characters>
  <Lines>183</Lines>
  <Paragraphs>51</Paragraphs>
  <TotalTime>11</TotalTime>
  <ScaleCrop>false</ScaleCrop>
  <LinksUpToDate>false</LinksUpToDate>
  <CharactersWithSpaces>25881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2023-09-08T00:25:00Z</dcterms:created>
  <dc:creator>Administrator</dc:creator>
  <cp:lastModifiedBy>lenovo</cp:lastModifiedBy>
  <dcterms:modified xsi:type="dcterms:W3CDTF">2023-09-18T01:05:29Z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3F2CD7E37DD245E5882680325009B52E</vt:lpwstr>
  </property>
</Properties>
</file>