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360" w:lineRule="auto"/>
        <w:jc w:val="center"/>
        <w:rPr>
          <w:rFonts w:ascii="Arial" w:hAnsi="Arial" w:cs="Arial"/>
          <w:b/>
          <w:color w:val="auto"/>
          <w:kern w:val="0"/>
          <w:sz w:val="48"/>
          <w:szCs w:val="48"/>
          <w:highlight w:val="none"/>
        </w:rPr>
      </w:pPr>
    </w:p>
    <w:p>
      <w:pPr>
        <w:widowControl/>
        <w:shd w:val="clear" w:color="auto" w:fill="FFFFFF"/>
        <w:spacing w:line="360" w:lineRule="auto"/>
        <w:jc w:val="center"/>
        <w:rPr>
          <w:b/>
          <w:bCs/>
          <w:color w:val="auto"/>
          <w:sz w:val="36"/>
          <w:szCs w:val="36"/>
          <w:highlight w:val="none"/>
        </w:rPr>
      </w:pPr>
      <w:r>
        <w:rPr>
          <w:rFonts w:hint="eastAsia"/>
          <w:b/>
          <w:bCs/>
          <w:color w:val="auto"/>
          <w:sz w:val="36"/>
          <w:szCs w:val="36"/>
          <w:highlight w:val="none"/>
        </w:rPr>
        <w:t>2024-2025年度省级大气多参数站</w:t>
      </w:r>
    </w:p>
    <w:p>
      <w:pPr>
        <w:widowControl/>
        <w:shd w:val="clear" w:color="auto" w:fill="FFFFFF"/>
        <w:spacing w:line="360" w:lineRule="auto"/>
        <w:jc w:val="center"/>
        <w:rPr>
          <w:rFonts w:ascii="Arial" w:hAnsi="Arial" w:cs="Arial"/>
          <w:b/>
          <w:color w:val="auto"/>
          <w:kern w:val="0"/>
          <w:sz w:val="36"/>
          <w:szCs w:val="36"/>
          <w:highlight w:val="none"/>
        </w:rPr>
      </w:pPr>
      <w:r>
        <w:rPr>
          <w:rFonts w:hint="eastAsia"/>
          <w:b/>
          <w:bCs/>
          <w:color w:val="auto"/>
          <w:sz w:val="36"/>
          <w:szCs w:val="36"/>
          <w:highlight w:val="none"/>
        </w:rPr>
        <w:t>新增设备及汾湖超站相关设备运维服务项目</w:t>
      </w:r>
    </w:p>
    <w:p>
      <w:pPr>
        <w:pStyle w:val="54"/>
        <w:ind w:firstLine="0" w:firstLineChars="0"/>
        <w:rPr>
          <w:rFonts w:ascii="Arial" w:hAnsi="Arial" w:cs="Arial"/>
          <w:b/>
          <w:color w:val="auto"/>
          <w:kern w:val="0"/>
          <w:sz w:val="72"/>
          <w:szCs w:val="72"/>
          <w:highlight w:val="none"/>
        </w:rPr>
      </w:pPr>
    </w:p>
    <w:p>
      <w:pPr>
        <w:pStyle w:val="54"/>
        <w:ind w:firstLine="1446"/>
        <w:rPr>
          <w:rFonts w:ascii="Arial" w:hAnsi="Arial" w:cs="Arial"/>
          <w:b/>
          <w:color w:val="auto"/>
          <w:kern w:val="0"/>
          <w:sz w:val="72"/>
          <w:szCs w:val="72"/>
          <w:highlight w:val="none"/>
        </w:rPr>
      </w:pPr>
    </w:p>
    <w:p>
      <w:pPr>
        <w:widowControl/>
        <w:spacing w:line="360" w:lineRule="auto"/>
        <w:jc w:val="center"/>
        <w:rPr>
          <w:rFonts w:ascii="Arial" w:hAnsi="Arial" w:cs="Arial"/>
          <w:b/>
          <w:color w:val="auto"/>
          <w:kern w:val="0"/>
          <w:sz w:val="72"/>
          <w:szCs w:val="72"/>
          <w:highlight w:val="none"/>
        </w:rPr>
      </w:pPr>
      <w:r>
        <w:rPr>
          <w:rFonts w:ascii="Arial" w:hAnsi="宋体" w:cs="Arial"/>
          <w:b/>
          <w:color w:val="auto"/>
          <w:kern w:val="0"/>
          <w:sz w:val="72"/>
          <w:szCs w:val="72"/>
          <w:highlight w:val="none"/>
        </w:rPr>
        <w:t>招</w:t>
      </w:r>
      <w:r>
        <w:rPr>
          <w:rFonts w:ascii="Arial" w:hAnsi="Arial" w:cs="Arial"/>
          <w:b/>
          <w:color w:val="auto"/>
          <w:kern w:val="0"/>
          <w:sz w:val="72"/>
          <w:szCs w:val="72"/>
          <w:highlight w:val="none"/>
        </w:rPr>
        <w:t xml:space="preserve"> </w:t>
      </w:r>
      <w:r>
        <w:rPr>
          <w:rFonts w:ascii="Arial" w:hAnsi="宋体" w:cs="Arial"/>
          <w:b/>
          <w:color w:val="auto"/>
          <w:kern w:val="0"/>
          <w:sz w:val="72"/>
          <w:szCs w:val="72"/>
          <w:highlight w:val="none"/>
        </w:rPr>
        <w:t>标</w:t>
      </w:r>
      <w:r>
        <w:rPr>
          <w:rFonts w:ascii="Arial" w:hAnsi="Arial" w:cs="Arial"/>
          <w:b/>
          <w:color w:val="auto"/>
          <w:kern w:val="0"/>
          <w:sz w:val="72"/>
          <w:szCs w:val="72"/>
          <w:highlight w:val="none"/>
        </w:rPr>
        <w:t xml:space="preserve"> </w:t>
      </w:r>
      <w:r>
        <w:rPr>
          <w:rFonts w:ascii="Arial" w:hAnsi="宋体" w:cs="Arial"/>
          <w:b/>
          <w:color w:val="auto"/>
          <w:kern w:val="0"/>
          <w:sz w:val="72"/>
          <w:szCs w:val="72"/>
          <w:highlight w:val="none"/>
        </w:rPr>
        <w:t>文</w:t>
      </w:r>
      <w:r>
        <w:rPr>
          <w:rFonts w:ascii="Arial" w:hAnsi="Arial" w:cs="Arial"/>
          <w:b/>
          <w:color w:val="auto"/>
          <w:kern w:val="0"/>
          <w:sz w:val="72"/>
          <w:szCs w:val="72"/>
          <w:highlight w:val="none"/>
        </w:rPr>
        <w:t xml:space="preserve"> </w:t>
      </w:r>
      <w:r>
        <w:rPr>
          <w:rFonts w:ascii="Arial" w:hAnsi="宋体" w:cs="Arial"/>
          <w:b/>
          <w:color w:val="auto"/>
          <w:kern w:val="0"/>
          <w:sz w:val="72"/>
          <w:szCs w:val="72"/>
          <w:highlight w:val="none"/>
        </w:rPr>
        <w:t>件</w:t>
      </w:r>
    </w:p>
    <w:p>
      <w:pPr>
        <w:widowControl/>
        <w:spacing w:line="360" w:lineRule="auto"/>
        <w:jc w:val="center"/>
        <w:rPr>
          <w:rFonts w:ascii="Arial" w:hAnsi="Arial" w:cs="Arial"/>
          <w:b/>
          <w:color w:val="auto"/>
          <w:kern w:val="0"/>
          <w:sz w:val="36"/>
          <w:szCs w:val="36"/>
          <w:highlight w:val="none"/>
        </w:rPr>
      </w:pPr>
    </w:p>
    <w:p>
      <w:pPr>
        <w:widowControl/>
        <w:spacing w:line="360" w:lineRule="auto"/>
        <w:jc w:val="center"/>
        <w:rPr>
          <w:rFonts w:ascii="Arial" w:hAnsi="Arial" w:cs="Arial"/>
          <w:b/>
          <w:color w:val="auto"/>
          <w:kern w:val="0"/>
          <w:sz w:val="36"/>
          <w:szCs w:val="36"/>
          <w:highlight w:val="none"/>
        </w:rPr>
      </w:pPr>
    </w:p>
    <w:p>
      <w:pPr>
        <w:widowControl/>
        <w:spacing w:line="360" w:lineRule="auto"/>
        <w:jc w:val="center"/>
        <w:rPr>
          <w:rFonts w:ascii="Arial" w:hAnsi="Arial" w:cs="Arial"/>
          <w:b/>
          <w:color w:val="auto"/>
          <w:kern w:val="0"/>
          <w:sz w:val="36"/>
          <w:szCs w:val="36"/>
          <w:highlight w:val="none"/>
        </w:rPr>
      </w:pPr>
      <w:r>
        <w:rPr>
          <w:rFonts w:ascii="Arial" w:hAnsi="宋体" w:cs="Arial"/>
          <w:b/>
          <w:color w:val="auto"/>
          <w:kern w:val="0"/>
          <w:sz w:val="36"/>
          <w:szCs w:val="36"/>
          <w:highlight w:val="none"/>
        </w:rPr>
        <w:t>项目编号：ZZ20322333</w:t>
      </w:r>
      <w:r>
        <w:rPr>
          <w:rFonts w:hint="eastAsia" w:ascii="Arial" w:hAnsi="宋体" w:cs="Arial"/>
          <w:b/>
          <w:color w:val="auto"/>
          <w:kern w:val="0"/>
          <w:sz w:val="36"/>
          <w:szCs w:val="36"/>
          <w:highlight w:val="none"/>
          <w:lang w:val="en-US" w:eastAsia="zh-CN"/>
        </w:rPr>
        <w:t>1984</w:t>
      </w:r>
      <w:r>
        <w:rPr>
          <w:rFonts w:hint="eastAsia" w:ascii="Arial" w:hAnsi="宋体" w:cs="Arial"/>
          <w:b/>
          <w:color w:val="auto"/>
          <w:kern w:val="0"/>
          <w:sz w:val="36"/>
          <w:szCs w:val="36"/>
          <w:highlight w:val="none"/>
        </w:rPr>
        <w:t xml:space="preserve"> </w:t>
      </w:r>
    </w:p>
    <w:p>
      <w:pPr>
        <w:widowControl/>
        <w:spacing w:line="360" w:lineRule="auto"/>
        <w:jc w:val="center"/>
        <w:rPr>
          <w:rFonts w:ascii="Arial" w:hAnsi="Arial" w:cs="Arial"/>
          <w:b/>
          <w:color w:val="auto"/>
          <w:kern w:val="0"/>
          <w:sz w:val="72"/>
          <w:szCs w:val="72"/>
          <w:highlight w:val="none"/>
        </w:rPr>
      </w:pPr>
    </w:p>
    <w:p>
      <w:pPr>
        <w:widowControl/>
        <w:shd w:val="clear" w:color="auto" w:fill="FFFFFF"/>
        <w:spacing w:line="360" w:lineRule="auto"/>
        <w:rPr>
          <w:rFonts w:ascii="Arial" w:hAnsi="Arial" w:cs="Arial"/>
          <w:color w:val="auto"/>
          <w:kern w:val="0"/>
          <w:sz w:val="44"/>
          <w:szCs w:val="44"/>
          <w:highlight w:val="none"/>
        </w:rPr>
      </w:pPr>
      <w:r>
        <w:rPr>
          <w:rFonts w:ascii="Arial" w:hAnsi="Arial" w:cs="Arial"/>
          <w:color w:val="auto"/>
          <w:kern w:val="0"/>
          <w:sz w:val="32"/>
          <w:szCs w:val="32"/>
          <w:highlight w:val="none"/>
        </w:rPr>
        <w:t>  </w:t>
      </w:r>
    </w:p>
    <w:p>
      <w:pPr>
        <w:widowControl/>
        <w:spacing w:line="360" w:lineRule="auto"/>
        <w:jc w:val="center"/>
        <w:rPr>
          <w:rFonts w:ascii="Arial" w:hAnsi="Arial" w:cs="Arial"/>
          <w:b/>
          <w:color w:val="auto"/>
          <w:kern w:val="0"/>
          <w:sz w:val="36"/>
          <w:szCs w:val="36"/>
          <w:highlight w:val="none"/>
        </w:rPr>
      </w:pPr>
    </w:p>
    <w:p>
      <w:pPr>
        <w:widowControl/>
        <w:spacing w:line="360" w:lineRule="auto"/>
        <w:jc w:val="center"/>
        <w:rPr>
          <w:rFonts w:ascii="Arial" w:hAnsi="Arial" w:cs="Arial"/>
          <w:b/>
          <w:color w:val="auto"/>
          <w:kern w:val="0"/>
          <w:sz w:val="36"/>
          <w:szCs w:val="36"/>
          <w:highlight w:val="none"/>
        </w:rPr>
      </w:pPr>
    </w:p>
    <w:p>
      <w:pPr>
        <w:widowControl/>
        <w:spacing w:line="360" w:lineRule="auto"/>
        <w:jc w:val="center"/>
        <w:rPr>
          <w:rFonts w:ascii="Arial" w:hAnsi="Arial" w:cs="Arial"/>
          <w:b/>
          <w:color w:val="auto"/>
          <w:kern w:val="0"/>
          <w:sz w:val="36"/>
          <w:szCs w:val="36"/>
          <w:highlight w:val="none"/>
        </w:rPr>
      </w:pPr>
      <w:r>
        <w:rPr>
          <w:rFonts w:ascii="Arial" w:hAnsi="宋体" w:cs="Arial"/>
          <w:b/>
          <w:color w:val="auto"/>
          <w:kern w:val="0"/>
          <w:sz w:val="36"/>
          <w:szCs w:val="36"/>
          <w:highlight w:val="none"/>
        </w:rPr>
        <w:t>江苏省设备成套股份有限公司</w:t>
      </w:r>
    </w:p>
    <w:p>
      <w:pPr>
        <w:widowControl/>
        <w:shd w:val="clear" w:color="auto" w:fill="FFFFFF"/>
        <w:spacing w:line="360" w:lineRule="auto"/>
        <w:jc w:val="center"/>
        <w:rPr>
          <w:rFonts w:ascii="Arial" w:hAnsi="Arial" w:cs="Arial"/>
          <w:b/>
          <w:color w:val="auto"/>
          <w:kern w:val="0"/>
          <w:sz w:val="36"/>
          <w:szCs w:val="36"/>
          <w:highlight w:val="none"/>
        </w:rPr>
      </w:pPr>
      <w:r>
        <w:rPr>
          <w:rFonts w:hint="eastAsia" w:ascii="Arial" w:hAnsi="宋体" w:cs="Arial"/>
          <w:b/>
          <w:color w:val="auto"/>
          <w:kern w:val="0"/>
          <w:sz w:val="36"/>
          <w:szCs w:val="36"/>
          <w:highlight w:val="none"/>
        </w:rPr>
        <w:t>2023</w:t>
      </w:r>
      <w:r>
        <w:rPr>
          <w:rFonts w:ascii="Arial" w:hAnsi="宋体" w:cs="Arial"/>
          <w:b/>
          <w:color w:val="auto"/>
          <w:kern w:val="0"/>
          <w:sz w:val="36"/>
          <w:szCs w:val="36"/>
          <w:highlight w:val="none"/>
        </w:rPr>
        <w:t>年</w:t>
      </w:r>
      <w:r>
        <w:rPr>
          <w:rFonts w:hint="eastAsia" w:ascii="Arial" w:hAnsi="宋体" w:cs="Arial"/>
          <w:b/>
          <w:color w:val="auto"/>
          <w:kern w:val="0"/>
          <w:sz w:val="36"/>
          <w:szCs w:val="36"/>
          <w:highlight w:val="none"/>
        </w:rPr>
        <w:t>11</w:t>
      </w:r>
      <w:r>
        <w:rPr>
          <w:rFonts w:ascii="Arial" w:hAnsi="宋体" w:cs="Arial"/>
          <w:b/>
          <w:color w:val="auto"/>
          <w:kern w:val="0"/>
          <w:sz w:val="36"/>
          <w:szCs w:val="36"/>
          <w:highlight w:val="none"/>
        </w:rPr>
        <w:t>月</w:t>
      </w:r>
    </w:p>
    <w:p>
      <w:pPr>
        <w:pStyle w:val="155"/>
        <w:jc w:val="center"/>
        <w:rPr>
          <w:rFonts w:ascii="Arial" w:hAnsi="宋体" w:cs="Arial"/>
          <w:color w:val="auto"/>
          <w:sz w:val="36"/>
          <w:szCs w:val="36"/>
          <w:highlight w:val="none"/>
          <w:lang w:val="zh-CN"/>
        </w:rPr>
        <w:sectPr>
          <w:headerReference r:id="rId4" w:type="first"/>
          <w:headerReference r:id="rId3" w:type="default"/>
          <w:footerReference r:id="rId5" w:type="default"/>
          <w:pgSz w:w="11906" w:h="16838"/>
          <w:pgMar w:top="1440" w:right="1800" w:bottom="1440" w:left="1600" w:header="851" w:footer="992" w:gutter="0"/>
          <w:pgNumType w:start="0"/>
          <w:cols w:space="0" w:num="1"/>
          <w:titlePg/>
          <w:docGrid w:type="lines" w:linePitch="312" w:charSpace="0"/>
        </w:sectPr>
      </w:pPr>
    </w:p>
    <w:p>
      <w:pPr>
        <w:pStyle w:val="155"/>
        <w:jc w:val="center"/>
        <w:rPr>
          <w:rFonts w:ascii="Arial" w:hAnsi="Arial" w:cs="Arial"/>
          <w:color w:val="auto"/>
          <w:sz w:val="36"/>
          <w:szCs w:val="36"/>
          <w:highlight w:val="none"/>
        </w:rPr>
      </w:pPr>
      <w:r>
        <w:rPr>
          <w:rFonts w:ascii="Arial" w:hAnsi="宋体" w:cs="Arial"/>
          <w:color w:val="auto"/>
          <w:sz w:val="36"/>
          <w:szCs w:val="36"/>
          <w:highlight w:val="none"/>
          <w:lang w:val="zh-CN"/>
        </w:rPr>
        <w:t>目</w:t>
      </w:r>
      <w:r>
        <w:rPr>
          <w:rFonts w:ascii="Arial" w:hAnsi="Arial" w:cs="Arial"/>
          <w:color w:val="auto"/>
          <w:sz w:val="36"/>
          <w:szCs w:val="36"/>
          <w:highlight w:val="none"/>
          <w:lang w:val="zh-CN"/>
        </w:rPr>
        <w:t xml:space="preserve">  </w:t>
      </w:r>
      <w:r>
        <w:rPr>
          <w:rFonts w:ascii="Arial" w:hAnsi="宋体" w:cs="Arial"/>
          <w:color w:val="auto"/>
          <w:sz w:val="36"/>
          <w:szCs w:val="36"/>
          <w:highlight w:val="none"/>
          <w:lang w:val="zh-CN"/>
        </w:rPr>
        <w:t>录</w:t>
      </w:r>
    </w:p>
    <w:p>
      <w:pPr>
        <w:pStyle w:val="30"/>
        <w:tabs>
          <w:tab w:val="right" w:leader="dot" w:pos="8296"/>
        </w:tabs>
        <w:rPr>
          <w:rFonts w:ascii="Arial" w:hAnsi="Arial" w:cs="Arial"/>
          <w:color w:val="auto"/>
          <w:sz w:val="28"/>
          <w:szCs w:val="28"/>
          <w:highlight w:val="none"/>
        </w:rPr>
      </w:pPr>
    </w:p>
    <w:p>
      <w:pPr>
        <w:pStyle w:val="30"/>
        <w:tabs>
          <w:tab w:val="right" w:leader="dot" w:pos="8506"/>
        </w:tabs>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TOC \o "1-1" \h \u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"_Toc11866"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4"/>
          <w:highlight w:val="none"/>
        </w:rPr>
        <w:t xml:space="preserve">第一章 </w:t>
      </w:r>
      <w:r>
        <w:rPr>
          <w:rFonts w:hint="eastAsia" w:ascii="宋体" w:hAnsi="宋体" w:eastAsia="宋体" w:cs="宋体"/>
          <w:color w:val="auto"/>
          <w:sz w:val="24"/>
          <w:highlight w:val="none"/>
        </w:rPr>
        <w:t>招标公告</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_Toc11866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1</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pPr>
        <w:pStyle w:val="30"/>
        <w:tabs>
          <w:tab w:val="right" w:leader="dot" w:pos="8506"/>
        </w:tabs>
        <w:spacing w:line="480" w:lineRule="auto"/>
        <w:rPr>
          <w:rFonts w:hint="eastAsia" w:ascii="宋体" w:hAnsi="宋体" w:eastAsia="宋体" w:cs="宋体"/>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"_Toc7593"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第二章 投标人须知</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5</w:t>
      </w:r>
      <w:r>
        <w:rPr>
          <w:rFonts w:hint="eastAsia" w:ascii="宋体" w:hAnsi="宋体" w:eastAsia="宋体" w:cs="宋体"/>
          <w:color w:val="auto"/>
          <w:sz w:val="24"/>
          <w:highlight w:val="none"/>
        </w:rPr>
        <w:fldChar w:fldCharType="end"/>
      </w:r>
    </w:p>
    <w:p>
      <w:pPr>
        <w:pStyle w:val="30"/>
        <w:tabs>
          <w:tab w:val="right" w:leader="dot" w:pos="8506"/>
        </w:tabs>
        <w:spacing w:line="480" w:lineRule="auto"/>
        <w:rPr>
          <w:rFonts w:hint="eastAsia" w:ascii="宋体" w:hAnsi="宋体" w:eastAsia="宋体" w:cs="宋体"/>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"_Toc11112"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第三章 评标标准</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_Toc11112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1</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8</w:t>
      </w:r>
    </w:p>
    <w:p>
      <w:pPr>
        <w:pStyle w:val="30"/>
        <w:tabs>
          <w:tab w:val="right" w:leader="dot" w:pos="8506"/>
        </w:tabs>
        <w:spacing w:line="480" w:lineRule="auto"/>
        <w:rPr>
          <w:rFonts w:hint="default" w:ascii="宋体" w:hAnsi="宋体" w:eastAsia="宋体" w:cs="宋体"/>
          <w:color w:val="auto"/>
          <w:sz w:val="24"/>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"_Toc23380"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第四章 采购需求</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end"/>
      </w:r>
      <w:r>
        <w:rPr>
          <w:rFonts w:hint="eastAsia" w:ascii="宋体" w:hAnsi="宋体" w:cs="宋体"/>
          <w:color w:val="auto"/>
          <w:sz w:val="24"/>
          <w:highlight w:val="none"/>
          <w:lang w:val="en-US" w:eastAsia="zh-CN"/>
        </w:rPr>
        <w:t>25</w:t>
      </w:r>
    </w:p>
    <w:p>
      <w:pPr>
        <w:pStyle w:val="30"/>
        <w:tabs>
          <w:tab w:val="right" w:leader="dot" w:pos="8506"/>
        </w:tabs>
        <w:spacing w:line="480" w:lineRule="auto"/>
        <w:rPr>
          <w:rFonts w:hint="eastAsia" w:ascii="宋体" w:hAnsi="宋体" w:eastAsia="宋体" w:cs="宋体"/>
          <w:color w:val="auto"/>
          <w:sz w:val="24"/>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"_Toc15239"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第五章 合同主要条款及格式</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5</w:t>
      </w:r>
      <w:r>
        <w:rPr>
          <w:rFonts w:hint="eastAsia" w:ascii="宋体" w:hAnsi="宋体" w:cs="宋体"/>
          <w:color w:val="auto"/>
          <w:sz w:val="24"/>
          <w:highlight w:val="none"/>
          <w:lang w:val="en-US" w:eastAsia="zh-CN"/>
        </w:rPr>
        <w:t>3</w:t>
      </w:r>
    </w:p>
    <w:p>
      <w:pPr>
        <w:pStyle w:val="30"/>
        <w:tabs>
          <w:tab w:val="right" w:leader="dot" w:pos="8506"/>
        </w:tabs>
        <w:spacing w:line="480" w:lineRule="auto"/>
        <w:rPr>
          <w:rFonts w:hint="eastAsia" w:ascii="宋体" w:hAnsi="宋体" w:eastAsia="宋体" w:cs="宋体"/>
          <w:color w:val="auto"/>
          <w:sz w:val="24"/>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"_Toc6328"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第六章 投标文件格式及附件</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5</w:t>
      </w:r>
      <w:r>
        <w:rPr>
          <w:rFonts w:hint="eastAsia" w:ascii="宋体" w:hAnsi="宋体" w:eastAsia="宋体" w:cs="宋体"/>
          <w:color w:val="auto"/>
          <w:sz w:val="24"/>
          <w:highlight w:val="none"/>
        </w:rPr>
        <w:fldChar w:fldCharType="end"/>
      </w:r>
      <w:r>
        <w:rPr>
          <w:rFonts w:hint="eastAsia" w:ascii="宋体" w:hAnsi="宋体" w:cs="宋体"/>
          <w:color w:val="auto"/>
          <w:sz w:val="24"/>
          <w:highlight w:val="none"/>
          <w:lang w:val="en-US" w:eastAsia="zh-CN"/>
        </w:rPr>
        <w:t>6</w:t>
      </w:r>
    </w:p>
    <w:p>
      <w:pP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fldChar w:fldCharType="end"/>
      </w:r>
    </w:p>
    <w:p>
      <w:pPr>
        <w:widowControl/>
        <w:shd w:val="clear" w:color="auto" w:fill="FFFFFF"/>
        <w:spacing w:line="360" w:lineRule="auto"/>
        <w:jc w:val="center"/>
        <w:rPr>
          <w:rFonts w:hint="eastAsia" w:ascii="宋体" w:hAnsi="宋体" w:eastAsia="宋体" w:cs="宋体"/>
          <w:b/>
          <w:color w:val="auto"/>
          <w:kern w:val="0"/>
          <w:sz w:val="36"/>
          <w:szCs w:val="36"/>
          <w:highlight w:val="none"/>
        </w:rPr>
      </w:pPr>
    </w:p>
    <w:p>
      <w:pPr>
        <w:pStyle w:val="3"/>
        <w:rPr>
          <w:rFonts w:hint="eastAsia" w:ascii="宋体" w:hAnsi="宋体" w:eastAsia="宋体" w:cs="宋体"/>
          <w:color w:val="auto"/>
          <w:kern w:val="0"/>
          <w:szCs w:val="21"/>
          <w:highlight w:val="none"/>
        </w:rPr>
        <w:sectPr>
          <w:footerReference r:id="rId7" w:type="first"/>
          <w:footerReference r:id="rId6" w:type="default"/>
          <w:pgSz w:w="11906" w:h="16838"/>
          <w:pgMar w:top="1440" w:right="1906" w:bottom="1440" w:left="1600" w:header="851" w:footer="992" w:gutter="0"/>
          <w:pgNumType w:start="1"/>
          <w:cols w:space="0" w:num="1"/>
          <w:docGrid w:type="lines" w:linePitch="312" w:charSpace="0"/>
        </w:sectPr>
      </w:pPr>
    </w:p>
    <w:p>
      <w:pPr>
        <w:pStyle w:val="3"/>
        <w:rPr>
          <w:rFonts w:hint="eastAsia" w:ascii="宋体" w:hAnsi="宋体" w:eastAsia="宋体" w:cs="宋体"/>
          <w:color w:val="auto"/>
          <w:kern w:val="0"/>
          <w:szCs w:val="21"/>
          <w:highlight w:val="none"/>
        </w:rPr>
        <w:sectPr>
          <w:footerReference r:id="rId8" w:type="default"/>
          <w:type w:val="continuous"/>
          <w:pgSz w:w="11906" w:h="16838"/>
          <w:pgMar w:top="1440" w:right="1800" w:bottom="1440" w:left="1600" w:header="851" w:footer="992" w:gutter="0"/>
          <w:pgNumType w:start="1"/>
          <w:cols w:space="0" w:num="1"/>
          <w:docGrid w:type="lines" w:linePitch="312" w:charSpace="0"/>
        </w:sectPr>
      </w:pPr>
      <w:bookmarkStart w:id="0" w:name="_Toc481057143"/>
    </w:p>
    <w:p>
      <w:pPr>
        <w:pStyle w:val="3"/>
        <w:rPr>
          <w:rFonts w:hint="eastAsia" w:ascii="宋体" w:hAnsi="宋体" w:eastAsia="宋体" w:cs="宋体"/>
          <w:color w:val="auto"/>
          <w:kern w:val="0"/>
          <w:szCs w:val="21"/>
          <w:highlight w:val="none"/>
        </w:rPr>
      </w:pPr>
      <w:r>
        <w:rPr>
          <w:rFonts w:hint="eastAsia" w:ascii="宋体" w:hAnsi="宋体" w:eastAsia="宋体" w:cs="宋体"/>
          <w:color w:val="auto"/>
          <w:kern w:val="0"/>
          <w:sz w:val="36"/>
          <w:szCs w:val="36"/>
          <w:highlight w:val="none"/>
          <w:shd w:val="clear" w:color="auto" w:fill="FFFFFF"/>
        </w:rPr>
        <w:t xml:space="preserve">  </w:t>
      </w:r>
      <w:bookmarkStart w:id="1" w:name="_Toc11866"/>
      <w:r>
        <w:rPr>
          <w:rFonts w:hint="eastAsia" w:ascii="宋体" w:hAnsi="宋体" w:eastAsia="宋体" w:cs="宋体"/>
          <w:color w:val="auto"/>
          <w:highlight w:val="none"/>
        </w:rPr>
        <w:t>招标公告</w:t>
      </w:r>
      <w:bookmarkEnd w:id="0"/>
      <w:bookmarkEnd w:id="1"/>
    </w:p>
    <w:p>
      <w:pPr>
        <w:widowControl/>
        <w:pBdr>
          <w:top w:val="none" w:color="auto" w:sz="0" w:space="1"/>
          <w:left w:val="none" w:color="auto" w:sz="0" w:space="4"/>
          <w:bottom w:val="none" w:color="auto" w:sz="0" w:space="1"/>
          <w:right w:val="none" w:color="auto" w:sz="0" w:space="4"/>
        </w:pBdr>
        <w:shd w:val="clear" w:color="auto" w:fill="FFFFFF" w:themeFill="background1"/>
        <w:spacing w:line="460" w:lineRule="exact"/>
        <w:ind w:firstLine="369"/>
        <w:rPr>
          <w:rFonts w:hint="eastAsia" w:ascii="宋体" w:hAnsi="宋体" w:eastAsia="宋体" w:cs="宋体"/>
          <w:color w:val="auto"/>
          <w:spacing w:val="8"/>
          <w:kern w:val="0"/>
          <w:szCs w:val="21"/>
          <w:highlight w:val="none"/>
          <w:lang w:val="en-US" w:eastAsia="zh-CN"/>
        </w:rPr>
      </w:pPr>
      <w:r>
        <w:rPr>
          <w:rFonts w:hint="eastAsia" w:ascii="宋体" w:hAnsi="宋体" w:eastAsia="宋体" w:cs="宋体"/>
          <w:color w:val="auto"/>
          <w:spacing w:val="8"/>
          <w:kern w:val="0"/>
          <w:szCs w:val="21"/>
          <w:highlight w:val="none"/>
        </w:rPr>
        <w:t>项目概况</w:t>
      </w:r>
      <w:r>
        <w:rPr>
          <w:rFonts w:hint="eastAsia" w:ascii="宋体" w:hAnsi="宋体" w:cs="宋体"/>
          <w:color w:val="auto"/>
          <w:spacing w:val="8"/>
          <w:kern w:val="0"/>
          <w:szCs w:val="21"/>
          <w:highlight w:val="none"/>
          <w:lang w:val="en-US" w:eastAsia="zh-CN"/>
        </w:rPr>
        <w:t>:</w:t>
      </w:r>
    </w:p>
    <w:p>
      <w:pPr>
        <w:pBdr>
          <w:top w:val="single" w:color="auto" w:sz="4" w:space="1"/>
          <w:left w:val="single" w:color="auto" w:sz="4" w:space="4"/>
          <w:bottom w:val="single" w:color="auto" w:sz="4" w:space="1"/>
          <w:right w:val="single" w:color="auto" w:sz="4" w:space="4"/>
        </w:pBd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u w:val="single"/>
        </w:rPr>
        <w:t>2024-2025年度省级大气多参数站新增设备及汾湖超站相关设备运维服务项目</w:t>
      </w:r>
      <w:r>
        <w:rPr>
          <w:rFonts w:hint="eastAsia" w:ascii="宋体" w:hAnsi="宋体" w:eastAsia="宋体" w:cs="宋体"/>
          <w:color w:val="auto"/>
          <w:highlight w:val="none"/>
        </w:rPr>
        <w:t>的潜在投标人可在交易平台http://www.ejy365.com获取招标文件，并于</w:t>
      </w:r>
      <w:r>
        <w:rPr>
          <w:rFonts w:hint="eastAsia" w:ascii="宋体" w:hAnsi="宋体" w:eastAsia="宋体" w:cs="宋体"/>
          <w:color w:val="auto"/>
          <w:highlight w:val="none"/>
          <w:u w:val="single"/>
        </w:rPr>
        <w:t>2023</w:t>
      </w:r>
      <w:r>
        <w:rPr>
          <w:rFonts w:hint="eastAsia" w:ascii="宋体" w:hAnsi="宋体" w:eastAsia="宋体" w:cs="宋体"/>
          <w:bCs/>
          <w:color w:val="auto"/>
          <w:highlight w:val="none"/>
          <w:u w:val="single"/>
        </w:rPr>
        <w:t>年11月</w:t>
      </w:r>
      <w:r>
        <w:rPr>
          <w:rFonts w:hint="eastAsia" w:ascii="宋体" w:hAnsi="宋体" w:cs="宋体"/>
          <w:bCs/>
          <w:color w:val="auto"/>
          <w:highlight w:val="none"/>
          <w:u w:val="single"/>
          <w:lang w:val="en-US" w:eastAsia="zh-CN"/>
        </w:rPr>
        <w:t>27</w:t>
      </w:r>
      <w:r>
        <w:rPr>
          <w:rFonts w:hint="eastAsia" w:ascii="宋体" w:hAnsi="宋体" w:eastAsia="宋体" w:cs="宋体"/>
          <w:bCs/>
          <w:color w:val="auto"/>
          <w:highlight w:val="none"/>
          <w:u w:val="single"/>
        </w:rPr>
        <w:t>日9点00分（</w:t>
      </w:r>
      <w:r>
        <w:rPr>
          <w:rFonts w:hint="eastAsia" w:ascii="宋体" w:hAnsi="宋体" w:eastAsia="宋体" w:cs="宋体"/>
          <w:bCs/>
          <w:color w:val="auto"/>
          <w:highlight w:val="none"/>
        </w:rPr>
        <w:t>北京时间）前递交投标文件</w:t>
      </w:r>
      <w:r>
        <w:rPr>
          <w:rFonts w:hint="eastAsia" w:ascii="宋体" w:hAnsi="宋体" w:eastAsia="宋体" w:cs="宋体"/>
          <w:color w:val="auto"/>
          <w:highlight w:val="none"/>
        </w:rPr>
        <w:t>。</w:t>
      </w:r>
    </w:p>
    <w:p>
      <w:pPr>
        <w:widowControl/>
        <w:shd w:val="clear" w:color="auto" w:fill="FFFFFF" w:themeFill="background1"/>
        <w:spacing w:line="460" w:lineRule="exact"/>
        <w:ind w:firstLine="369"/>
        <w:rPr>
          <w:rFonts w:hint="eastAsia" w:ascii="宋体" w:hAnsi="宋体" w:eastAsia="宋体" w:cs="宋体"/>
          <w:color w:val="auto"/>
          <w:spacing w:val="8"/>
          <w:kern w:val="0"/>
          <w:szCs w:val="21"/>
          <w:highlight w:val="none"/>
        </w:rPr>
      </w:pPr>
    </w:p>
    <w:p>
      <w:pPr>
        <w:widowControl/>
        <w:shd w:val="clear" w:color="auto" w:fill="FFFFFF" w:themeFill="background1"/>
        <w:spacing w:line="460" w:lineRule="exact"/>
        <w:rPr>
          <w:rFonts w:hint="eastAsia" w:ascii="宋体" w:hAnsi="宋体" w:eastAsia="宋体" w:cs="宋体"/>
          <w:b/>
          <w:color w:val="auto"/>
          <w:spacing w:val="8"/>
          <w:kern w:val="0"/>
          <w:sz w:val="24"/>
          <w:highlight w:val="none"/>
        </w:rPr>
      </w:pPr>
      <w:r>
        <w:rPr>
          <w:rFonts w:hint="eastAsia" w:ascii="宋体" w:hAnsi="宋体" w:eastAsia="宋体" w:cs="宋体"/>
          <w:color w:val="auto"/>
          <w:spacing w:val="8"/>
          <w:kern w:val="0"/>
          <w:sz w:val="24"/>
          <w:highlight w:val="none"/>
        </w:rPr>
        <w:t> </w:t>
      </w:r>
      <w:r>
        <w:rPr>
          <w:rFonts w:hint="eastAsia" w:ascii="宋体" w:hAnsi="宋体" w:eastAsia="宋体" w:cs="宋体"/>
          <w:b/>
          <w:color w:val="auto"/>
          <w:spacing w:val="8"/>
          <w:kern w:val="0"/>
          <w:sz w:val="24"/>
          <w:highlight w:val="none"/>
        </w:rPr>
        <w:t>一、项目基本情况</w:t>
      </w:r>
    </w:p>
    <w:p>
      <w:pPr>
        <w:widowControl/>
        <w:shd w:val="clear" w:color="auto" w:fill="FFFFFF" w:themeFill="background1"/>
        <w:spacing w:line="460" w:lineRule="exact"/>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1.1项目编号：</w:t>
      </w:r>
      <w:r>
        <w:rPr>
          <w:rFonts w:hint="eastAsia" w:ascii="宋体" w:hAnsi="宋体" w:eastAsia="宋体" w:cs="宋体"/>
          <w:color w:val="auto"/>
          <w:highlight w:val="none"/>
        </w:rPr>
        <w:t>ZZ20322333</w:t>
      </w:r>
      <w:r>
        <w:rPr>
          <w:rFonts w:hint="eastAsia" w:ascii="宋体" w:hAnsi="宋体" w:eastAsia="宋体" w:cs="宋体"/>
          <w:color w:val="auto"/>
          <w:highlight w:val="none"/>
          <w:lang w:val="en-US" w:eastAsia="zh-CN"/>
        </w:rPr>
        <w:t>1984</w:t>
      </w:r>
      <w:r>
        <w:rPr>
          <w:rFonts w:hint="eastAsia" w:ascii="宋体" w:hAnsi="宋体" w:eastAsia="宋体" w:cs="宋体"/>
          <w:color w:val="auto"/>
          <w:highlight w:val="none"/>
        </w:rPr>
        <w:t xml:space="preserve"> </w:t>
      </w:r>
    </w:p>
    <w:p>
      <w:pPr>
        <w:widowControl/>
        <w:shd w:val="clear" w:color="auto" w:fill="FFFFFF" w:themeFill="background1"/>
        <w:spacing w:line="460" w:lineRule="exact"/>
        <w:rPr>
          <w:rFonts w:hint="eastAsia" w:ascii="宋体" w:hAnsi="宋体" w:eastAsia="宋体" w:cs="宋体"/>
          <w:color w:val="auto"/>
          <w:highlight w:val="none"/>
        </w:rPr>
      </w:pPr>
      <w:r>
        <w:rPr>
          <w:rFonts w:hint="eastAsia" w:ascii="宋体" w:hAnsi="宋体" w:eastAsia="宋体" w:cs="宋体"/>
          <w:color w:val="auto"/>
          <w:spacing w:val="8"/>
          <w:kern w:val="0"/>
          <w:szCs w:val="21"/>
          <w:highlight w:val="none"/>
        </w:rPr>
        <w:t>1.2项目名称：2024-2025年度省级大气多参数站新增设备及汾湖超站相关设备运维服务项目</w:t>
      </w:r>
    </w:p>
    <w:tbl>
      <w:tblPr>
        <w:tblStyle w:val="44"/>
        <w:tblW w:w="8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3740"/>
        <w:gridCol w:w="2568"/>
        <w:gridCol w:w="972"/>
        <w:gridCol w:w="1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包号</w:t>
            </w:r>
          </w:p>
        </w:tc>
        <w:tc>
          <w:tcPr>
            <w:tcW w:w="374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项目名称</w:t>
            </w:r>
          </w:p>
        </w:tc>
        <w:tc>
          <w:tcPr>
            <w:tcW w:w="2568"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运维期限</w:t>
            </w:r>
          </w:p>
        </w:tc>
        <w:tc>
          <w:tcPr>
            <w:tcW w:w="972"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单年度预算（万元）</w:t>
            </w:r>
          </w:p>
        </w:tc>
        <w:tc>
          <w:tcPr>
            <w:tcW w:w="1032"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总预算</w:t>
            </w:r>
          </w:p>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3740"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汾湖超级站及省级大气多参数站常规监测设备运维服务</w:t>
            </w:r>
          </w:p>
        </w:tc>
        <w:tc>
          <w:tcPr>
            <w:tcW w:w="2568"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2024年1月1日至2025年12月31日</w:t>
            </w:r>
          </w:p>
        </w:tc>
        <w:tc>
          <w:tcPr>
            <w:tcW w:w="972" w:type="dxa"/>
            <w:vAlign w:val="center"/>
          </w:tcPr>
          <w:p>
            <w:pPr>
              <w:widowControl/>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66</w:t>
            </w:r>
          </w:p>
        </w:tc>
        <w:tc>
          <w:tcPr>
            <w:tcW w:w="1032" w:type="dxa"/>
            <w:vAlign w:val="center"/>
          </w:tcPr>
          <w:p>
            <w:pPr>
              <w:widowControl/>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3740" w:type="dxa"/>
            <w:vAlign w:val="center"/>
          </w:tcPr>
          <w:p>
            <w:pP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省中心及汾湖超站新增颗粒物组分特征仪器运维服务，包含水溶性离子在线分析仪、气溶胶质谱仪</w:t>
            </w:r>
          </w:p>
        </w:tc>
        <w:tc>
          <w:tcPr>
            <w:tcW w:w="2568"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2024年1月1日至2025年12月31日</w:t>
            </w:r>
          </w:p>
        </w:tc>
        <w:tc>
          <w:tcPr>
            <w:tcW w:w="972" w:type="dxa"/>
            <w:vAlign w:val="center"/>
          </w:tcPr>
          <w:p>
            <w:pPr>
              <w:widowControl/>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45</w:t>
            </w:r>
          </w:p>
        </w:tc>
        <w:tc>
          <w:tcPr>
            <w:tcW w:w="1032" w:type="dxa"/>
            <w:vAlign w:val="center"/>
          </w:tcPr>
          <w:p>
            <w:pPr>
              <w:widowControl/>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65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3740" w:type="dxa"/>
            <w:vAlign w:val="center"/>
          </w:tcPr>
          <w:p>
            <w:pP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省中心及汾湖超站新增光化学及雷达仪器运维服务，包含挥发性有机物监测仪、HNO2、甲醛在线监测仪、臭氧激光雷达、颗粒物激光雷达</w:t>
            </w:r>
          </w:p>
        </w:tc>
        <w:tc>
          <w:tcPr>
            <w:tcW w:w="2568"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2024年1月1日至2025年12月31日</w:t>
            </w:r>
          </w:p>
        </w:tc>
        <w:tc>
          <w:tcPr>
            <w:tcW w:w="972" w:type="dxa"/>
            <w:vAlign w:val="center"/>
          </w:tcPr>
          <w:p>
            <w:pPr>
              <w:widowControl/>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78</w:t>
            </w:r>
          </w:p>
        </w:tc>
        <w:tc>
          <w:tcPr>
            <w:tcW w:w="1032" w:type="dxa"/>
            <w:vAlign w:val="center"/>
          </w:tcPr>
          <w:p>
            <w:pPr>
              <w:widowControl/>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3740"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大气走航监测车及相关设备运维服务</w:t>
            </w:r>
          </w:p>
        </w:tc>
        <w:tc>
          <w:tcPr>
            <w:tcW w:w="2568"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2024年1月1日至2025年12月31日</w:t>
            </w:r>
          </w:p>
        </w:tc>
        <w:tc>
          <w:tcPr>
            <w:tcW w:w="972" w:type="dxa"/>
            <w:vAlign w:val="center"/>
          </w:tcPr>
          <w:p>
            <w:pPr>
              <w:widowControl/>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90</w:t>
            </w:r>
          </w:p>
        </w:tc>
        <w:tc>
          <w:tcPr>
            <w:tcW w:w="1032" w:type="dxa"/>
            <w:vAlign w:val="center"/>
          </w:tcPr>
          <w:p>
            <w:pPr>
              <w:widowControl/>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w:t>
            </w:r>
          </w:p>
        </w:tc>
        <w:tc>
          <w:tcPr>
            <w:tcW w:w="3740"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大气颗粒物组分及VOCs多元综合分析子系统运维服务</w:t>
            </w:r>
          </w:p>
        </w:tc>
        <w:tc>
          <w:tcPr>
            <w:tcW w:w="2568"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2024年1月1日至2025年12月31日</w:t>
            </w:r>
          </w:p>
        </w:tc>
        <w:tc>
          <w:tcPr>
            <w:tcW w:w="972" w:type="dxa"/>
            <w:vAlign w:val="center"/>
          </w:tcPr>
          <w:p>
            <w:pPr>
              <w:widowControl/>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40</w:t>
            </w:r>
          </w:p>
        </w:tc>
        <w:tc>
          <w:tcPr>
            <w:tcW w:w="1032" w:type="dxa"/>
            <w:vAlign w:val="center"/>
          </w:tcPr>
          <w:p>
            <w:pPr>
              <w:widowControl/>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8" w:type="dxa"/>
            <w:gridSpan w:val="3"/>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合计</w:t>
            </w:r>
          </w:p>
        </w:tc>
        <w:tc>
          <w:tcPr>
            <w:tcW w:w="972" w:type="dxa"/>
            <w:vAlign w:val="center"/>
          </w:tcPr>
          <w:p>
            <w:pPr>
              <w:widowControl/>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319</w:t>
            </w:r>
          </w:p>
        </w:tc>
        <w:tc>
          <w:tcPr>
            <w:tcW w:w="1032" w:type="dxa"/>
            <w:vAlign w:val="center"/>
          </w:tcPr>
          <w:p>
            <w:pPr>
              <w:widowControl/>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638</w:t>
            </w:r>
          </w:p>
        </w:tc>
      </w:tr>
    </w:tbl>
    <w:p>
      <w:pPr>
        <w:widowControl/>
        <w:shd w:val="clear" w:color="auto" w:fill="FFFFFF" w:themeFill="background1"/>
        <w:snapToGrid w:val="0"/>
        <w:spacing w:line="360" w:lineRule="auto"/>
        <w:ind w:firstLine="452" w:firstLineChars="20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1.3最高限价（如有）：无</w:t>
      </w:r>
    </w:p>
    <w:p>
      <w:pPr>
        <w:widowControl/>
        <w:shd w:val="clear" w:color="auto" w:fill="FFFFFF" w:themeFill="background1"/>
        <w:snapToGrid w:val="0"/>
        <w:spacing w:line="360" w:lineRule="auto"/>
        <w:ind w:firstLine="37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1.4采购需求：详见招标文件</w:t>
      </w:r>
    </w:p>
    <w:p>
      <w:pPr>
        <w:widowControl/>
        <w:shd w:val="clear" w:color="auto" w:fill="FFFFFF" w:themeFill="background1"/>
        <w:snapToGrid w:val="0"/>
        <w:spacing w:line="360" w:lineRule="auto"/>
        <w:ind w:firstLine="37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1.5 本项目均不进口产品投标。</w:t>
      </w:r>
    </w:p>
    <w:p>
      <w:pPr>
        <w:widowControl/>
        <w:shd w:val="clear" w:color="auto" w:fill="FFFFFF" w:themeFill="background1"/>
        <w:snapToGrid w:val="0"/>
        <w:spacing w:line="360" w:lineRule="auto"/>
        <w:ind w:firstLine="370"/>
        <w:rPr>
          <w:rFonts w:hint="eastAsia" w:ascii="宋体" w:hAnsi="宋体" w:eastAsia="宋体" w:cs="宋体"/>
          <w:color w:val="auto"/>
          <w:highlight w:val="none"/>
        </w:rPr>
      </w:pPr>
      <w:r>
        <w:rPr>
          <w:rFonts w:hint="eastAsia" w:ascii="宋体" w:hAnsi="宋体" w:eastAsia="宋体" w:cs="宋体"/>
          <w:color w:val="auto"/>
          <w:spacing w:val="8"/>
          <w:kern w:val="0"/>
          <w:szCs w:val="21"/>
          <w:highlight w:val="none"/>
        </w:rPr>
        <w:t>1.6合同履行期限：详见招标文件</w:t>
      </w:r>
    </w:p>
    <w:p>
      <w:pPr>
        <w:widowControl/>
        <w:shd w:val="clear" w:color="auto" w:fill="FFFFFF" w:themeFill="background1"/>
        <w:snapToGrid w:val="0"/>
        <w:spacing w:line="360" w:lineRule="auto"/>
        <w:ind w:firstLine="37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1.7行业划分：其他未列明行业</w:t>
      </w:r>
    </w:p>
    <w:p>
      <w:pPr>
        <w:widowControl/>
        <w:shd w:val="clear" w:color="auto" w:fill="FFFFFF" w:themeFill="background1"/>
        <w:snapToGrid w:val="0"/>
        <w:spacing w:line="360" w:lineRule="auto"/>
        <w:ind w:firstLine="37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1.8本项目专门面向中小企业（或监狱企业或残疾人福利性单位）采购。</w:t>
      </w:r>
    </w:p>
    <w:p>
      <w:pPr>
        <w:widowControl/>
        <w:shd w:val="clear" w:color="auto" w:fill="FFFFFF" w:themeFill="background1"/>
        <w:snapToGrid w:val="0"/>
        <w:spacing w:line="360" w:lineRule="auto"/>
        <w:ind w:firstLine="37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1.9本项目不接受联合体投标。</w:t>
      </w:r>
    </w:p>
    <w:p>
      <w:pPr>
        <w:widowControl/>
        <w:shd w:val="clear" w:color="auto" w:fill="FFFFFF" w:themeFill="background1"/>
        <w:spacing w:line="460" w:lineRule="exact"/>
        <w:outlineLvl w:val="1"/>
        <w:rPr>
          <w:rFonts w:hint="eastAsia" w:ascii="宋体" w:hAnsi="宋体" w:eastAsia="宋体" w:cs="宋体"/>
          <w:b/>
          <w:color w:val="auto"/>
          <w:spacing w:val="8"/>
          <w:kern w:val="0"/>
          <w:sz w:val="24"/>
          <w:highlight w:val="none"/>
        </w:rPr>
      </w:pPr>
      <w:r>
        <w:rPr>
          <w:rFonts w:hint="eastAsia" w:ascii="宋体" w:hAnsi="宋体" w:eastAsia="宋体" w:cs="宋体"/>
          <w:b/>
          <w:color w:val="auto"/>
          <w:spacing w:val="8"/>
          <w:kern w:val="0"/>
          <w:sz w:val="24"/>
          <w:highlight w:val="none"/>
        </w:rPr>
        <w:t>二、申请人的资格要求</w:t>
      </w:r>
    </w:p>
    <w:p>
      <w:pPr>
        <w:widowControl/>
        <w:shd w:val="clear" w:color="auto" w:fill="FFFFFF" w:themeFill="background1"/>
        <w:spacing w:line="460" w:lineRule="exact"/>
        <w:ind w:firstLine="370"/>
        <w:rPr>
          <w:rFonts w:hint="eastAsia" w:ascii="宋体" w:hAnsi="宋体" w:eastAsia="宋体" w:cs="宋体"/>
          <w:b/>
          <w:color w:val="auto"/>
          <w:spacing w:val="8"/>
          <w:kern w:val="0"/>
          <w:szCs w:val="21"/>
          <w:highlight w:val="none"/>
        </w:rPr>
      </w:pPr>
      <w:r>
        <w:rPr>
          <w:rFonts w:hint="eastAsia" w:ascii="宋体" w:hAnsi="宋体" w:eastAsia="宋体" w:cs="宋体"/>
          <w:b/>
          <w:color w:val="auto"/>
          <w:spacing w:val="8"/>
          <w:kern w:val="0"/>
          <w:szCs w:val="21"/>
          <w:highlight w:val="none"/>
        </w:rPr>
        <w:t>2.1满足《中华人民共和国政府采购法》第二十二条规定；</w:t>
      </w:r>
    </w:p>
    <w:p>
      <w:pPr>
        <w:spacing w:line="460" w:lineRule="exact"/>
        <w:ind w:firstLine="424" w:firstLineChars="2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（1）具有独立承担民事责任的能力（提供法人或者其他组织的营业执照；供应商为自然人的，提供其身份证）； </w:t>
      </w:r>
    </w:p>
    <w:p>
      <w:pPr>
        <w:spacing w:line="460" w:lineRule="exact"/>
        <w:ind w:firstLine="424" w:firstLineChars="2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（2）具有良好的商业信誉和健全的财务会计制度（提供</w:t>
      </w:r>
      <w:r>
        <w:rPr>
          <w:rFonts w:hint="eastAsia" w:ascii="宋体" w:hAnsi="宋体" w:eastAsia="宋体" w:cs="宋体"/>
          <w:bCs/>
          <w:color w:val="auto"/>
          <w:szCs w:val="21"/>
          <w:highlight w:val="none"/>
          <w:u w:val="single"/>
        </w:rPr>
        <w:t>2022</w:t>
      </w:r>
      <w:r>
        <w:rPr>
          <w:rFonts w:hint="eastAsia" w:ascii="宋体" w:hAnsi="宋体" w:eastAsia="宋体" w:cs="宋体"/>
          <w:bCs/>
          <w:color w:val="auto"/>
          <w:szCs w:val="21"/>
          <w:highlight w:val="none"/>
        </w:rPr>
        <w:t>年度财务报表</w:t>
      </w:r>
      <w:r>
        <w:rPr>
          <w:rFonts w:hint="eastAsia" w:ascii="宋体" w:hAnsi="宋体" w:eastAsia="宋体" w:cs="宋体"/>
          <w:color w:val="auto"/>
          <w:highlight w:val="none"/>
        </w:rPr>
        <w:t>（公司成立不满一年，至少提供</w:t>
      </w:r>
      <w:r>
        <w:rPr>
          <w:rFonts w:hint="eastAsia" w:ascii="宋体" w:hAnsi="宋体" w:eastAsia="宋体" w:cs="宋体"/>
          <w:color w:val="auto"/>
          <w:szCs w:val="21"/>
          <w:highlight w:val="none"/>
          <w:lang w:val="zh-CN"/>
        </w:rPr>
        <w:t>投标截止时间</w:t>
      </w:r>
      <w:r>
        <w:rPr>
          <w:rFonts w:hint="eastAsia" w:ascii="宋体" w:hAnsi="宋体" w:eastAsia="宋体" w:cs="宋体"/>
          <w:color w:val="auto"/>
          <w:highlight w:val="none"/>
        </w:rPr>
        <w:t>前近一个月的财务报表）</w:t>
      </w:r>
      <w:r>
        <w:rPr>
          <w:rFonts w:hint="eastAsia" w:ascii="宋体" w:hAnsi="宋体" w:eastAsia="宋体" w:cs="宋体"/>
          <w:bCs/>
          <w:color w:val="auto"/>
          <w:szCs w:val="21"/>
          <w:highlight w:val="none"/>
        </w:rPr>
        <w:t>，或投标截止时间前六个月内银行出具的资信证明，或财政部门认可的政府采购专业担保机构出具的投标担保函）；</w:t>
      </w:r>
    </w:p>
    <w:p>
      <w:pPr>
        <w:spacing w:line="460" w:lineRule="exact"/>
        <w:ind w:firstLine="424" w:firstLineChars="2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（3）具有履行合同所必需的设备和专业技术能力（供应商根据履行采购项目合同需要，提供履行合同所必需的设备和专业技术能力的证明材料）；</w:t>
      </w:r>
    </w:p>
    <w:p>
      <w:pPr>
        <w:spacing w:line="460" w:lineRule="exact"/>
        <w:ind w:firstLine="424" w:firstLineChars="2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（4）有依法缴纳税收和社会保障资金的良好记录（提供参加本次政府采购活动前半年内至少一个月：</w:t>
      </w: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EQ \o\ac(○,</w:instrText>
      </w:r>
      <w:r>
        <w:rPr>
          <w:rFonts w:hint="eastAsia" w:ascii="宋体" w:hAnsi="宋体" w:eastAsia="宋体" w:cs="宋体"/>
          <w:bCs/>
          <w:color w:val="auto"/>
          <w:position w:val="2"/>
          <w:sz w:val="14"/>
          <w:szCs w:val="21"/>
          <w:highlight w:val="none"/>
        </w:rPr>
        <w:instrText xml:space="preserve">1</w:instrText>
      </w:r>
      <w:r>
        <w:rPr>
          <w:rFonts w:hint="eastAsia" w:ascii="宋体" w:hAnsi="宋体" w:eastAsia="宋体" w:cs="宋体"/>
          <w:bCs/>
          <w:color w:val="auto"/>
          <w:szCs w:val="21"/>
          <w:highlight w:val="none"/>
        </w:rPr>
        <w:instrText xml:space="preserve">)</w:instrText>
      </w:r>
      <w:r>
        <w:rPr>
          <w:rFonts w:hint="eastAsia" w:ascii="宋体" w:hAnsi="宋体" w:eastAsia="宋体" w:cs="宋体"/>
          <w:bCs/>
          <w:color w:val="auto"/>
          <w:szCs w:val="21"/>
          <w:highlight w:val="none"/>
        </w:rPr>
        <w:fldChar w:fldCharType="end"/>
      </w:r>
      <w:r>
        <w:rPr>
          <w:rFonts w:hint="eastAsia" w:ascii="宋体" w:hAnsi="宋体" w:eastAsia="宋体" w:cs="宋体"/>
          <w:bCs/>
          <w:color w:val="auto"/>
          <w:szCs w:val="21"/>
          <w:highlight w:val="none"/>
        </w:rPr>
        <w:t>提供缴纳税收的凭证；</w:t>
      </w: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EQ \o\ac(○,</w:instrText>
      </w:r>
      <w:r>
        <w:rPr>
          <w:rFonts w:hint="eastAsia" w:ascii="宋体" w:hAnsi="宋体" w:eastAsia="宋体" w:cs="宋体"/>
          <w:bCs/>
          <w:color w:val="auto"/>
          <w:position w:val="2"/>
          <w:sz w:val="14"/>
          <w:szCs w:val="21"/>
          <w:highlight w:val="none"/>
        </w:rPr>
        <w:instrText xml:space="preserve">2</w:instrText>
      </w:r>
      <w:r>
        <w:rPr>
          <w:rFonts w:hint="eastAsia" w:ascii="宋体" w:hAnsi="宋体" w:eastAsia="宋体" w:cs="宋体"/>
          <w:bCs/>
          <w:color w:val="auto"/>
          <w:szCs w:val="21"/>
          <w:highlight w:val="none"/>
        </w:rPr>
        <w:instrText xml:space="preserve">)</w:instrText>
      </w:r>
      <w:r>
        <w:rPr>
          <w:rFonts w:hint="eastAsia" w:ascii="宋体" w:hAnsi="宋体" w:eastAsia="宋体" w:cs="宋体"/>
          <w:bCs/>
          <w:color w:val="auto"/>
          <w:szCs w:val="21"/>
          <w:highlight w:val="none"/>
        </w:rPr>
        <w:fldChar w:fldCharType="end"/>
      </w:r>
      <w:r>
        <w:rPr>
          <w:rFonts w:hint="eastAsia" w:ascii="宋体" w:hAnsi="宋体" w:eastAsia="宋体" w:cs="宋体"/>
          <w:bCs/>
          <w:color w:val="auto"/>
          <w:szCs w:val="21"/>
          <w:highlight w:val="none"/>
        </w:rPr>
        <w:t>提供缴纳社会保险的凭据（专用收据或社会保险缴纳清单）），依法享受免缴、缓缴的，提供证明材料；</w:t>
      </w:r>
    </w:p>
    <w:p>
      <w:pPr>
        <w:spacing w:line="460" w:lineRule="exact"/>
        <w:ind w:firstLine="424" w:firstLineChars="2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（5）参加政府采购活动前三年内，在经营活动中没有重大违法记录（提供承诺书）；</w:t>
      </w:r>
    </w:p>
    <w:p>
      <w:pPr>
        <w:spacing w:line="460" w:lineRule="exact"/>
        <w:ind w:firstLine="424" w:firstLineChars="2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（6）法律、行政法规规定的其他条件：无</w:t>
      </w:r>
    </w:p>
    <w:p>
      <w:pPr>
        <w:widowControl/>
        <w:shd w:val="clear" w:color="auto" w:fill="FFFFFF" w:themeFill="background1"/>
        <w:spacing w:line="460" w:lineRule="exact"/>
        <w:ind w:firstLine="370"/>
        <w:rPr>
          <w:rFonts w:hint="eastAsia" w:ascii="宋体" w:hAnsi="宋体" w:eastAsia="宋体" w:cs="宋体"/>
          <w:color w:val="auto"/>
          <w:spacing w:val="8"/>
          <w:kern w:val="0"/>
          <w:szCs w:val="21"/>
          <w:highlight w:val="none"/>
          <w:u w:val="single"/>
        </w:rPr>
      </w:pPr>
      <w:r>
        <w:rPr>
          <w:rFonts w:hint="eastAsia" w:ascii="宋体" w:hAnsi="宋体" w:eastAsia="宋体" w:cs="宋体"/>
          <w:b/>
          <w:color w:val="auto"/>
          <w:spacing w:val="8"/>
          <w:kern w:val="0"/>
          <w:szCs w:val="21"/>
          <w:highlight w:val="none"/>
        </w:rPr>
        <w:t>2.2落实政府采购政策需满足的资格要求：无</w:t>
      </w:r>
      <w:r>
        <w:rPr>
          <w:rFonts w:hint="eastAsia" w:ascii="宋体" w:hAnsi="宋体" w:eastAsia="宋体" w:cs="宋体"/>
          <w:color w:val="auto"/>
          <w:spacing w:val="8"/>
          <w:kern w:val="0"/>
          <w:szCs w:val="21"/>
          <w:highlight w:val="none"/>
        </w:rPr>
        <w:t xml:space="preserve"> </w:t>
      </w:r>
    </w:p>
    <w:p>
      <w:pPr>
        <w:widowControl/>
        <w:shd w:val="clear" w:color="auto" w:fill="FFFFFF" w:themeFill="background1"/>
        <w:spacing w:line="460" w:lineRule="exact"/>
        <w:ind w:firstLine="370"/>
        <w:rPr>
          <w:rFonts w:hint="eastAsia" w:ascii="宋体" w:hAnsi="宋体" w:eastAsia="宋体" w:cs="宋体"/>
          <w:b/>
          <w:bCs/>
          <w:color w:val="auto"/>
          <w:spacing w:val="8"/>
          <w:kern w:val="0"/>
          <w:szCs w:val="21"/>
          <w:highlight w:val="none"/>
        </w:rPr>
      </w:pPr>
      <w:r>
        <w:rPr>
          <w:rFonts w:hint="eastAsia" w:ascii="宋体" w:hAnsi="宋体" w:eastAsia="宋体" w:cs="宋体"/>
          <w:b/>
          <w:color w:val="auto"/>
          <w:spacing w:val="8"/>
          <w:kern w:val="0"/>
          <w:szCs w:val="21"/>
          <w:highlight w:val="none"/>
        </w:rPr>
        <w:t>2.3</w:t>
      </w:r>
      <w:r>
        <w:rPr>
          <w:rFonts w:hint="eastAsia" w:ascii="宋体" w:hAnsi="宋体" w:eastAsia="宋体" w:cs="宋体"/>
          <w:b/>
          <w:color w:val="auto"/>
          <w:szCs w:val="21"/>
          <w:highlight w:val="none"/>
        </w:rPr>
        <w:t>采购人根据采购项目的特殊要求规定的特定条件，并提供符合特殊要求的证明材料或者情况说明：</w:t>
      </w:r>
      <w:r>
        <w:rPr>
          <w:rFonts w:hint="eastAsia" w:ascii="宋体" w:hAnsi="宋体" w:eastAsia="宋体" w:cs="宋体"/>
          <w:b/>
          <w:bCs/>
          <w:color w:val="auto"/>
          <w:spacing w:val="8"/>
          <w:kern w:val="0"/>
          <w:szCs w:val="21"/>
          <w:highlight w:val="none"/>
        </w:rPr>
        <w:t>无</w:t>
      </w:r>
    </w:p>
    <w:p>
      <w:pPr>
        <w:spacing w:line="460" w:lineRule="exact"/>
        <w:ind w:firstLine="456" w:firstLineChars="202"/>
        <w:rPr>
          <w:rFonts w:hint="eastAsia" w:ascii="宋体" w:hAnsi="宋体" w:eastAsia="宋体" w:cs="宋体"/>
          <w:bCs/>
          <w:color w:val="auto"/>
          <w:szCs w:val="21"/>
          <w:highlight w:val="none"/>
        </w:rPr>
      </w:pPr>
      <w:r>
        <w:rPr>
          <w:rFonts w:hint="eastAsia" w:ascii="宋体" w:hAnsi="宋体" w:eastAsia="宋体" w:cs="宋体"/>
          <w:color w:val="auto"/>
          <w:spacing w:val="8"/>
          <w:kern w:val="0"/>
          <w:szCs w:val="21"/>
          <w:highlight w:val="none"/>
        </w:rPr>
        <w:t>2.4</w:t>
      </w:r>
      <w:r>
        <w:rPr>
          <w:rFonts w:hint="eastAsia" w:ascii="宋体" w:hAnsi="宋体" w:eastAsia="宋体" w:cs="宋体"/>
          <w:bCs/>
          <w:color w:val="auto"/>
          <w:szCs w:val="21"/>
          <w:highlight w:val="none"/>
        </w:rPr>
        <w:t>第2.1（5）条所称重大违法记录，是指供应商因违法经营受到刑事处罚或者责令停产停业、吊销许可证或者执照、较大数额罚款等行政处罚。</w:t>
      </w:r>
    </w:p>
    <w:p>
      <w:pPr>
        <w:spacing w:line="460" w:lineRule="exact"/>
        <w:ind w:firstLine="424" w:firstLineChars="2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 供应商在参加政府采购活动前3年内因违法经营被禁止在一定期限内参加政府采购活动，期限届满的，可以参加政府采购活动。</w:t>
      </w:r>
    </w:p>
    <w:p>
      <w:pPr>
        <w:spacing w:line="460" w:lineRule="exact"/>
        <w:ind w:firstLine="424" w:firstLineChars="2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2.6单位负责人为同一人或者存在直接控股、管理关系的不同供应商，不得参加同一合同项下的政府采购活动。</w:t>
      </w:r>
    </w:p>
    <w:p>
      <w:pPr>
        <w:spacing w:line="460" w:lineRule="exact"/>
        <w:ind w:firstLine="424" w:firstLineChars="2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为采购项目提供整体设计、规范编制或者项目管理、监理、检测等服务的供应商，不得再参加该采购项目的其他采购活动。</w:t>
      </w:r>
    </w:p>
    <w:p>
      <w:pPr>
        <w:spacing w:line="460" w:lineRule="exact"/>
        <w:ind w:firstLine="424" w:firstLineChars="2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2.7拒绝列入失信被执行人、重大税收违法案件当事人名单、政府采购严重违法失信行为记录名单</w:t>
      </w:r>
      <w:r>
        <w:rPr>
          <w:rFonts w:hint="eastAsia" w:ascii="宋体" w:hAnsi="宋体" w:eastAsia="宋体" w:cs="宋体"/>
          <w:color w:val="auto"/>
          <w:szCs w:val="21"/>
          <w:highlight w:val="none"/>
          <w:shd w:val="clear" w:color="auto" w:fill="FFFFFF"/>
        </w:rPr>
        <w:t>及其他不符合《中华人民共和国政府采购法》第二十二条规定条件的供应商</w:t>
      </w:r>
      <w:r>
        <w:rPr>
          <w:rFonts w:hint="eastAsia" w:ascii="宋体" w:hAnsi="宋体" w:eastAsia="宋体" w:cs="宋体"/>
          <w:bCs/>
          <w:color w:val="auto"/>
          <w:szCs w:val="21"/>
          <w:highlight w:val="none"/>
        </w:rPr>
        <w:t>参与政府采购活动。采购人或者采购代理机构在进行资格审查的同时，依法通过“中国政府采购网”、“信用中国”网站等渠道查询投标人信用记录并保存。</w:t>
      </w:r>
    </w:p>
    <w:p>
      <w:pPr>
        <w:widowControl/>
        <w:shd w:val="clear" w:color="auto" w:fill="FFFFFF" w:themeFill="background1"/>
        <w:spacing w:line="460" w:lineRule="exact"/>
        <w:outlineLvl w:val="1"/>
        <w:rPr>
          <w:rFonts w:hint="eastAsia" w:ascii="宋体" w:hAnsi="宋体" w:eastAsia="宋体" w:cs="宋体"/>
          <w:b/>
          <w:color w:val="auto"/>
          <w:spacing w:val="8"/>
          <w:kern w:val="0"/>
          <w:sz w:val="24"/>
          <w:highlight w:val="none"/>
        </w:rPr>
      </w:pPr>
      <w:r>
        <w:rPr>
          <w:rFonts w:hint="eastAsia" w:ascii="宋体" w:hAnsi="宋体" w:eastAsia="宋体" w:cs="宋体"/>
          <w:b/>
          <w:color w:val="auto"/>
          <w:spacing w:val="8"/>
          <w:kern w:val="0"/>
          <w:sz w:val="24"/>
          <w:highlight w:val="none"/>
        </w:rPr>
        <w:t>三、获取招标文件</w:t>
      </w:r>
    </w:p>
    <w:p>
      <w:pPr>
        <w:widowControl/>
        <w:shd w:val="clear" w:color="auto" w:fill="FFFFFF" w:themeFill="background1"/>
        <w:spacing w:line="460" w:lineRule="exact"/>
        <w:ind w:firstLine="36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3.1</w:t>
      </w:r>
      <w:r>
        <w:rPr>
          <w:rFonts w:hint="eastAsia" w:ascii="宋体" w:hAnsi="宋体" w:eastAsia="宋体" w:cs="宋体"/>
          <w:b/>
          <w:bCs/>
          <w:color w:val="auto"/>
          <w:spacing w:val="8"/>
          <w:kern w:val="0"/>
          <w:szCs w:val="21"/>
          <w:highlight w:val="none"/>
        </w:rPr>
        <w:t>时间：2023年11月</w:t>
      </w:r>
      <w:r>
        <w:rPr>
          <w:rFonts w:hint="eastAsia" w:ascii="宋体" w:hAnsi="宋体" w:cs="宋体"/>
          <w:b/>
          <w:bCs/>
          <w:color w:val="auto"/>
          <w:spacing w:val="8"/>
          <w:kern w:val="0"/>
          <w:szCs w:val="21"/>
          <w:highlight w:val="none"/>
          <w:lang w:val="en-US" w:eastAsia="zh-CN"/>
        </w:rPr>
        <w:t>7</w:t>
      </w:r>
      <w:r>
        <w:rPr>
          <w:rFonts w:hint="eastAsia" w:ascii="宋体" w:hAnsi="宋体" w:eastAsia="宋体" w:cs="宋体"/>
          <w:b/>
          <w:bCs/>
          <w:color w:val="auto"/>
          <w:spacing w:val="8"/>
          <w:kern w:val="0"/>
          <w:szCs w:val="21"/>
          <w:highlight w:val="none"/>
        </w:rPr>
        <w:t>日至2023年11月</w:t>
      </w:r>
      <w:r>
        <w:rPr>
          <w:rFonts w:hint="eastAsia" w:ascii="宋体" w:hAnsi="宋体" w:cs="宋体"/>
          <w:b/>
          <w:bCs/>
          <w:color w:val="auto"/>
          <w:spacing w:val="8"/>
          <w:kern w:val="0"/>
          <w:szCs w:val="21"/>
          <w:highlight w:val="none"/>
          <w:lang w:val="en-US" w:eastAsia="zh-CN"/>
        </w:rPr>
        <w:t>14</w:t>
      </w:r>
      <w:r>
        <w:rPr>
          <w:rFonts w:hint="eastAsia" w:ascii="宋体" w:hAnsi="宋体" w:eastAsia="宋体" w:cs="宋体"/>
          <w:b/>
          <w:bCs/>
          <w:color w:val="auto"/>
          <w:spacing w:val="8"/>
          <w:kern w:val="0"/>
          <w:szCs w:val="21"/>
          <w:highlight w:val="none"/>
        </w:rPr>
        <w:t>日17:30。</w:t>
      </w:r>
      <w:r>
        <w:rPr>
          <w:rFonts w:hint="eastAsia" w:ascii="宋体" w:hAnsi="宋体" w:eastAsia="宋体" w:cs="宋体"/>
          <w:color w:val="auto"/>
          <w:spacing w:val="8"/>
          <w:kern w:val="0"/>
          <w:szCs w:val="21"/>
          <w:highlight w:val="none"/>
        </w:rPr>
        <w:t>（北京时间，法定节假日除外）</w:t>
      </w:r>
    </w:p>
    <w:p>
      <w:pPr>
        <w:widowControl/>
        <w:shd w:val="clear" w:color="auto" w:fill="FFFFFF" w:themeFill="background1"/>
        <w:snapToGrid w:val="0"/>
        <w:spacing w:line="336" w:lineRule="auto"/>
        <w:ind w:firstLine="36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3.2地点：e交易平台，网址为http://www.ejy365.com</w:t>
      </w:r>
    </w:p>
    <w:p>
      <w:pPr>
        <w:widowControl/>
        <w:shd w:val="clear" w:color="auto" w:fill="FFFFFF" w:themeFill="background1"/>
        <w:spacing w:line="460" w:lineRule="exact"/>
        <w:ind w:firstLine="36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3.3方式：</w:t>
      </w:r>
    </w:p>
    <w:p>
      <w:pPr>
        <w:widowControl/>
        <w:shd w:val="clear" w:color="auto" w:fill="FFFFFF" w:themeFill="background1"/>
        <w:snapToGrid w:val="0"/>
        <w:spacing w:line="336" w:lineRule="auto"/>
        <w:ind w:firstLine="36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（1）凡有意参加响应者，请于获取时间内(北京时间，下同)，登陆e交易平台（http://www.ejy365.com）按照要求进行实名会员注册、完善相关信息及选择项目报名、下载招标文件。</w:t>
      </w:r>
    </w:p>
    <w:p>
      <w:pPr>
        <w:widowControl/>
        <w:shd w:val="clear" w:color="auto" w:fill="FFFFFF" w:themeFill="background1"/>
        <w:snapToGrid w:val="0"/>
        <w:spacing w:line="336" w:lineRule="auto"/>
        <w:ind w:firstLine="36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（2）平台网址为：http://www.ejy365.com。下载者首次登陆平台前，须前往平台免费注册，注册成功且完善相关信息后，可以及时参与平台上所有发布的项目。</w:t>
      </w:r>
    </w:p>
    <w:p>
      <w:pPr>
        <w:widowControl/>
        <w:shd w:val="clear" w:color="auto" w:fill="FFFFFF" w:themeFill="background1"/>
        <w:snapToGrid w:val="0"/>
        <w:spacing w:line="336" w:lineRule="auto"/>
        <w:ind w:firstLine="36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3）下载者应充分考虑平台注册、信息检查、资料上传、购标确认、费用支付所需时间，下载者必须在获取时间内完成支付，否则将无法保证获取招标文件。未按照本公告要求获得本项目招标文件的，采购代理机构不予接收其响应文件。</w:t>
      </w:r>
    </w:p>
    <w:p>
      <w:pPr>
        <w:widowControl/>
        <w:shd w:val="clear" w:color="auto" w:fill="FFFFFF" w:themeFill="background1"/>
        <w:snapToGrid w:val="0"/>
        <w:spacing w:line="336" w:lineRule="auto"/>
        <w:ind w:firstLine="36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4）下载者需要发票的，须通过平台“资金管理”模块进行操作。招标文件服务费发票由采购代理机构开具；下载者选择开具增值税普通发票的，可在“资金管理--标书费电子发票”下载增值税电子普通发票；平台服务费发票由江苏易交易信息科技有限公司开具。非因采购代理机构或平台原因，发票一经开具不予退换。</w:t>
      </w:r>
    </w:p>
    <w:p>
      <w:pPr>
        <w:widowControl/>
        <w:shd w:val="clear" w:color="auto" w:fill="FFFFFF" w:themeFill="background1"/>
        <w:snapToGrid w:val="0"/>
        <w:spacing w:line="336" w:lineRule="auto"/>
        <w:ind w:firstLine="36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（5）平台网站首页“帮助中心”提供操作手册，下载者可以下载并根据操作手册提示进行注册、登录等操作。平台咨询电话为：4008280799。平台会通过短信提醒下载者进行注册、支付、下载等操作。</w:t>
      </w:r>
    </w:p>
    <w:p>
      <w:pPr>
        <w:widowControl/>
        <w:shd w:val="clear" w:color="auto" w:fill="FFFFFF" w:themeFill="background1"/>
        <w:snapToGrid w:val="0"/>
        <w:spacing w:line="336" w:lineRule="auto"/>
        <w:ind w:firstLine="36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（6）联合体响应（如允许）的，联合体各方应当指定牵头人，并授权其以自身名义在平台办理注册、下载文件、缴纳保证金等手续，其在平台的办理行为，对联合体各方均具有约束力。</w:t>
      </w:r>
    </w:p>
    <w:p>
      <w:pPr>
        <w:widowControl/>
        <w:shd w:val="clear" w:color="auto" w:fill="FFFFFF" w:themeFill="background1"/>
        <w:spacing w:line="460" w:lineRule="exact"/>
        <w:ind w:firstLine="360"/>
        <w:rPr>
          <w:rFonts w:hint="eastAsia" w:ascii="宋体" w:hAnsi="宋体" w:eastAsia="宋体" w:cs="宋体"/>
          <w:color w:val="auto"/>
          <w:szCs w:val="21"/>
          <w:highlight w:val="none"/>
        </w:rPr>
      </w:pPr>
      <w:r>
        <w:rPr>
          <w:rFonts w:hint="eastAsia" w:ascii="宋体" w:hAnsi="宋体" w:eastAsia="宋体" w:cs="宋体"/>
          <w:color w:val="auto"/>
          <w:spacing w:val="8"/>
          <w:kern w:val="0"/>
          <w:szCs w:val="21"/>
          <w:highlight w:val="none"/>
        </w:rPr>
        <w:t>3.4纸质招标文件服务费</w:t>
      </w:r>
      <w:r>
        <w:rPr>
          <w:rFonts w:hint="eastAsia" w:ascii="宋体" w:hAnsi="宋体" w:eastAsia="宋体" w:cs="宋体"/>
          <w:color w:val="auto"/>
          <w:szCs w:val="21"/>
          <w:highlight w:val="none"/>
        </w:rPr>
        <w:t>每包</w:t>
      </w:r>
      <w:r>
        <w:rPr>
          <w:rFonts w:hint="eastAsia" w:ascii="宋体" w:hAnsi="宋体" w:eastAsia="宋体" w:cs="宋体"/>
          <w:color w:val="auto"/>
          <w:szCs w:val="21"/>
          <w:highlight w:val="none"/>
          <w:u w:val="single" w:color="000000" w:themeColor="text1"/>
        </w:rPr>
        <w:t xml:space="preserve"> </w:t>
      </w:r>
      <w:r>
        <w:rPr>
          <w:rFonts w:hint="eastAsia" w:ascii="宋体" w:hAnsi="宋体" w:eastAsia="宋体" w:cs="宋体"/>
          <w:color w:val="auto"/>
          <w:szCs w:val="21"/>
          <w:highlight w:val="none"/>
          <w:u w:val="single" w:color="000000" w:themeColor="text1"/>
          <w:lang w:val="en-US" w:eastAsia="zh-CN"/>
        </w:rPr>
        <w:t>5</w:t>
      </w:r>
      <w:r>
        <w:rPr>
          <w:rFonts w:hint="eastAsia" w:ascii="宋体" w:hAnsi="宋体" w:eastAsia="宋体" w:cs="宋体"/>
          <w:color w:val="auto"/>
          <w:szCs w:val="21"/>
          <w:highlight w:val="none"/>
          <w:u w:val="single" w:color="000000" w:themeColor="text1"/>
        </w:rPr>
        <w:t xml:space="preserve">00 </w:t>
      </w:r>
      <w:r>
        <w:rPr>
          <w:rFonts w:hint="eastAsia" w:ascii="宋体" w:hAnsi="宋体" w:eastAsia="宋体" w:cs="宋体"/>
          <w:color w:val="auto"/>
          <w:szCs w:val="21"/>
          <w:highlight w:val="none"/>
        </w:rPr>
        <w:t>元，售后不退。</w:t>
      </w:r>
    </w:p>
    <w:p>
      <w:pPr>
        <w:widowControl/>
        <w:shd w:val="clear" w:color="auto" w:fill="FFFFFF" w:themeFill="background1"/>
        <w:spacing w:line="460" w:lineRule="exact"/>
        <w:ind w:firstLine="360"/>
        <w:rPr>
          <w:rFonts w:hint="eastAsia" w:ascii="宋体" w:hAnsi="宋体" w:eastAsia="宋体" w:cs="宋体"/>
          <w:color w:val="auto"/>
          <w:spacing w:val="8"/>
          <w:kern w:val="0"/>
          <w:szCs w:val="21"/>
          <w:highlight w:val="none"/>
        </w:rPr>
      </w:pPr>
    </w:p>
    <w:p>
      <w:pPr>
        <w:widowControl/>
        <w:shd w:val="clear" w:color="auto" w:fill="FFFFFF" w:themeFill="background1"/>
        <w:spacing w:line="460" w:lineRule="exact"/>
        <w:outlineLvl w:val="1"/>
        <w:rPr>
          <w:rFonts w:hint="eastAsia" w:ascii="宋体" w:hAnsi="宋体" w:eastAsia="宋体" w:cs="宋体"/>
          <w:b/>
          <w:color w:val="auto"/>
          <w:spacing w:val="8"/>
          <w:kern w:val="0"/>
          <w:sz w:val="24"/>
          <w:highlight w:val="none"/>
        </w:rPr>
      </w:pPr>
      <w:r>
        <w:rPr>
          <w:rFonts w:hint="eastAsia" w:ascii="宋体" w:hAnsi="宋体" w:eastAsia="宋体" w:cs="宋体"/>
          <w:b/>
          <w:color w:val="auto"/>
          <w:spacing w:val="8"/>
          <w:kern w:val="0"/>
          <w:sz w:val="24"/>
          <w:highlight w:val="none"/>
        </w:rPr>
        <w:t>四、提交投标文件截止时间、开标时间和地点</w:t>
      </w:r>
    </w:p>
    <w:p>
      <w:pPr>
        <w:widowControl/>
        <w:shd w:val="clear" w:color="auto" w:fill="FFFFFF" w:themeFill="background1"/>
        <w:spacing w:line="460" w:lineRule="exact"/>
        <w:ind w:firstLine="370"/>
        <w:rPr>
          <w:rFonts w:hint="eastAsia" w:ascii="宋体" w:hAnsi="宋体" w:eastAsia="宋体" w:cs="宋体"/>
          <w:color w:val="auto"/>
          <w:spacing w:val="8"/>
          <w:kern w:val="0"/>
          <w:szCs w:val="21"/>
          <w:highlight w:val="none"/>
        </w:rPr>
      </w:pPr>
      <w:r>
        <w:rPr>
          <w:rFonts w:hint="eastAsia" w:ascii="宋体" w:hAnsi="宋体" w:eastAsia="宋体" w:cs="宋体"/>
          <w:b/>
          <w:bCs/>
          <w:color w:val="auto"/>
          <w:spacing w:val="8"/>
          <w:kern w:val="0"/>
          <w:szCs w:val="21"/>
          <w:highlight w:val="none"/>
        </w:rPr>
        <w:t>4.1</w:t>
      </w:r>
      <w:r>
        <w:rPr>
          <w:rFonts w:hint="eastAsia" w:ascii="宋体" w:hAnsi="宋体" w:eastAsia="宋体" w:cs="宋体"/>
          <w:b/>
          <w:color w:val="auto"/>
          <w:spacing w:val="8"/>
          <w:kern w:val="0"/>
          <w:sz w:val="24"/>
          <w:highlight w:val="none"/>
        </w:rPr>
        <w:t>提交投标文件截止时间、开标时间：</w:t>
      </w:r>
      <w:r>
        <w:rPr>
          <w:rFonts w:hint="eastAsia" w:ascii="宋体" w:hAnsi="宋体" w:eastAsia="宋体" w:cs="宋体"/>
          <w:b/>
          <w:bCs/>
          <w:color w:val="auto"/>
          <w:highlight w:val="none"/>
        </w:rPr>
        <w:t>2023年11月</w:t>
      </w:r>
      <w:r>
        <w:rPr>
          <w:rFonts w:hint="eastAsia" w:ascii="宋体" w:hAnsi="宋体" w:eastAsia="宋体" w:cs="宋体"/>
          <w:b/>
          <w:bCs/>
          <w:color w:val="auto"/>
          <w:highlight w:val="none"/>
          <w:lang w:val="en-US" w:eastAsia="zh-CN"/>
        </w:rPr>
        <w:t>2</w:t>
      </w:r>
      <w:r>
        <w:rPr>
          <w:rFonts w:hint="eastAsia" w:ascii="宋体" w:hAnsi="宋体" w:cs="宋体"/>
          <w:b/>
          <w:bCs/>
          <w:color w:val="auto"/>
          <w:highlight w:val="none"/>
          <w:lang w:val="en-US" w:eastAsia="zh-CN"/>
        </w:rPr>
        <w:t>7</w:t>
      </w:r>
      <w:bookmarkStart w:id="35" w:name="_GoBack"/>
      <w:bookmarkEnd w:id="35"/>
      <w:r>
        <w:rPr>
          <w:rFonts w:hint="eastAsia" w:ascii="宋体" w:hAnsi="宋体" w:eastAsia="宋体" w:cs="宋体"/>
          <w:b/>
          <w:bCs/>
          <w:color w:val="auto"/>
          <w:highlight w:val="none"/>
        </w:rPr>
        <w:t>日09点00分</w:t>
      </w:r>
      <w:r>
        <w:rPr>
          <w:rFonts w:hint="eastAsia" w:ascii="宋体" w:hAnsi="宋体" w:eastAsia="宋体" w:cs="宋体"/>
          <w:color w:val="auto"/>
          <w:spacing w:val="8"/>
          <w:kern w:val="0"/>
          <w:szCs w:val="21"/>
          <w:highlight w:val="none"/>
        </w:rPr>
        <w:t>（北京时间）</w:t>
      </w:r>
    </w:p>
    <w:p>
      <w:pPr>
        <w:widowControl/>
        <w:shd w:val="clear" w:color="auto" w:fill="FFFFFF" w:themeFill="background1"/>
        <w:spacing w:line="460" w:lineRule="exact"/>
        <w:ind w:firstLine="37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4.2</w:t>
      </w:r>
      <w:r>
        <w:rPr>
          <w:rFonts w:hint="eastAsia" w:ascii="宋体" w:hAnsi="宋体" w:eastAsia="宋体" w:cs="宋体"/>
          <w:b/>
          <w:bCs/>
          <w:color w:val="auto"/>
          <w:spacing w:val="8"/>
          <w:kern w:val="0"/>
          <w:szCs w:val="21"/>
          <w:highlight w:val="none"/>
        </w:rPr>
        <w:t>提交投标文件地点及开标地点</w:t>
      </w:r>
      <w:r>
        <w:rPr>
          <w:rFonts w:hint="eastAsia" w:ascii="宋体" w:hAnsi="宋体" w:eastAsia="宋体" w:cs="宋体"/>
          <w:color w:val="auto"/>
          <w:spacing w:val="8"/>
          <w:kern w:val="0"/>
          <w:szCs w:val="21"/>
          <w:highlight w:val="none"/>
        </w:rPr>
        <w:t>：南京市鼓楼区清江南路18号鼓楼创新广场D栋11楼1号开标室</w:t>
      </w:r>
    </w:p>
    <w:p>
      <w:pPr>
        <w:widowControl/>
        <w:shd w:val="clear" w:color="auto" w:fill="FFFFFF" w:themeFill="background1"/>
        <w:spacing w:line="460" w:lineRule="exact"/>
        <w:ind w:firstLine="370"/>
        <w:rPr>
          <w:rFonts w:hint="eastAsia" w:ascii="宋体" w:hAnsi="宋体" w:eastAsia="宋体" w:cs="宋体"/>
          <w:b/>
          <w:bCs/>
          <w:color w:val="auto"/>
          <w:highlight w:val="none"/>
        </w:rPr>
      </w:pPr>
      <w:r>
        <w:rPr>
          <w:rFonts w:hint="eastAsia" w:ascii="宋体" w:hAnsi="宋体" w:eastAsia="宋体" w:cs="宋体"/>
          <w:b/>
          <w:bCs/>
          <w:color w:val="auto"/>
          <w:highlight w:val="none"/>
        </w:rPr>
        <w:t>投标人因</w:t>
      </w:r>
      <w:r>
        <w:rPr>
          <w:rFonts w:hint="eastAsia" w:ascii="宋体" w:hAnsi="宋体" w:eastAsia="宋体" w:cs="宋体"/>
          <w:b/>
          <w:bCs/>
          <w:color w:val="auto"/>
          <w:szCs w:val="21"/>
          <w:highlight w:val="none"/>
        </w:rPr>
        <w:t>故</w:t>
      </w:r>
      <w:r>
        <w:rPr>
          <w:rFonts w:hint="eastAsia" w:ascii="宋体" w:hAnsi="宋体" w:eastAsia="宋体" w:cs="宋体"/>
          <w:b/>
          <w:bCs/>
          <w:color w:val="auto"/>
          <w:highlight w:val="none"/>
        </w:rPr>
        <w:t>未出席开标会的，视同同意本项目开标结果。</w:t>
      </w:r>
    </w:p>
    <w:p>
      <w:pPr>
        <w:widowControl/>
        <w:spacing w:line="460" w:lineRule="exact"/>
        <w:ind w:firstLine="37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4.3</w:t>
      </w:r>
      <w:r>
        <w:rPr>
          <w:rFonts w:hint="eastAsia" w:ascii="宋体" w:hAnsi="宋体" w:eastAsia="宋体" w:cs="宋体"/>
          <w:b/>
          <w:bCs/>
          <w:color w:val="auto"/>
          <w:szCs w:val="21"/>
          <w:highlight w:val="none"/>
        </w:rPr>
        <w:t>投标人应提供投标文件一式伍份（正本壹份、副本肆份），所有投标文件均应密封后递交，同时应提供电子版投标文件壹份（电子版须为投标文件正本加盖公章、签字后形成PDF扫描件，扫描件内容应与纸质投标文件正本完全一致、U盘形式（单独封装）、随纸质正本文件一并提交）。</w:t>
      </w:r>
      <w:r>
        <w:rPr>
          <w:rFonts w:hint="eastAsia" w:ascii="宋体" w:hAnsi="宋体" w:eastAsia="宋体" w:cs="宋体"/>
          <w:color w:val="auto"/>
          <w:szCs w:val="21"/>
          <w:highlight w:val="none"/>
        </w:rPr>
        <w:t>当电子版文件和纸质正本文件不一致时，以纸质正本文件为准。电子版文件用于辅助评标和平台存档，投标人需承担前述不一致造成的不利后果。</w:t>
      </w:r>
    </w:p>
    <w:p>
      <w:pPr>
        <w:widowControl/>
        <w:shd w:val="clear" w:color="auto" w:fill="FFFFFF" w:themeFill="background1"/>
        <w:spacing w:line="460" w:lineRule="exact"/>
        <w:outlineLvl w:val="1"/>
        <w:rPr>
          <w:rFonts w:hint="eastAsia" w:ascii="宋体" w:hAnsi="宋体" w:eastAsia="宋体" w:cs="宋体"/>
          <w:b/>
          <w:color w:val="auto"/>
          <w:spacing w:val="8"/>
          <w:kern w:val="0"/>
          <w:sz w:val="24"/>
          <w:highlight w:val="none"/>
        </w:rPr>
      </w:pPr>
      <w:r>
        <w:rPr>
          <w:rFonts w:hint="eastAsia" w:ascii="宋体" w:hAnsi="宋体" w:eastAsia="宋体" w:cs="宋体"/>
          <w:b/>
          <w:color w:val="auto"/>
          <w:spacing w:val="8"/>
          <w:kern w:val="0"/>
          <w:sz w:val="24"/>
          <w:highlight w:val="none"/>
        </w:rPr>
        <w:t>五、公告期限</w:t>
      </w:r>
    </w:p>
    <w:p>
      <w:pPr>
        <w:widowControl/>
        <w:shd w:val="clear" w:color="auto" w:fill="FFFFFF" w:themeFill="background1"/>
        <w:spacing w:line="460" w:lineRule="exact"/>
        <w:ind w:firstLine="370"/>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自本公告发布之日起5个工作日。</w:t>
      </w:r>
    </w:p>
    <w:p>
      <w:pPr>
        <w:widowControl/>
        <w:shd w:val="clear" w:color="auto" w:fill="FFFFFF" w:themeFill="background1"/>
        <w:spacing w:line="460" w:lineRule="exact"/>
        <w:outlineLvl w:val="1"/>
        <w:rPr>
          <w:rFonts w:hint="eastAsia" w:ascii="宋体" w:hAnsi="宋体" w:eastAsia="宋体" w:cs="宋体"/>
          <w:b/>
          <w:color w:val="auto"/>
          <w:spacing w:val="8"/>
          <w:kern w:val="0"/>
          <w:sz w:val="24"/>
          <w:highlight w:val="none"/>
        </w:rPr>
      </w:pPr>
      <w:r>
        <w:rPr>
          <w:rFonts w:hint="eastAsia" w:ascii="宋体" w:hAnsi="宋体" w:eastAsia="宋体" w:cs="宋体"/>
          <w:b/>
          <w:color w:val="auto"/>
          <w:spacing w:val="8"/>
          <w:kern w:val="0"/>
          <w:sz w:val="24"/>
          <w:highlight w:val="none"/>
        </w:rPr>
        <w:t>六、其他补充事宜</w:t>
      </w:r>
    </w:p>
    <w:p>
      <w:pPr>
        <w:widowControl/>
        <w:shd w:val="clear" w:color="auto" w:fill="FFFFFF" w:themeFill="background1"/>
        <w:spacing w:line="460" w:lineRule="exact"/>
        <w:ind w:firstLine="363" w:firstLineChars="173"/>
        <w:outlineLvl w:val="1"/>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6.1本项目在</w:t>
      </w:r>
      <w:r>
        <w:rPr>
          <w:rFonts w:hint="eastAsia" w:ascii="宋体" w:hAnsi="宋体" w:eastAsia="宋体" w:cs="宋体"/>
          <w:b/>
          <w:bCs/>
          <w:color w:val="auto"/>
          <w:szCs w:val="21"/>
          <w:highlight w:val="none"/>
          <w:lang w:val="zh-CN"/>
        </w:rPr>
        <w:t>江苏政府采购网</w:t>
      </w:r>
      <w:r>
        <w:rPr>
          <w:rFonts w:hint="eastAsia" w:ascii="宋体" w:hAnsi="宋体" w:eastAsia="宋体" w:cs="宋体"/>
          <w:color w:val="auto"/>
          <w:szCs w:val="21"/>
          <w:highlight w:val="none"/>
          <w:lang w:val="zh-CN"/>
        </w:rPr>
        <w:t>网站发布公告。</w:t>
      </w:r>
    </w:p>
    <w:p>
      <w:pPr>
        <w:widowControl/>
        <w:shd w:val="clear" w:color="auto" w:fill="FFFFFF" w:themeFill="background1"/>
        <w:spacing w:line="460" w:lineRule="exact"/>
        <w:ind w:firstLine="363" w:firstLineChars="173"/>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6.</w:t>
      </w:r>
      <w:r>
        <w:rPr>
          <w:rFonts w:hint="eastAsia" w:ascii="宋体" w:hAnsi="宋体" w:eastAsia="宋体" w:cs="宋体"/>
          <w:color w:val="auto"/>
          <w:szCs w:val="21"/>
          <w:highlight w:val="none"/>
        </w:rPr>
        <w:t>2投标人应当从采购代理机构合法获得招标项目的招标文件。本次招标请按“包”获取招标文件，编制、提交投标文件，并按“包”开标、评标。</w:t>
      </w:r>
    </w:p>
    <w:p>
      <w:pPr>
        <w:widowControl/>
        <w:shd w:val="clear" w:color="auto" w:fill="FFFFFF" w:themeFill="background1"/>
        <w:spacing w:line="460" w:lineRule="exact"/>
        <w:ind w:firstLine="363" w:firstLineChars="173"/>
        <w:outlineLvl w:val="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6.3 勘察现场：无</w:t>
      </w:r>
    </w:p>
    <w:p>
      <w:pPr>
        <w:widowControl/>
        <w:shd w:val="clear" w:color="auto" w:fill="FFFFFF" w:themeFill="background1"/>
        <w:spacing w:line="460" w:lineRule="exact"/>
        <w:rPr>
          <w:rFonts w:hint="eastAsia" w:ascii="宋体" w:hAnsi="宋体" w:eastAsia="宋体" w:cs="宋体"/>
          <w:b/>
          <w:color w:val="auto"/>
          <w:spacing w:val="8"/>
          <w:kern w:val="0"/>
          <w:sz w:val="24"/>
          <w:highlight w:val="none"/>
        </w:rPr>
      </w:pPr>
      <w:r>
        <w:rPr>
          <w:rFonts w:hint="eastAsia" w:ascii="宋体" w:hAnsi="宋体" w:eastAsia="宋体" w:cs="宋体"/>
          <w:b/>
          <w:color w:val="auto"/>
          <w:spacing w:val="8"/>
          <w:kern w:val="0"/>
          <w:sz w:val="24"/>
          <w:highlight w:val="none"/>
        </w:rPr>
        <w:t>七、对本次招标提出询问，请按以下方式联系</w:t>
      </w:r>
    </w:p>
    <w:p>
      <w:pPr>
        <w:widowControl/>
        <w:shd w:val="clear" w:color="auto" w:fill="FFFFFF" w:themeFill="background1"/>
        <w:spacing w:line="460" w:lineRule="exact"/>
        <w:jc w:val="left"/>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　 7.1采购人信息</w:t>
      </w:r>
    </w:p>
    <w:p>
      <w:pPr>
        <w:pStyle w:val="54"/>
        <w:spacing w:line="460" w:lineRule="exact"/>
        <w:ind w:firstLine="452"/>
        <w:rPr>
          <w:rFonts w:hint="eastAsia" w:ascii="宋体" w:hAnsi="宋体" w:eastAsia="宋体" w:cs="宋体"/>
          <w:color w:val="auto"/>
          <w:spacing w:val="8"/>
          <w:kern w:val="0"/>
          <w:szCs w:val="21"/>
          <w:highlight w:val="none"/>
        </w:rPr>
      </w:pPr>
      <w:bookmarkStart w:id="2" w:name="_Toc28359009"/>
      <w:bookmarkStart w:id="3" w:name="_Toc28359086"/>
      <w:r>
        <w:rPr>
          <w:rFonts w:hint="eastAsia" w:ascii="宋体" w:hAnsi="宋体" w:eastAsia="宋体" w:cs="宋体"/>
          <w:color w:val="auto"/>
          <w:spacing w:val="8"/>
          <w:kern w:val="0"/>
          <w:szCs w:val="21"/>
          <w:highlight w:val="none"/>
        </w:rPr>
        <w:t>名称：江苏省环境监测中心</w:t>
      </w:r>
    </w:p>
    <w:p>
      <w:pPr>
        <w:pStyle w:val="54"/>
        <w:spacing w:line="460" w:lineRule="exact"/>
        <w:ind w:firstLine="452"/>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联系方式：田老师 025-69586567</w:t>
      </w:r>
    </w:p>
    <w:p>
      <w:pPr>
        <w:pStyle w:val="54"/>
        <w:spacing w:line="460" w:lineRule="exact"/>
        <w:ind w:firstLine="452"/>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地址：南京市建邺区中和路100号</w:t>
      </w:r>
    </w:p>
    <w:p>
      <w:pPr>
        <w:pStyle w:val="54"/>
        <w:spacing w:line="460" w:lineRule="exact"/>
        <w:ind w:firstLine="452"/>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7.2采购代理机构信息</w:t>
      </w:r>
      <w:bookmarkEnd w:id="2"/>
      <w:bookmarkEnd w:id="3"/>
    </w:p>
    <w:p>
      <w:pPr>
        <w:pStyle w:val="54"/>
        <w:spacing w:line="460" w:lineRule="exact"/>
        <w:ind w:firstLine="452"/>
        <w:rPr>
          <w:rFonts w:hint="eastAsia" w:ascii="宋体" w:hAnsi="宋体" w:eastAsia="宋体" w:cs="宋体"/>
          <w:color w:val="auto"/>
          <w:spacing w:val="8"/>
          <w:kern w:val="0"/>
          <w:szCs w:val="21"/>
          <w:highlight w:val="none"/>
        </w:rPr>
      </w:pPr>
      <w:bookmarkStart w:id="4" w:name="_Toc28359087"/>
      <w:bookmarkStart w:id="5" w:name="_Toc28359010"/>
      <w:r>
        <w:rPr>
          <w:rFonts w:hint="eastAsia" w:ascii="宋体" w:hAnsi="宋体" w:eastAsia="宋体" w:cs="宋体"/>
          <w:color w:val="auto"/>
          <w:spacing w:val="8"/>
          <w:kern w:val="0"/>
          <w:szCs w:val="21"/>
          <w:highlight w:val="none"/>
        </w:rPr>
        <w:t>名称：江苏省设备成套股份有限公司 </w:t>
      </w:r>
    </w:p>
    <w:p>
      <w:pPr>
        <w:pStyle w:val="54"/>
        <w:spacing w:line="460" w:lineRule="exact"/>
        <w:ind w:firstLine="452"/>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联系方式：蔡慧 025-83320576</w:t>
      </w:r>
    </w:p>
    <w:p>
      <w:pPr>
        <w:pStyle w:val="54"/>
        <w:spacing w:line="460" w:lineRule="exact"/>
        <w:ind w:firstLine="452"/>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地址：南京市鼓楼区清江南路18号鼓楼创新广场D栋1002室</w:t>
      </w:r>
    </w:p>
    <w:p>
      <w:pPr>
        <w:pStyle w:val="54"/>
        <w:spacing w:line="460" w:lineRule="exact"/>
        <w:ind w:firstLine="452"/>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7.3项目联系方式</w:t>
      </w:r>
      <w:bookmarkEnd w:id="4"/>
      <w:bookmarkEnd w:id="5"/>
    </w:p>
    <w:p>
      <w:pPr>
        <w:pStyle w:val="54"/>
        <w:spacing w:line="460" w:lineRule="exact"/>
        <w:ind w:firstLine="452"/>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项目联系人：蔡慧</w:t>
      </w:r>
    </w:p>
    <w:p>
      <w:pPr>
        <w:pStyle w:val="54"/>
        <w:spacing w:line="460" w:lineRule="exact"/>
        <w:ind w:firstLine="452"/>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 xml:space="preserve">电话：025-83320576 </w:t>
      </w:r>
    </w:p>
    <w:p>
      <w:pPr>
        <w:pStyle w:val="54"/>
        <w:spacing w:line="460" w:lineRule="exact"/>
        <w:ind w:firstLine="452"/>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邮箱地址：caihui@jcec.cn</w:t>
      </w:r>
    </w:p>
    <w:p>
      <w:pPr>
        <w:pStyle w:val="54"/>
        <w:spacing w:line="460" w:lineRule="exact"/>
        <w:ind w:firstLine="452"/>
        <w:rPr>
          <w:rFonts w:hint="eastAsia" w:ascii="宋体" w:hAnsi="宋体" w:eastAsia="宋体" w:cs="宋体"/>
          <w:color w:val="auto"/>
          <w:spacing w:val="8"/>
          <w:kern w:val="0"/>
          <w:szCs w:val="21"/>
          <w:highlight w:val="none"/>
        </w:rPr>
      </w:pPr>
    </w:p>
    <w:p>
      <w:pPr>
        <w:pStyle w:val="54"/>
        <w:spacing w:line="460" w:lineRule="exact"/>
        <w:ind w:firstLine="0" w:firstLineChars="0"/>
        <w:rPr>
          <w:rFonts w:hint="eastAsia" w:ascii="宋体" w:hAnsi="宋体" w:eastAsia="宋体" w:cs="宋体"/>
          <w:color w:val="auto"/>
          <w:spacing w:val="8"/>
          <w:kern w:val="0"/>
          <w:szCs w:val="21"/>
          <w:highlight w:val="none"/>
        </w:rPr>
      </w:pPr>
    </w:p>
    <w:p>
      <w:pPr>
        <w:pStyle w:val="54"/>
        <w:spacing w:line="460" w:lineRule="exact"/>
        <w:ind w:firstLine="0" w:firstLineChars="0"/>
        <w:rPr>
          <w:rFonts w:hint="eastAsia" w:ascii="宋体" w:hAnsi="宋体" w:eastAsia="宋体" w:cs="宋体"/>
          <w:color w:val="auto"/>
          <w:spacing w:val="8"/>
          <w:kern w:val="0"/>
          <w:szCs w:val="21"/>
          <w:highlight w:val="none"/>
        </w:rPr>
      </w:pPr>
    </w:p>
    <w:p>
      <w:pPr>
        <w:pStyle w:val="54"/>
        <w:spacing w:line="460" w:lineRule="exact"/>
        <w:ind w:firstLine="0" w:firstLineChars="0"/>
        <w:rPr>
          <w:rFonts w:hint="eastAsia" w:ascii="宋体" w:hAnsi="宋体" w:eastAsia="宋体" w:cs="宋体"/>
          <w:color w:val="auto"/>
          <w:spacing w:val="8"/>
          <w:kern w:val="0"/>
          <w:szCs w:val="21"/>
          <w:highlight w:val="none"/>
        </w:rPr>
      </w:pPr>
    </w:p>
    <w:p>
      <w:pPr>
        <w:pStyle w:val="54"/>
        <w:spacing w:line="460" w:lineRule="exact"/>
        <w:ind w:firstLine="452"/>
        <w:rPr>
          <w:rFonts w:hint="eastAsia" w:ascii="宋体" w:hAnsi="宋体" w:eastAsia="宋体" w:cs="宋体"/>
          <w:color w:val="auto"/>
          <w:spacing w:val="8"/>
          <w:kern w:val="0"/>
          <w:szCs w:val="21"/>
          <w:highlight w:val="none"/>
        </w:rPr>
      </w:pPr>
    </w:p>
    <w:p>
      <w:pPr>
        <w:pStyle w:val="54"/>
        <w:ind w:firstLine="452"/>
        <w:rPr>
          <w:rFonts w:hint="eastAsia" w:ascii="宋体" w:hAnsi="宋体" w:eastAsia="宋体" w:cs="宋体"/>
          <w:color w:val="auto"/>
          <w:spacing w:val="8"/>
          <w:kern w:val="0"/>
          <w:szCs w:val="21"/>
          <w:highlight w:val="none"/>
        </w:rPr>
      </w:pPr>
    </w:p>
    <w:p>
      <w:pPr>
        <w:rPr>
          <w:rFonts w:hint="eastAsia" w:ascii="宋体" w:hAnsi="宋体" w:eastAsia="宋体" w:cs="宋体"/>
          <w:color w:val="auto"/>
          <w:highlight w:val="none"/>
        </w:rPr>
      </w:pPr>
      <w:bookmarkStart w:id="6" w:name="_Toc7593"/>
      <w:r>
        <w:rPr>
          <w:rFonts w:hint="eastAsia" w:ascii="宋体" w:hAnsi="宋体" w:eastAsia="宋体" w:cs="宋体"/>
          <w:color w:val="auto"/>
          <w:highlight w:val="none"/>
        </w:rPr>
        <w:br w:type="page"/>
      </w:r>
    </w:p>
    <w:p>
      <w:pPr>
        <w:pStyle w:val="3"/>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第二章</w:t>
      </w:r>
      <w:bookmarkStart w:id="7" w:name="_Toc452625218"/>
      <w:r>
        <w:rPr>
          <w:rFonts w:hint="eastAsia" w:ascii="宋体" w:hAnsi="宋体" w:eastAsia="宋体" w:cs="宋体"/>
          <w:color w:val="auto"/>
          <w:highlight w:val="none"/>
        </w:rPr>
        <w:t xml:space="preserve"> 投标人须知</w:t>
      </w:r>
      <w:bookmarkEnd w:id="6"/>
      <w:bookmarkEnd w:id="7"/>
    </w:p>
    <w:p>
      <w:pPr>
        <w:widowControl/>
        <w:shd w:val="clear" w:color="auto" w:fill="FFFFFF"/>
        <w:spacing w:line="360" w:lineRule="auto"/>
        <w:ind w:firstLine="424" w:firstLineChars="201"/>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一、总 则</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1、适用法律</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2、定义</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2.1“采购人”是指依法进行政府采购的国家机关、事业单位、团体组织。</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2.2“投标人（供应商）”是指参加投标竞争，并符合招标文件规定资格条件的法人、其他组织或者自然人。</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2.3“采购代理机构”是指集中采购机构和集中采购机构以外的采购代理机构，集中采购机构以外的采购代理机构，是从事采购代理业务的社会中介机构。</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2.4“货物和服务”指本招标文件中所述</w:t>
      </w:r>
      <w:r>
        <w:rPr>
          <w:rFonts w:hint="eastAsia" w:ascii="宋体" w:hAnsi="宋体" w:eastAsia="宋体" w:cs="宋体"/>
          <w:bCs/>
          <w:color w:val="auto"/>
          <w:kern w:val="0"/>
          <w:szCs w:val="21"/>
          <w:highlight w:val="none"/>
        </w:rPr>
        <w:t>产品</w:t>
      </w:r>
      <w:r>
        <w:rPr>
          <w:rFonts w:hint="eastAsia" w:ascii="宋体" w:hAnsi="宋体" w:eastAsia="宋体" w:cs="宋体"/>
          <w:color w:val="auto"/>
          <w:kern w:val="0"/>
          <w:szCs w:val="21"/>
          <w:highlight w:val="none"/>
        </w:rPr>
        <w:t>及相关服务。</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2.5“用户或使用单位”是指使用货物，接受服务的单位。</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3、政策功能</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3.6进口产品政策</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（1）除招标公告载明接受进口产品参加外，不允许进口产品参加。进口产品认定依照《财政部关于政府采购进口产品管理有关问题的通知》（财办库〔2008〕248号）的规定。</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（2）允许进口产品参加的，满足需求的国内产品可以参加。</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（3）允许进口产品参加的，优先采购向我国企业转让技术、与我国企业签订消化吸收再创新方案的投标人的进口产品。</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3.7未按要求提供相关材料的，不享受相关政策。</w:t>
      </w:r>
    </w:p>
    <w:p>
      <w:pPr>
        <w:widowControl/>
        <w:shd w:val="clear" w:color="auto" w:fill="FFFFFF"/>
        <w:spacing w:line="360" w:lineRule="auto"/>
        <w:ind w:firstLine="412"/>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二、招标文件构成</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4、招标文件组成</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 采购代理机构如果要求投标人按照招标文件规定提交备选投标方案的，投标人可以提交备选方案；否则，备选方案将被拒绝。</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4.4招标文件中要求的产品品牌或型号，是采购人根据项目所要实现的功能推荐的品牌或型号，仅供投标人参考，并不是限制条件。</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5、招标文件的澄清或者修改</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三、投标文件的编制</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6、投标文件的语言、计量单位、货币和编制</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6.2投标人所使用的计量单位应为国家法定计量单位。</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6.3投标人应用人民币报价。投标产品如果是进口产品的，应提供人民币与</w:t>
      </w:r>
      <w:r>
        <w:rPr>
          <w:rFonts w:hint="eastAsia" w:ascii="宋体" w:hAnsi="宋体" w:eastAsia="宋体" w:cs="宋体"/>
          <w:b/>
          <w:bCs/>
          <w:color w:val="auto"/>
          <w:kern w:val="0"/>
          <w:szCs w:val="21"/>
          <w:highlight w:val="none"/>
        </w:rPr>
        <w:t>外币之间的汇率。</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6.4投标文件应按照招标文件规定的顺序打印、装订成册并编制目录。因编排混乱导致投标文件被误读或查找不到，责任由投标人承担。</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6.5投标人应在投标文件中写清相应的项目编号、项目名称、投标人全称、地址、电话、传真等。</w:t>
      </w:r>
    </w:p>
    <w:p>
      <w:pPr>
        <w:widowControl/>
        <w:shd w:val="clear" w:color="auto" w:fill="FFFFFF"/>
        <w:spacing w:line="360" w:lineRule="auto"/>
        <w:ind w:firstLine="412"/>
        <w:rPr>
          <w:rFonts w:hint="eastAsia" w:ascii="宋体" w:hAnsi="宋体" w:eastAsia="宋体" w:cs="宋体"/>
          <w:color w:val="auto"/>
          <w:kern w:val="0"/>
          <w:szCs w:val="21"/>
          <w:highlight w:val="none"/>
        </w:rPr>
      </w:pPr>
      <w:r>
        <w:rPr>
          <w:rFonts w:hint="eastAsia" w:ascii="宋体" w:hAnsi="宋体" w:eastAsia="宋体" w:cs="宋体"/>
          <w:bCs/>
          <w:color w:val="auto"/>
          <w:kern w:val="0"/>
          <w:szCs w:val="21"/>
          <w:highlight w:val="none"/>
        </w:rPr>
        <w:t>6.6</w:t>
      </w:r>
      <w:r>
        <w:rPr>
          <w:rFonts w:hint="eastAsia" w:ascii="宋体" w:hAnsi="宋体" w:eastAsia="宋体" w:cs="宋体"/>
          <w:color w:val="auto"/>
          <w:kern w:val="0"/>
          <w:szCs w:val="21"/>
          <w:highlight w:val="none"/>
        </w:rPr>
        <w:t>投标人根据招标文件载明的标的采购项目实际情况，拟在中标后将中标项目的非主体、非关键性工作交由他人完成的，应当在投标文件中载明。</w:t>
      </w:r>
    </w:p>
    <w:p>
      <w:pPr>
        <w:widowControl/>
        <w:shd w:val="clear" w:color="auto" w:fill="FFFFFF"/>
        <w:spacing w:line="360" w:lineRule="auto"/>
        <w:ind w:firstLine="420"/>
        <w:rPr>
          <w:rFonts w:hint="eastAsia" w:ascii="宋体" w:hAnsi="宋体" w:eastAsia="宋体" w:cs="宋体"/>
          <w:b/>
          <w:bCs/>
          <w:color w:val="auto"/>
          <w:kern w:val="0"/>
          <w:szCs w:val="21"/>
          <w:highlight w:val="none"/>
        </w:rPr>
      </w:pPr>
    </w:p>
    <w:p>
      <w:pPr>
        <w:widowControl/>
        <w:shd w:val="clear" w:color="auto" w:fill="FFFFFF"/>
        <w:spacing w:line="360" w:lineRule="auto"/>
        <w:ind w:firstLine="420"/>
        <w:rPr>
          <w:rFonts w:hint="eastAsia" w:ascii="宋体" w:hAnsi="宋体" w:eastAsia="宋体" w:cs="宋体"/>
          <w:b/>
          <w:bCs/>
          <w:color w:val="auto"/>
          <w:kern w:val="0"/>
          <w:szCs w:val="21"/>
          <w:highlight w:val="none"/>
        </w:rPr>
      </w:pPr>
    </w:p>
    <w:p>
      <w:pPr>
        <w:widowControl/>
        <w:shd w:val="clear" w:color="auto" w:fill="FFFFFF"/>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7、联合体投标</w:t>
      </w:r>
    </w:p>
    <w:p>
      <w:pPr>
        <w:widowControl/>
        <w:shd w:val="clear" w:color="auto" w:fill="FFFFFF"/>
        <w:spacing w:line="360" w:lineRule="auto"/>
        <w:ind w:firstLine="42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7.1 两个以上的自然人、法人或者其他组织可以组成一个联合体，以一个投标人的身份共同参加政府采购。</w:t>
      </w:r>
    </w:p>
    <w:p>
      <w:pPr>
        <w:widowControl/>
        <w:shd w:val="clear" w:color="auto" w:fill="FFFFFF"/>
        <w:spacing w:line="360" w:lineRule="auto"/>
        <w:ind w:firstLine="42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7.2 联合体中有同类资质的投标人按照联合体分工承担相同工作的，按照资质等级较低的投标人确定资质等级。</w:t>
      </w:r>
    </w:p>
    <w:p>
      <w:pPr>
        <w:widowControl/>
        <w:shd w:val="clear" w:color="auto" w:fill="FFFFFF"/>
        <w:spacing w:line="360" w:lineRule="auto"/>
        <w:ind w:firstLine="42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7.3 联合体各方之间应当签订联合体协议，明确约定联合体各方承担的工作和相应的责任，并将联合体协议连同投标文件一同提交。</w:t>
      </w:r>
    </w:p>
    <w:p>
      <w:pPr>
        <w:widowControl/>
        <w:shd w:val="clear" w:color="auto" w:fill="FFFFFF"/>
        <w:spacing w:line="360" w:lineRule="auto"/>
        <w:ind w:firstLine="412"/>
        <w:rPr>
          <w:rFonts w:hint="eastAsia" w:ascii="宋体" w:hAnsi="宋体" w:eastAsia="宋体" w:cs="宋体"/>
          <w:color w:val="auto"/>
          <w:kern w:val="0"/>
          <w:szCs w:val="21"/>
          <w:highlight w:val="none"/>
        </w:rPr>
      </w:pPr>
      <w:r>
        <w:rPr>
          <w:rFonts w:hint="eastAsia" w:ascii="宋体" w:hAnsi="宋体" w:eastAsia="宋体" w:cs="宋体"/>
          <w:bCs/>
          <w:color w:val="auto"/>
          <w:kern w:val="0"/>
          <w:szCs w:val="21"/>
          <w:highlight w:val="none"/>
        </w:rPr>
        <w:t>7.4 以联合体形式参加政府采购活动的，联合体各方不得再单独参加或者与其他投标人另外组成联合体参加同一合同项下的政府采购活动。</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8、投标文件的组成</w:t>
      </w:r>
    </w:p>
    <w:p>
      <w:pPr>
        <w:widowControl/>
        <w:shd w:val="clear" w:color="auto" w:fill="FFFFFF"/>
        <w:spacing w:line="360" w:lineRule="auto"/>
        <w:ind w:firstLine="420"/>
        <w:jc w:val="left"/>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color w:val="auto"/>
          <w:kern w:val="0"/>
          <w:szCs w:val="21"/>
          <w:highlight w:val="none"/>
        </w:rPr>
        <w:t>对带</w:t>
      </w:r>
      <w:r>
        <w:rPr>
          <w:rFonts w:hint="eastAsia" w:ascii="宋体" w:hAnsi="宋体" w:eastAsia="宋体" w:cs="宋体"/>
          <w:b/>
          <w:bCs/>
          <w:color w:val="auto"/>
          <w:kern w:val="0"/>
          <w:szCs w:val="21"/>
          <w:highlight w:val="none"/>
        </w:rPr>
        <w:t>星号（“</w:t>
      </w:r>
      <w:r>
        <w:rPr>
          <w:rFonts w:hint="eastAsia" w:ascii="宋体" w:hAnsi="宋体" w:eastAsia="宋体" w:cs="宋体"/>
          <w:b/>
          <w:bCs/>
          <w:color w:val="auto"/>
          <w:highlight w:val="none"/>
        </w:rPr>
        <w:t>*</w:t>
      </w:r>
      <w:r>
        <w:rPr>
          <w:rFonts w:hint="eastAsia" w:ascii="宋体" w:hAnsi="宋体" w:eastAsia="宋体" w:cs="宋体"/>
          <w:b/>
          <w:bCs/>
          <w:color w:val="auto"/>
          <w:kern w:val="0"/>
          <w:szCs w:val="21"/>
          <w:highlight w:val="none"/>
        </w:rPr>
        <w:t>”）的技术条款必须在投标文件中提供技术支持资料（如白皮书、彩页、手册、检测报告等），未提供技术支持资料的，视为未对招标文件实质性要求作出响应，评审时不予认可。</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8.2 投标文件由商务、技术、价格以及其他部分内容组成。投标文件目录及有关格式按招标文件“第六章 投标文件格式及附件”的要求编制。</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9、投标文件的商务内容</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eastAsia="宋体" w:cs="宋体"/>
          <w:b/>
          <w:color w:val="auto"/>
          <w:kern w:val="0"/>
          <w:szCs w:val="21"/>
          <w:highlight w:val="none"/>
        </w:rPr>
        <w:t>（1）-（6）所述材料不得有缺失或提供不全或不满足招标文件的实质性要求</w:t>
      </w:r>
      <w:r>
        <w:rPr>
          <w:rFonts w:hint="eastAsia" w:ascii="宋体" w:hAnsi="宋体" w:eastAsia="宋体" w:cs="宋体"/>
          <w:color w:val="auto"/>
          <w:kern w:val="0"/>
          <w:szCs w:val="21"/>
          <w:highlight w:val="none"/>
        </w:rPr>
        <w:t>）：</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（1）投标函（投标申请及声明）</w:t>
      </w:r>
      <w:r>
        <w:rPr>
          <w:rFonts w:hint="eastAsia" w:ascii="宋体" w:hAnsi="宋体" w:eastAsia="宋体" w:cs="宋体"/>
          <w:bCs/>
          <w:color w:val="auto"/>
          <w:szCs w:val="21"/>
          <w:highlight w:val="none"/>
        </w:rPr>
        <w:t>（</w:t>
      </w:r>
      <w:r>
        <w:rPr>
          <w:rFonts w:hint="eastAsia" w:ascii="宋体" w:hAnsi="宋体" w:eastAsia="宋体" w:cs="宋体"/>
          <w:b/>
          <w:bCs/>
          <w:color w:val="auto"/>
          <w:szCs w:val="21"/>
          <w:highlight w:val="none"/>
        </w:rPr>
        <w:t>格式见第六章</w:t>
      </w:r>
      <w:r>
        <w:rPr>
          <w:rFonts w:hint="eastAsia" w:ascii="宋体" w:hAnsi="宋体" w:eastAsia="宋体" w:cs="宋体"/>
          <w:bCs/>
          <w:color w:val="auto"/>
          <w:szCs w:val="21"/>
          <w:highlight w:val="none"/>
        </w:rPr>
        <w:t>）</w:t>
      </w:r>
      <w:r>
        <w:rPr>
          <w:rFonts w:hint="eastAsia" w:ascii="宋体" w:hAnsi="宋体" w:eastAsia="宋体" w:cs="宋体"/>
          <w:color w:val="auto"/>
          <w:kern w:val="0"/>
          <w:szCs w:val="21"/>
          <w:highlight w:val="none"/>
        </w:rPr>
        <w:t>；</w:t>
      </w:r>
    </w:p>
    <w:p>
      <w:pPr>
        <w:widowControl/>
        <w:shd w:val="clear" w:color="auto" w:fill="FFFFFF"/>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（2）法定代表人授权书及委托代理人的身份证明文件的复印件</w:t>
      </w:r>
      <w:r>
        <w:rPr>
          <w:rFonts w:hint="eastAsia" w:ascii="宋体" w:hAnsi="宋体" w:eastAsia="宋体" w:cs="宋体"/>
          <w:bCs/>
          <w:color w:val="auto"/>
          <w:szCs w:val="21"/>
          <w:highlight w:val="none"/>
        </w:rPr>
        <w:t>（</w:t>
      </w:r>
      <w:r>
        <w:rPr>
          <w:rFonts w:hint="eastAsia" w:ascii="宋体" w:hAnsi="宋体" w:eastAsia="宋体" w:cs="宋体"/>
          <w:b/>
          <w:bCs/>
          <w:color w:val="auto"/>
          <w:szCs w:val="21"/>
          <w:highlight w:val="none"/>
        </w:rPr>
        <w:t>格式见第六章</w:t>
      </w:r>
      <w:r>
        <w:rPr>
          <w:rFonts w:hint="eastAsia" w:ascii="宋体" w:hAnsi="宋体" w:eastAsia="宋体" w:cs="宋体"/>
          <w:bCs/>
          <w:color w:val="auto"/>
          <w:szCs w:val="21"/>
          <w:highlight w:val="none"/>
        </w:rPr>
        <w:t>）</w:t>
      </w:r>
      <w:r>
        <w:rPr>
          <w:rFonts w:hint="eastAsia" w:ascii="宋体" w:hAnsi="宋体" w:eastAsia="宋体" w:cs="宋体"/>
          <w:color w:val="auto"/>
          <w:kern w:val="0"/>
          <w:szCs w:val="21"/>
          <w:highlight w:val="none"/>
        </w:rPr>
        <w:t>；</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（3）投标人资格资信证明文件：</w:t>
      </w:r>
    </w:p>
    <w:p>
      <w:pPr>
        <w:pStyle w:val="139"/>
        <w:numPr>
          <w:ilvl w:val="1"/>
          <w:numId w:val="3"/>
        </w:numPr>
        <w:tabs>
          <w:tab w:val="left" w:pos="840"/>
          <w:tab w:val="clear" w:pos="990"/>
        </w:tabs>
        <w:spacing w:line="360" w:lineRule="auto"/>
        <w:ind w:left="0" w:firstLine="367" w:firstLineChars="17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第一章招标公告中 2.1《中华人民共和国政府采购法》规定的资格条件证明文件；</w:t>
      </w:r>
    </w:p>
    <w:p>
      <w:pPr>
        <w:pStyle w:val="139"/>
        <w:numPr>
          <w:ilvl w:val="1"/>
          <w:numId w:val="3"/>
        </w:numPr>
        <w:tabs>
          <w:tab w:val="left" w:pos="840"/>
          <w:tab w:val="clear" w:pos="990"/>
        </w:tabs>
        <w:spacing w:line="360" w:lineRule="auto"/>
        <w:ind w:left="0" w:firstLine="367" w:firstLineChars="17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第一章招标公告中 2.2</w:t>
      </w:r>
      <w:r>
        <w:rPr>
          <w:rFonts w:hint="eastAsia" w:ascii="宋体" w:hAnsi="宋体" w:eastAsia="宋体" w:cs="宋体"/>
          <w:color w:val="auto"/>
          <w:spacing w:val="8"/>
          <w:kern w:val="0"/>
          <w:szCs w:val="21"/>
          <w:highlight w:val="none"/>
        </w:rPr>
        <w:t>落实政府采购政策需满足的资格要求；</w:t>
      </w:r>
    </w:p>
    <w:p>
      <w:pPr>
        <w:pStyle w:val="139"/>
        <w:numPr>
          <w:ilvl w:val="1"/>
          <w:numId w:val="3"/>
        </w:numPr>
        <w:tabs>
          <w:tab w:val="left" w:pos="840"/>
          <w:tab w:val="clear" w:pos="990"/>
        </w:tabs>
        <w:spacing w:line="360" w:lineRule="auto"/>
        <w:ind w:left="0" w:firstLine="367" w:firstLineChars="17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第一章招标公告中 2.3 采购人根据采购项目的特殊要求规定的特定条件证明文件。</w:t>
      </w:r>
    </w:p>
    <w:p>
      <w:pPr>
        <w:widowControl/>
        <w:shd w:val="clear" w:color="auto" w:fill="FFFFFF"/>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（4）开标一览表及附表</w:t>
      </w:r>
      <w:r>
        <w:rPr>
          <w:rFonts w:hint="eastAsia" w:ascii="宋体" w:hAnsi="宋体" w:eastAsia="宋体" w:cs="宋体"/>
          <w:bCs/>
          <w:color w:val="auto"/>
          <w:szCs w:val="21"/>
          <w:highlight w:val="none"/>
        </w:rPr>
        <w:t>（</w:t>
      </w:r>
      <w:r>
        <w:rPr>
          <w:rFonts w:hint="eastAsia" w:ascii="宋体" w:hAnsi="宋体" w:eastAsia="宋体" w:cs="宋体"/>
          <w:b/>
          <w:bCs/>
          <w:color w:val="auto"/>
          <w:szCs w:val="21"/>
          <w:highlight w:val="none"/>
        </w:rPr>
        <w:t>格式见第六章</w:t>
      </w:r>
      <w:r>
        <w:rPr>
          <w:rFonts w:hint="eastAsia" w:ascii="宋体" w:hAnsi="宋体" w:eastAsia="宋体" w:cs="宋体"/>
          <w:bCs/>
          <w:color w:val="auto"/>
          <w:szCs w:val="21"/>
          <w:highlight w:val="none"/>
        </w:rPr>
        <w:t>）；</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（5）投标人缴纳投标保证金凭证（如需要）；</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（6）《南京市政府采购供应商信用记录表暨信用承诺书》</w:t>
      </w:r>
      <w:r>
        <w:rPr>
          <w:rFonts w:hint="eastAsia" w:ascii="宋体" w:hAnsi="宋体" w:eastAsia="宋体" w:cs="宋体"/>
          <w:b/>
          <w:color w:val="auto"/>
          <w:szCs w:val="21"/>
          <w:highlight w:val="none"/>
          <w:lang w:val="zh-CN"/>
        </w:rPr>
        <w:t>（如招标公告中要求提供）；</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（7）《商务条款偏离表》；</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（8）第三章评标标准中对应的所需证明材料（如有自行添加）；</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（9）要求采购人提供的配合（如有自拟并自行添加）；</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（10）其它（投标人认为有必要提供的声明和文件，如有，自行拟定并添加）。</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10、投标文件的技术内容</w:t>
      </w:r>
    </w:p>
    <w:p>
      <w:pPr>
        <w:widowControl/>
        <w:adjustRightInd w:val="0"/>
        <w:spacing w:line="360" w:lineRule="auto"/>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技术部分</w:t>
      </w:r>
      <w:r>
        <w:rPr>
          <w:rFonts w:hint="eastAsia" w:ascii="宋体" w:hAnsi="宋体" w:eastAsia="宋体" w:cs="宋体"/>
          <w:color w:val="auto"/>
          <w:kern w:val="0"/>
          <w:szCs w:val="21"/>
          <w:highlight w:val="none"/>
        </w:rPr>
        <w:t>内容</w:t>
      </w:r>
      <w:r>
        <w:rPr>
          <w:rFonts w:hint="eastAsia" w:ascii="宋体" w:hAnsi="宋体" w:eastAsia="宋体" w:cs="宋体"/>
          <w:color w:val="auto"/>
          <w:szCs w:val="21"/>
          <w:highlight w:val="none"/>
          <w:lang w:val="zh-CN"/>
        </w:rPr>
        <w:t>是证明</w:t>
      </w:r>
      <w:r>
        <w:rPr>
          <w:rFonts w:hint="eastAsia" w:ascii="宋体" w:hAnsi="宋体" w:eastAsia="宋体" w:cs="宋体"/>
          <w:color w:val="auto"/>
          <w:szCs w:val="21"/>
          <w:highlight w:val="none"/>
        </w:rPr>
        <w:t>投标人提供的货物和服务是合格的、并符合招标文件要求的证明文件，以及</w:t>
      </w:r>
      <w:r>
        <w:rPr>
          <w:rFonts w:hint="eastAsia" w:ascii="宋体" w:hAnsi="宋体" w:eastAsia="宋体" w:cs="宋体"/>
          <w:color w:val="auto"/>
          <w:szCs w:val="21"/>
          <w:highlight w:val="none"/>
          <w:lang w:val="zh-CN"/>
        </w:rPr>
        <w:t>对货物和服务的详细说明，这些文件可以是文字资料、图纸、数据</w:t>
      </w:r>
      <w:r>
        <w:rPr>
          <w:rFonts w:hint="eastAsia" w:ascii="宋体" w:hAnsi="宋体" w:eastAsia="宋体" w:cs="宋体"/>
          <w:color w:val="auto"/>
          <w:szCs w:val="21"/>
          <w:highlight w:val="none"/>
        </w:rPr>
        <w:t>或其他证明文件</w:t>
      </w:r>
      <w:r>
        <w:rPr>
          <w:rFonts w:hint="eastAsia" w:ascii="宋体" w:hAnsi="宋体" w:eastAsia="宋体" w:cs="宋体"/>
          <w:color w:val="auto"/>
          <w:szCs w:val="21"/>
          <w:highlight w:val="none"/>
          <w:lang w:val="zh-CN"/>
        </w:rPr>
        <w:t>等。提供的货物和服务如与招标文件要求有不符之处，应说明其差别之所在。包括但不限于下列文件：</w:t>
      </w:r>
    </w:p>
    <w:p>
      <w:pPr>
        <w:widowControl/>
        <w:adjustRightInd w:val="0"/>
        <w:spacing w:line="360" w:lineRule="auto"/>
        <w:ind w:firstLine="42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（1）技术说明或服务方案；</w:t>
      </w:r>
    </w:p>
    <w:p>
      <w:pPr>
        <w:widowControl/>
        <w:adjustRightInd w:val="0"/>
        <w:spacing w:line="360" w:lineRule="auto"/>
        <w:ind w:firstLine="42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（2）《采购需求偏离表》；</w:t>
      </w:r>
    </w:p>
    <w:p>
      <w:pPr>
        <w:widowControl/>
        <w:adjustRightInd w:val="0"/>
        <w:spacing w:line="360" w:lineRule="auto"/>
        <w:ind w:firstLine="42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（3）服务承诺；</w:t>
      </w:r>
    </w:p>
    <w:p>
      <w:pPr>
        <w:widowControl/>
        <w:adjustRightInd w:val="0"/>
        <w:spacing w:line="360" w:lineRule="auto"/>
        <w:ind w:firstLine="42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（4）投标人拟投入本项目的设备、人员情况一览表；</w:t>
      </w:r>
    </w:p>
    <w:p>
      <w:pPr>
        <w:widowControl/>
        <w:adjustRightInd w:val="0"/>
        <w:spacing w:line="360" w:lineRule="auto"/>
        <w:ind w:firstLine="42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（5）投标人认为需要提供的其他技术资料。</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11、投标文件的价格内容</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11.1价格部分内容是对采购标的价格构成的说明，招标文件如无特别说明，每一项货物及服务仅接受一个价格。</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11.2报价应包含为履行本项目合同项下所有义务的全部含税费用（包括但不限于</w:t>
      </w:r>
      <w:r>
        <w:rPr>
          <w:rFonts w:hint="eastAsia" w:ascii="宋体" w:hAnsi="宋体" w:eastAsia="宋体" w:cs="宋体"/>
          <w:color w:val="auto"/>
          <w:szCs w:val="21"/>
          <w:highlight w:val="none"/>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zh-CN"/>
        </w:rPr>
        <w:t>，</w:t>
      </w:r>
      <w:r>
        <w:rPr>
          <w:rFonts w:hint="eastAsia" w:ascii="宋体" w:hAnsi="宋体" w:eastAsia="宋体" w:cs="宋体"/>
          <w:bCs/>
          <w:color w:val="auto"/>
          <w:szCs w:val="21"/>
          <w:highlight w:val="none"/>
        </w:rPr>
        <w:t>以</w:t>
      </w:r>
      <w:r>
        <w:rPr>
          <w:rFonts w:hint="eastAsia" w:ascii="宋体" w:hAnsi="宋体" w:eastAsia="宋体" w:cs="宋体"/>
          <w:color w:val="auto"/>
          <w:szCs w:val="21"/>
          <w:highlight w:val="none"/>
        </w:rPr>
        <w:t>及投标人认为需要的其他费用等</w:t>
      </w:r>
      <w:r>
        <w:rPr>
          <w:rFonts w:hint="eastAsia" w:ascii="宋体" w:hAnsi="宋体" w:eastAsia="宋体" w:cs="宋体"/>
          <w:b/>
          <w:color w:val="auto"/>
          <w:szCs w:val="21"/>
          <w:highlight w:val="none"/>
        </w:rPr>
        <w:t>。</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11.3投标人的任何错漏、优惠、竞争性报价不得作为减轻责任、减少服务、增加收费、降低质量的理由。</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color w:val="auto"/>
          <w:kern w:val="0"/>
          <w:szCs w:val="21"/>
          <w:highlight w:val="none"/>
        </w:rPr>
        <w:t>无效投标处理</w:t>
      </w:r>
      <w:r>
        <w:rPr>
          <w:rFonts w:hint="eastAsia" w:ascii="宋体" w:hAnsi="宋体" w:eastAsia="宋体" w:cs="宋体"/>
          <w:color w:val="auto"/>
          <w:kern w:val="0"/>
          <w:szCs w:val="21"/>
          <w:highlight w:val="none"/>
        </w:rPr>
        <w:t>。</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 投标人应在《开标一览表》《分项报价表》等标明投标货物和服务的单价、总价以及分项报价等。</w:t>
      </w:r>
    </w:p>
    <w:p>
      <w:pPr>
        <w:widowControl/>
        <w:shd w:val="clear" w:color="auto" w:fill="FFFFFF"/>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color w:val="auto"/>
          <w:kern w:val="0"/>
          <w:szCs w:val="21"/>
          <w:highlight w:val="none"/>
        </w:rPr>
        <w:t>11.6 《开标一览表》一式两份，一份装订在投标文件中，一份单独封装，并标明“开标一览表”字样，随投标文件一并递交，以便唱标时使用。</w:t>
      </w:r>
      <w:r>
        <w:rPr>
          <w:rFonts w:hint="eastAsia" w:ascii="宋体" w:hAnsi="宋体" w:eastAsia="宋体" w:cs="宋体"/>
          <w:b/>
          <w:bCs/>
          <w:color w:val="auto"/>
          <w:kern w:val="0"/>
          <w:szCs w:val="21"/>
          <w:highlight w:val="none"/>
        </w:rPr>
        <w:t>如两份开标一览表中的投标报价不一致，视为提交备选投标报价，作无效投标处理。</w:t>
      </w:r>
    </w:p>
    <w:p>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11.7本项目预算为：详见第一章</w:t>
      </w:r>
      <w:r>
        <w:rPr>
          <w:rFonts w:hint="eastAsia" w:ascii="宋体" w:hAnsi="宋体" w:eastAsia="宋体" w:cs="宋体"/>
          <w:bCs/>
          <w:color w:val="auto"/>
          <w:kern w:val="0"/>
          <w:szCs w:val="21"/>
          <w:highlight w:val="none"/>
        </w:rPr>
        <w:t>。</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12、投标文件的其他部分</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12.1 其他部分由投标人根据编制投标文件需要提供的其他相关文件组成。</w:t>
      </w:r>
    </w:p>
    <w:p>
      <w:pPr>
        <w:widowControl/>
        <w:shd w:val="clear" w:color="auto" w:fill="FFFFFF"/>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13、投标保证金：不适用</w:t>
      </w:r>
    </w:p>
    <w:p>
      <w:pPr>
        <w:widowControl/>
        <w:shd w:val="clear" w:color="auto" w:fill="FFFFFF"/>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14、投标有效期</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14.1 自开标之日起</w:t>
      </w:r>
      <w:r>
        <w:rPr>
          <w:rFonts w:hint="eastAsia" w:ascii="宋体" w:hAnsi="宋体" w:eastAsia="宋体" w:cs="宋体"/>
          <w:b/>
          <w:color w:val="auto"/>
          <w:kern w:val="0"/>
          <w:szCs w:val="21"/>
          <w:highlight w:val="none"/>
        </w:rPr>
        <w:t>90</w:t>
      </w:r>
      <w:r>
        <w:rPr>
          <w:rFonts w:hint="eastAsia" w:ascii="宋体" w:hAnsi="宋体" w:eastAsia="宋体" w:cs="宋体"/>
          <w:color w:val="auto"/>
          <w:kern w:val="0"/>
          <w:szCs w:val="21"/>
          <w:highlight w:val="none"/>
        </w:rPr>
        <w:t>天内投标有效</w:t>
      </w:r>
      <w:r>
        <w:rPr>
          <w:rFonts w:hint="eastAsia" w:ascii="宋体" w:hAnsi="宋体" w:eastAsia="宋体" w:cs="宋体"/>
          <w:b/>
          <w:color w:val="auto"/>
          <w:highlight w:val="none"/>
        </w:rPr>
        <w:t>，投标有效期从提交投标文件的截止之日起算。投标文件中承诺的投标有效期应当不少于招标文件中载明的投标有效期。</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15、投标文件签署</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15.1 投标文件的正本和副本均应由投标人法定代表人或经正式授权并对投标人有约束力的委托代理人签字，如果它们之间内容有差异，则以正本为准。</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16、投标费用</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16.1 投标人应承担所有与准备和参加投标有关的费用，无论招标结果如何，采购代理机构和采购人在任何情况下均无义务和责任承担这些费用。</w:t>
      </w:r>
    </w:p>
    <w:p>
      <w:pPr>
        <w:widowControl/>
        <w:shd w:val="clear" w:color="auto" w:fill="FFFFFF"/>
        <w:spacing w:line="360" w:lineRule="auto"/>
        <w:ind w:firstLine="42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16.2 招标代理服务费：本次招标，中标人参照《招标代理服务费管理暂行办法》（国家发展计划委员会计价格【2002】1980号）代理</w:t>
      </w:r>
      <w:r>
        <w:rPr>
          <w:rFonts w:hint="eastAsia" w:ascii="宋体" w:hAnsi="宋体" w:eastAsia="宋体" w:cs="宋体"/>
          <w:b/>
          <w:color w:val="auto"/>
          <w:kern w:val="0"/>
          <w:szCs w:val="21"/>
          <w:highlight w:val="none"/>
          <w:u w:val="single"/>
        </w:rPr>
        <w:t xml:space="preserve"> 服务 </w:t>
      </w:r>
      <w:r>
        <w:rPr>
          <w:rFonts w:hint="eastAsia" w:ascii="宋体" w:hAnsi="宋体" w:eastAsia="宋体" w:cs="宋体"/>
          <w:b/>
          <w:color w:val="auto"/>
          <w:kern w:val="0"/>
          <w:szCs w:val="21"/>
          <w:highlight w:val="none"/>
        </w:rPr>
        <w:t>招标收费基准费率，按两年总报价</w:t>
      </w:r>
      <w:r>
        <w:rPr>
          <w:rFonts w:hint="eastAsia" w:ascii="宋体" w:hAnsi="宋体" w:eastAsia="宋体" w:cs="宋体"/>
          <w:b/>
          <w:color w:val="auto"/>
          <w:kern w:val="0"/>
          <w:szCs w:val="21"/>
          <w:highlight w:val="none"/>
          <w:u w:val="single"/>
        </w:rPr>
        <w:t xml:space="preserve">70 </w:t>
      </w:r>
      <w:r>
        <w:rPr>
          <w:rFonts w:hint="eastAsia" w:ascii="宋体" w:hAnsi="宋体" w:eastAsia="宋体" w:cs="宋体"/>
          <w:b/>
          <w:color w:val="auto"/>
          <w:kern w:val="0"/>
          <w:szCs w:val="21"/>
          <w:highlight w:val="none"/>
        </w:rPr>
        <w:t>%计算，在领取中标通知书前向采购代理机构支付招标服务费。本项费用无需在投标报价表中单列。</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四、投标文件的递交</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17、投标文件的密封和递交</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w:t>
      </w:r>
      <w:r>
        <w:rPr>
          <w:rFonts w:hint="eastAsia" w:ascii="宋体" w:hAnsi="宋体" w:eastAsia="宋体" w:cs="宋体"/>
          <w:b/>
          <w:bCs/>
          <w:color w:val="auto"/>
          <w:kern w:val="0"/>
          <w:szCs w:val="21"/>
          <w:highlight w:val="none"/>
        </w:rPr>
        <w:t>投标人的</w:t>
      </w:r>
      <w:r>
        <w:rPr>
          <w:rFonts w:hint="eastAsia" w:ascii="宋体" w:hAnsi="宋体" w:eastAsia="宋体" w:cs="宋体"/>
          <w:b/>
          <w:color w:val="auto"/>
          <w:highlight w:val="none"/>
        </w:rPr>
        <w:t>所有投标文件均应密封后递交，同时应提供电子版投标文件</w:t>
      </w:r>
      <w:r>
        <w:rPr>
          <w:rFonts w:hint="eastAsia" w:ascii="宋体" w:hAnsi="宋体" w:eastAsia="宋体" w:cs="宋体"/>
          <w:b/>
          <w:color w:val="auto"/>
          <w:szCs w:val="21"/>
          <w:highlight w:val="none"/>
        </w:rPr>
        <w:t>壹份（电子版须为投标文件正本加盖公章、签字后形成PDF扫描件，扫描件内容应与纸质投标文件正本完全一致、U盘形式（单独封装）、随纸质正本文件一并提交）</w:t>
      </w:r>
      <w:r>
        <w:rPr>
          <w:rFonts w:hint="eastAsia" w:ascii="宋体" w:hAnsi="宋体" w:eastAsia="宋体" w:cs="宋体"/>
          <w:b/>
          <w:color w:val="auto"/>
          <w:highlight w:val="none"/>
        </w:rPr>
        <w:t>。</w:t>
      </w:r>
      <w:r>
        <w:rPr>
          <w:rFonts w:hint="eastAsia" w:ascii="宋体" w:hAnsi="宋体" w:eastAsia="宋体" w:cs="宋体"/>
          <w:color w:val="auto"/>
          <w:highlight w:val="none"/>
        </w:rPr>
        <w:t>当电子版文件和纸质正本文件不一致时，以纸质正本文件为准。</w:t>
      </w:r>
      <w:r>
        <w:rPr>
          <w:rFonts w:hint="eastAsia" w:ascii="宋体" w:hAnsi="宋体" w:eastAsia="宋体" w:cs="宋体"/>
          <w:color w:val="auto"/>
          <w:kern w:val="0"/>
          <w:szCs w:val="21"/>
          <w:highlight w:val="none"/>
        </w:rPr>
        <w:t>每套投标文件须清楚标明“正本”、“副本”。</w:t>
      </w:r>
      <w:r>
        <w:rPr>
          <w:rFonts w:hint="eastAsia" w:ascii="宋体" w:hAnsi="宋体" w:eastAsia="宋体" w:cs="宋体"/>
          <w:color w:val="auto"/>
          <w:highlight w:val="none"/>
        </w:rPr>
        <w:t>如果它们之间内容有差异，以正本为准。</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17.2 </w:t>
      </w:r>
      <w:r>
        <w:rPr>
          <w:rFonts w:hint="eastAsia" w:ascii="宋体" w:hAnsi="宋体" w:eastAsia="宋体" w:cs="宋体"/>
          <w:b/>
          <w:color w:val="auto"/>
          <w:highlight w:val="none"/>
        </w:rPr>
        <w:t>投标文件正本和所有副本均需打印或用不褪色墨水书写，并由投标人的法定代表人或授权代表签字（或签章）并在招标文件中注明须加盖公章的地方加盖公章，如为授权代表签字的应附“法定代表人授权书”，正本必须为原件，但投标人的相关证明文件可采用复印件，采用复印件的，评标委员会认为需要时，投标人应提供原件供核对。</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17.3 投标文件不应有涂改、增删之处，如必须修改时，修改处必须有投标人法定代表人或授权代表签字（或签章），同时加盖投标人公章。</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highlight w:val="none"/>
        </w:rPr>
        <w:t>17.4投标文件提倡按照A4幅面打印或复印并进行装订，如有资料超过A4幅面折叠成A4幅面；投标文件装订提倡采用胶装的形式。</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17.5 </w:t>
      </w:r>
      <w:r>
        <w:rPr>
          <w:rFonts w:hint="eastAsia" w:ascii="宋体" w:hAnsi="宋体" w:eastAsia="宋体" w:cs="宋体"/>
          <w:b/>
          <w:bCs/>
          <w:color w:val="auto"/>
          <w:kern w:val="0"/>
          <w:szCs w:val="21"/>
          <w:highlight w:val="none"/>
        </w:rPr>
        <w:t>投标人应当在招标文件要求提交投标文件的截止时间前，将投标文件密封送达投标地点。</w:t>
      </w:r>
      <w:r>
        <w:rPr>
          <w:rFonts w:hint="eastAsia" w:ascii="宋体" w:hAnsi="宋体" w:eastAsia="宋体" w:cs="宋体"/>
          <w:color w:val="auto"/>
          <w:kern w:val="0"/>
          <w:szCs w:val="21"/>
          <w:highlight w:val="none"/>
        </w:rPr>
        <w:t>任何单位和个人不得在开标前开启投标文件。</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18、有下列情形的投标文件将被拒收：</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18.1逾期送达的；</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18.2未按照招标文件要求密封的。</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19、投标文件的修改和撤回</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19.2 投标截止时间之后，投标文件不得撤回；如撤回，投标保证金不予退还。</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20、诚实信用</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20.1投标人应当遵循公平竞争的原则，不得恶意串通，不得妨碍其他投标人的竞争行为，不得损害采购人或者其他投标人的合法权益。</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20.2在评标过程中发现投标人有上述情形的，评标委员会应当认定其投标无效，并书面报告本级财政部门。</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五、开标、评标与定标</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21、开标</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21.1 采购代理机构将在招标文件确定的时间和地点进行公开开标。投标人应委派代表准时参加，参加开标的代表须签名报到以证明其出席。</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21.2开标时，应当由投标人或者其推选的代表检查投标文件的密封情况；经确认无误后，由采购人或者采购代理机构工作人员当众拆封，宣布投标人名称、投标价格和招标文件规定的需要宣布的其他内容。</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21.3投标人不足3家的，不得开标。</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21.4开标过程由采购代理机构负责记录，由参加开标的各投标人代表和相关工作人员签字确认后随招标文件一并存档。</w:t>
      </w:r>
    </w:p>
    <w:p>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21.5投标人未参加开标的，视同认可开标结果。</w:t>
      </w:r>
    </w:p>
    <w:p>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21.6公开招标数额标准以上的采购项目，投标截止后投标人不足3家或者通过资格审查或符合性审查的投标人不足3家的，除采购任务取消情形外，按照以下方式处理：</w:t>
      </w:r>
    </w:p>
    <w:p>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（1）招标文件存在不合理条款或者招标程序不符合规定的，采购人、采购代理机构改正后依法重新招标；</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highlight w:val="none"/>
        </w:rPr>
        <w:t>（2）招标文件没有不合理条款、招标程序符合规定，需要采用其他采购方式采购的，采购人依法报财政部门批准，</w:t>
      </w:r>
      <w:r>
        <w:rPr>
          <w:rFonts w:hint="eastAsia" w:ascii="宋体" w:hAnsi="宋体" w:eastAsia="宋体" w:cs="宋体"/>
          <w:color w:val="auto"/>
          <w:kern w:val="0"/>
          <w:szCs w:val="21"/>
          <w:highlight w:val="none"/>
        </w:rPr>
        <w:t>经批准后，可变更为其他采购方式采购。</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22、评标</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22.1 评标委员会</w:t>
      </w:r>
    </w:p>
    <w:p>
      <w:pPr>
        <w:widowControl/>
        <w:shd w:val="clear" w:color="auto" w:fill="FFFFFF"/>
        <w:spacing w:line="360" w:lineRule="auto"/>
        <w:ind w:firstLine="420"/>
        <w:rPr>
          <w:rFonts w:hint="eastAsia" w:ascii="宋体" w:hAnsi="宋体" w:eastAsia="宋体" w:cs="宋体"/>
          <w:bCs/>
          <w:color w:val="auto"/>
          <w:kern w:val="0"/>
          <w:szCs w:val="21"/>
          <w:highlight w:val="none"/>
        </w:rPr>
      </w:pPr>
      <w:r>
        <w:rPr>
          <w:rFonts w:hint="eastAsia" w:ascii="宋体" w:hAnsi="宋体" w:eastAsia="宋体" w:cs="宋体"/>
          <w:b/>
          <w:bCs/>
          <w:color w:val="auto"/>
          <w:kern w:val="0"/>
          <w:szCs w:val="21"/>
          <w:highlight w:val="none"/>
        </w:rPr>
        <w:t>22.1.1</w:t>
      </w:r>
      <w:r>
        <w:rPr>
          <w:rFonts w:hint="eastAsia" w:ascii="宋体" w:hAnsi="宋体" w:eastAsia="宋体" w:cs="宋体"/>
          <w:bCs/>
          <w:color w:val="auto"/>
          <w:kern w:val="0"/>
          <w:szCs w:val="21"/>
          <w:highlight w:val="none"/>
        </w:rPr>
        <w:t>评标委员会负责具体评标事务，并独立履行下列职责：</w:t>
      </w:r>
    </w:p>
    <w:p>
      <w:pPr>
        <w:widowControl/>
        <w:shd w:val="clear" w:color="auto" w:fill="FFFFFF"/>
        <w:spacing w:line="360" w:lineRule="auto"/>
        <w:ind w:firstLine="42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（一）审查、评价投标文件是否符合招标文件的商务、技术等实质性要求；</w:t>
      </w:r>
    </w:p>
    <w:p>
      <w:pPr>
        <w:widowControl/>
        <w:shd w:val="clear" w:color="auto" w:fill="FFFFFF"/>
        <w:spacing w:line="360" w:lineRule="auto"/>
        <w:ind w:firstLine="42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（二）要求投标人对投标文件有关事项作出澄清或者说明；</w:t>
      </w:r>
    </w:p>
    <w:p>
      <w:pPr>
        <w:widowControl/>
        <w:shd w:val="clear" w:color="auto" w:fill="FFFFFF"/>
        <w:spacing w:line="360" w:lineRule="auto"/>
        <w:ind w:firstLine="42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（三）对投标文件进行比较和评价；</w:t>
      </w:r>
    </w:p>
    <w:p>
      <w:pPr>
        <w:widowControl/>
        <w:shd w:val="clear" w:color="auto" w:fill="FFFFFF"/>
        <w:spacing w:line="360" w:lineRule="auto"/>
        <w:ind w:firstLine="42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（四）确定中标候选人名单，以及根据采购人委托直接确定中标人；</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Cs/>
          <w:color w:val="auto"/>
          <w:kern w:val="0"/>
          <w:szCs w:val="21"/>
          <w:highlight w:val="none"/>
        </w:rPr>
        <w:t>（五）向采购人、采购代理机构或者有关部门报告评标中发现的违法行为。</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 xml:space="preserve">22.1.2 </w:t>
      </w:r>
      <w:r>
        <w:rPr>
          <w:rFonts w:hint="eastAsia" w:ascii="宋体" w:hAnsi="宋体" w:eastAsia="宋体" w:cs="宋体"/>
          <w:color w:val="auto"/>
          <w:kern w:val="0"/>
          <w:szCs w:val="21"/>
          <w:highlight w:val="none"/>
        </w:rPr>
        <w:t>评标委员会由</w:t>
      </w:r>
      <w:r>
        <w:rPr>
          <w:rFonts w:hint="eastAsia" w:ascii="宋体" w:hAnsi="宋体" w:eastAsia="宋体" w:cs="宋体"/>
          <w:bCs/>
          <w:color w:val="auto"/>
          <w:kern w:val="0"/>
          <w:szCs w:val="21"/>
          <w:highlight w:val="none"/>
        </w:rPr>
        <w:t>采购人</w:t>
      </w:r>
      <w:r>
        <w:rPr>
          <w:rFonts w:hint="eastAsia" w:ascii="宋体" w:hAnsi="宋体" w:eastAsia="宋体" w:cs="宋体"/>
          <w:color w:val="auto"/>
          <w:kern w:val="0"/>
          <w:szCs w:val="21"/>
          <w:highlight w:val="none"/>
        </w:rPr>
        <w:t>代表和有关技术、经济等方面的专家组成，独立开展评审工作。</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22.2  评标程序</w:t>
      </w:r>
    </w:p>
    <w:p>
      <w:pPr>
        <w:widowControl/>
        <w:shd w:val="clear" w:color="auto" w:fill="FFFFFF"/>
        <w:spacing w:line="360" w:lineRule="auto"/>
        <w:ind w:firstLine="420"/>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 xml:space="preserve">22.2.1 </w:t>
      </w:r>
      <w:r>
        <w:rPr>
          <w:rFonts w:hint="eastAsia" w:ascii="宋体" w:hAnsi="宋体" w:eastAsia="宋体" w:cs="宋体"/>
          <w:b/>
          <w:bCs/>
          <w:color w:val="auto"/>
          <w:kern w:val="0"/>
          <w:szCs w:val="21"/>
          <w:highlight w:val="none"/>
        </w:rPr>
        <w:t>投标文件的资格性检查。</w:t>
      </w:r>
      <w:r>
        <w:rPr>
          <w:rFonts w:hint="eastAsia" w:ascii="宋体" w:hAnsi="宋体" w:eastAsia="宋体" w:cs="宋体"/>
          <w:color w:val="auto"/>
          <w:kern w:val="0"/>
          <w:szCs w:val="21"/>
          <w:highlight w:val="none"/>
        </w:rPr>
        <w:t>公开招标采购项目开标结束后，</w:t>
      </w:r>
      <w:r>
        <w:rPr>
          <w:rFonts w:hint="eastAsia" w:ascii="宋体" w:hAnsi="宋体" w:eastAsia="宋体" w:cs="宋体"/>
          <w:color w:val="auto"/>
          <w:highlight w:val="none"/>
        </w:rPr>
        <w:t>采购人</w:t>
      </w:r>
      <w:r>
        <w:rPr>
          <w:rFonts w:hint="eastAsia" w:ascii="宋体" w:hAnsi="宋体" w:eastAsia="宋体" w:cs="宋体"/>
          <w:color w:val="auto"/>
          <w:kern w:val="0"/>
          <w:szCs w:val="21"/>
          <w:highlight w:val="none"/>
        </w:rPr>
        <w:t>或者</w:t>
      </w:r>
      <w:r>
        <w:rPr>
          <w:rFonts w:hint="eastAsia" w:ascii="宋体" w:hAnsi="宋体" w:eastAsia="宋体" w:cs="宋体"/>
          <w:color w:val="auto"/>
          <w:highlight w:val="none"/>
        </w:rPr>
        <w:t>采购代理机构</w:t>
      </w:r>
      <w:r>
        <w:rPr>
          <w:rFonts w:hint="eastAsia" w:ascii="宋体" w:hAnsi="宋体" w:eastAsia="宋体" w:cs="宋体"/>
          <w:color w:val="auto"/>
          <w:kern w:val="0"/>
          <w:szCs w:val="21"/>
          <w:highlight w:val="none"/>
        </w:rPr>
        <w:t>应当依法对投标人的资格进行审查。合格投标人不足3家的，不得评标。</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22.2.2投标文件的符合性审查</w:t>
      </w:r>
      <w:r>
        <w:rPr>
          <w:rFonts w:hint="eastAsia" w:ascii="宋体" w:hAnsi="宋体" w:eastAsia="宋体" w:cs="宋体"/>
          <w:color w:val="auto"/>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pPr>
        <w:widowControl/>
        <w:shd w:val="clear" w:color="auto" w:fill="FFFFFF"/>
        <w:spacing w:line="360" w:lineRule="auto"/>
        <w:ind w:firstLine="420"/>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（1）未按照招标文件规定的要求密封、签署、盖章的</w:t>
      </w:r>
      <w:r>
        <w:rPr>
          <w:rFonts w:hint="eastAsia" w:ascii="宋体" w:hAnsi="宋体" w:eastAsia="宋体" w:cs="宋体"/>
          <w:b/>
          <w:bCs/>
          <w:color w:val="auto"/>
          <w:kern w:val="0"/>
          <w:szCs w:val="21"/>
          <w:highlight w:val="none"/>
        </w:rPr>
        <w:t>；</w:t>
      </w:r>
    </w:p>
    <w:p>
      <w:pPr>
        <w:widowControl/>
        <w:shd w:val="clear" w:color="auto" w:fill="FFFFFF"/>
        <w:spacing w:line="360" w:lineRule="auto"/>
        <w:ind w:firstLine="420"/>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（2）不具备招标文件中规定的资格要求的；</w:t>
      </w:r>
    </w:p>
    <w:p>
      <w:pPr>
        <w:widowControl/>
        <w:shd w:val="clear" w:color="auto" w:fill="FFFFFF"/>
        <w:spacing w:line="360" w:lineRule="auto"/>
        <w:ind w:firstLine="420"/>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（3）报价超过招标文件中规定的预算金额或者最高限价的；</w:t>
      </w:r>
    </w:p>
    <w:p>
      <w:pPr>
        <w:widowControl/>
        <w:shd w:val="clear" w:color="auto" w:fill="FFFFFF"/>
        <w:spacing w:line="360" w:lineRule="auto"/>
        <w:ind w:firstLine="420"/>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（4）投标文件含有采购人不能接受的附加条件的；</w:t>
      </w:r>
    </w:p>
    <w:p>
      <w:pPr>
        <w:widowControl/>
        <w:shd w:val="clear" w:color="auto" w:fill="FFFFFF"/>
        <w:spacing w:line="360" w:lineRule="auto"/>
        <w:ind w:firstLine="420"/>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（5）投标文件内容不全或不符合招标文件中规定的其它实质性要求的；</w:t>
      </w:r>
    </w:p>
    <w:p>
      <w:pPr>
        <w:widowControl/>
        <w:shd w:val="clear" w:color="auto" w:fill="FFFFFF"/>
        <w:spacing w:line="360" w:lineRule="auto"/>
        <w:ind w:firstLine="420"/>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（6）未按招标文件规定的数额和形式交纳投标保证金的；</w:t>
      </w:r>
    </w:p>
    <w:p>
      <w:pPr>
        <w:widowControl/>
        <w:shd w:val="clear" w:color="auto" w:fill="FFFFFF"/>
        <w:spacing w:line="360" w:lineRule="auto"/>
        <w:ind w:firstLine="42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（7）现行法律、法规、规章和招标文件规定的其他无效情形。</w:t>
      </w:r>
    </w:p>
    <w:p>
      <w:pPr>
        <w:widowControl/>
        <w:shd w:val="clear" w:color="auto" w:fill="FFFFFF"/>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22.2.2.1 实质性要求是指本招标文件中用带星号（“</w:t>
      </w:r>
      <w:r>
        <w:rPr>
          <w:rFonts w:hint="eastAsia" w:ascii="宋体" w:hAnsi="宋体" w:eastAsia="宋体" w:cs="宋体"/>
          <w:b/>
          <w:bCs/>
          <w:color w:val="auto"/>
          <w:highlight w:val="none"/>
        </w:rPr>
        <w:t>*</w:t>
      </w:r>
      <w:r>
        <w:rPr>
          <w:rFonts w:hint="eastAsia" w:ascii="宋体" w:hAnsi="宋体" w:eastAsia="宋体" w:cs="宋体"/>
          <w:b/>
          <w:bCs/>
          <w:color w:val="auto"/>
          <w:kern w:val="0"/>
          <w:szCs w:val="21"/>
          <w:highlight w:val="none"/>
        </w:rPr>
        <w:t>”）、“必须”或“应（应当）”等其他文字说明的商务和技术要求。</w:t>
      </w:r>
    </w:p>
    <w:p>
      <w:pPr>
        <w:widowControl/>
        <w:shd w:val="clear" w:color="auto" w:fill="FFFFFF"/>
        <w:spacing w:line="360" w:lineRule="auto"/>
        <w:ind w:firstLine="420"/>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22.2.2.2</w:t>
      </w:r>
      <w:r>
        <w:rPr>
          <w:rFonts w:hint="eastAsia" w:ascii="宋体" w:hAnsi="宋体" w:eastAsia="宋体" w:cs="宋体"/>
          <w:color w:val="auto"/>
          <w:kern w:val="0"/>
          <w:szCs w:val="21"/>
          <w:highlight w:val="none"/>
        </w:rPr>
        <w:t>有下列情形之一的予以废标：</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（1）符合专业条件的投标人或者对招标文件作实质性响应的投标人不足三家的；</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（2）出现影响采购公正的违法、违规行为的；</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（3）投标人的报价均超过了采购预算，采购人不能支付的；</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（4）因重大变故，采购任务取消的。</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22.2.3</w:t>
      </w:r>
      <w:r>
        <w:rPr>
          <w:rFonts w:hint="eastAsia" w:ascii="宋体" w:hAnsi="宋体" w:eastAsia="宋体" w:cs="宋体"/>
          <w:b/>
          <w:bCs/>
          <w:color w:val="auto"/>
          <w:kern w:val="0"/>
          <w:szCs w:val="21"/>
          <w:highlight w:val="none"/>
        </w:rPr>
        <w:t>澄清有关问题</w:t>
      </w:r>
      <w:r>
        <w:rPr>
          <w:rFonts w:hint="eastAsia" w:ascii="宋体" w:hAnsi="宋体" w:eastAsia="宋体" w:cs="宋体"/>
          <w:color w:val="auto"/>
          <w:kern w:val="0"/>
          <w:szCs w:val="21"/>
          <w:highlight w:val="none"/>
        </w:rPr>
        <w:t>。</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22.2.3.1对于投标文件中含义不明确、同类问题表述不一致或者有明显文字和计算错误的内容，评标委员会应当以书面形式要求投标人作出必要的澄清、说明或者补正。</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22.2.3.2投标人的澄清、说明或者补正应当采用书面形式，并加盖公章，或者由法定代表人或其授权代表签字。投标人的澄清、说明或者补正不得超出投标文件的范围或者改变投标文件的实质性内容。</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22.2.3.3投标文件报价出现前后不一致的，除招标文件另有规定外，按照下列规定修正：</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（1）投标文件中开标一览表（报价表）内容与投标文件中相应内容不一致的，以开标一览表（报价表）为准；</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（2）大写金额和小写金额不一致的，以大写金额为准；</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（3）单价金额小数点或者百分比有明显错位的，以开标一览表的总价为准，并修改单价；</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（4）总价金额与按单价汇总金额不一致的，以单价金额计算结果为准。</w:t>
      </w:r>
    </w:p>
    <w:p>
      <w:pPr>
        <w:widowControl/>
        <w:shd w:val="clear" w:color="auto" w:fill="FFFFFF"/>
        <w:spacing w:line="360" w:lineRule="auto"/>
        <w:ind w:firstLine="420"/>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同时出现两种以上不一致的，按照前款规定的顺序修正。</w:t>
      </w:r>
      <w:r>
        <w:rPr>
          <w:rFonts w:hint="eastAsia" w:ascii="宋体" w:hAnsi="宋体" w:eastAsia="宋体" w:cs="宋体"/>
          <w:b/>
          <w:color w:val="auto"/>
          <w:kern w:val="0"/>
          <w:szCs w:val="21"/>
          <w:highlight w:val="none"/>
        </w:rPr>
        <w:t>修正后的报价按照前款规定经投标人确认后产生约束力，投标人不确认的，其投标无效。</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22.2.3.4</w:t>
      </w:r>
      <w:r>
        <w:rPr>
          <w:rFonts w:hint="eastAsia" w:ascii="宋体" w:hAnsi="宋体" w:eastAsia="宋体" w:cs="宋体"/>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color w:val="auto"/>
          <w:highlight w:val="none"/>
        </w:rPr>
        <w:t>投标人不能证明其报价合理性的，评标委员会将其作为无效投标处理。</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22.2.4</w:t>
      </w:r>
      <w:r>
        <w:rPr>
          <w:rFonts w:hint="eastAsia" w:ascii="宋体" w:hAnsi="宋体" w:eastAsia="宋体" w:cs="宋体"/>
          <w:bCs/>
          <w:color w:val="auto"/>
          <w:kern w:val="0"/>
          <w:szCs w:val="21"/>
          <w:highlight w:val="none"/>
        </w:rPr>
        <w:t>比较与评价。</w:t>
      </w:r>
      <w:r>
        <w:rPr>
          <w:rFonts w:hint="eastAsia" w:ascii="宋体" w:hAnsi="宋体" w:eastAsia="宋体" w:cs="宋体"/>
          <w:color w:val="auto"/>
          <w:kern w:val="0"/>
          <w:szCs w:val="21"/>
          <w:highlight w:val="none"/>
        </w:rPr>
        <w:t>评标委员会应当按照招标文件中规定的评标方法和标准，对符合性审查合格的投标文件进行商务和技术评估，综合比较与评价。</w:t>
      </w:r>
    </w:p>
    <w:p>
      <w:pPr>
        <w:widowControl/>
        <w:shd w:val="clear" w:color="auto" w:fill="FFFFFF"/>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rPr>
        <w:t>22.2.5</w:t>
      </w:r>
      <w:r>
        <w:rPr>
          <w:rFonts w:hint="eastAsia" w:ascii="宋体" w:hAnsi="宋体" w:eastAsia="宋体" w:cs="宋体"/>
          <w:color w:val="auto"/>
          <w:highlight w:val="none"/>
        </w:rPr>
        <w:t>相同品牌产品的投标</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非单一产品采购项目，确定核心产品的方法在招标文件技术需求中载明。多家投标人提供的核心产品品牌相同的，按前两款规定处理。</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22.3 评标方法和标准</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22.3.1评标方法分为最低评标价法和综合评分法。本次招标的评标方法和标准，详见本招标文件第三章。</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22.3.2最低评标价法，是指投标文件满足招标文件全部实质性要求，且投标报价最低的投标人为中标候选人的评标方法。</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采用最低评标价法评标时，除了算术修正和落实政府采购政策需进行的价格扣除外，不对投标人的投标价格进行任何调整。</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22.3.3综合评分法，是指投标文件满足招标文件全部实质性要求，且按照评审因素的量化指标评审得分最高的投标人为中标候选人的评标方法。</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评审因素，包括价格、技术、商务等。</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评标时，评标委员会各成员应当独立对每个投标人的投标文件进行评价，并汇总每个投标人的得分。</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价格分采用低价优先法计算，即满足招标文件要求且投标价格最低的投标报价为评标基准价，其价格分为满分。</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评标总得分＝F1×A1＋F2×A2＋……＋Fn×An</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F1、F2……Fn分别为各项评审因素的得分；</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A1、A2、……An 分别为各项评审因素所占的权重(A1＋A2＋……＋An＝1)。</w:t>
      </w:r>
    </w:p>
    <w:p>
      <w:pPr>
        <w:widowControl/>
        <w:shd w:val="clear" w:color="auto" w:fill="FFFFFF"/>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因落实政府采购政策进行价格调整的，以调整后的价格计算评标基准价和投标报价。</w:t>
      </w:r>
    </w:p>
    <w:p>
      <w:pPr>
        <w:widowControl/>
        <w:shd w:val="clear" w:color="auto" w:fill="FFFFFF"/>
        <w:spacing w:line="360" w:lineRule="auto"/>
        <w:ind w:firstLine="420"/>
        <w:rPr>
          <w:rFonts w:hint="eastAsia" w:ascii="宋体" w:hAnsi="宋体" w:eastAsia="宋体" w:cs="宋体"/>
          <w:b/>
          <w:color w:val="auto"/>
          <w:kern w:val="0"/>
          <w:szCs w:val="21"/>
          <w:highlight w:val="none"/>
        </w:rPr>
      </w:pPr>
      <w:r>
        <w:rPr>
          <w:rFonts w:hint="eastAsia" w:ascii="宋体" w:hAnsi="宋体" w:eastAsia="宋体" w:cs="宋体"/>
          <w:b/>
          <w:bCs/>
          <w:color w:val="auto"/>
          <w:kern w:val="0"/>
          <w:szCs w:val="21"/>
          <w:highlight w:val="none"/>
        </w:rPr>
        <w:t>23、</w:t>
      </w:r>
      <w:r>
        <w:rPr>
          <w:rFonts w:hint="eastAsia" w:ascii="宋体" w:hAnsi="宋体" w:eastAsia="宋体" w:cs="宋体"/>
          <w:b/>
          <w:color w:val="auto"/>
          <w:kern w:val="0"/>
          <w:szCs w:val="21"/>
          <w:highlight w:val="none"/>
        </w:rPr>
        <w:t>确定中标人</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23.3 中标人确定后，在省级以上财政部门指定的媒体上公告中标结果，中标公告期为1个工作日，公告的同时向中标人发出中标通知书。</w:t>
      </w:r>
    </w:p>
    <w:p>
      <w:pPr>
        <w:widowControl/>
        <w:shd w:val="clear" w:color="auto" w:fill="FFFFFF"/>
        <w:spacing w:line="360" w:lineRule="auto"/>
        <w:ind w:firstLine="420"/>
        <w:rPr>
          <w:rFonts w:hint="eastAsia" w:ascii="宋体" w:hAnsi="宋体" w:eastAsia="宋体" w:cs="宋体"/>
          <w:b/>
          <w:color w:val="auto"/>
          <w:kern w:val="0"/>
          <w:szCs w:val="21"/>
          <w:highlight w:val="none"/>
        </w:rPr>
      </w:pPr>
      <w:r>
        <w:rPr>
          <w:rFonts w:hint="eastAsia" w:ascii="宋体" w:hAnsi="宋体" w:eastAsia="宋体" w:cs="宋体"/>
          <w:b/>
          <w:bCs/>
          <w:color w:val="auto"/>
          <w:kern w:val="0"/>
          <w:szCs w:val="21"/>
          <w:highlight w:val="none"/>
        </w:rPr>
        <w:t>23.4 中标通知书对采购人和中标人具有同等法律效力。中标通知书发出后，采购人不得</w:t>
      </w:r>
      <w:r>
        <w:rPr>
          <w:rFonts w:hint="eastAsia" w:ascii="宋体" w:hAnsi="宋体" w:eastAsia="宋体" w:cs="宋体"/>
          <w:b/>
          <w:color w:val="auto"/>
          <w:kern w:val="0"/>
          <w:szCs w:val="21"/>
          <w:highlight w:val="none"/>
        </w:rPr>
        <w:t>违法改变中标结果，中标人无正当理由不得放弃中标。</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23.5 所有投标文件不论中标与否，均不退回。</w:t>
      </w:r>
    </w:p>
    <w:p>
      <w:pPr>
        <w:widowControl/>
        <w:shd w:val="clear" w:color="auto" w:fill="FFFFFF"/>
        <w:spacing w:line="360" w:lineRule="auto"/>
        <w:ind w:firstLine="412"/>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24、编写评标报告</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24.1评标委员会根据全体评标成员签字的原始评标记录和评标结果编写评标报告。</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25、评标过程的保密性</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25.1 采购人和采购代理机构将采取必要措施，保证评标在严格保密的情况下进行。</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25.2 任何单位和个人不得非法干预、影响评标办法的确定，以及评标过程和结果。</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25.3 凡是与审查、澄清、评价和比较投标的有关资料等，均不向投标人及与评标无关的其他人员透露。</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六、签订合同</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26、签订合同</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pPr>
        <w:widowControl/>
        <w:shd w:val="clear" w:color="auto" w:fill="FFFFFF"/>
        <w:spacing w:line="360" w:lineRule="auto"/>
        <w:ind w:firstLine="420"/>
        <w:rPr>
          <w:rFonts w:hint="eastAsia" w:ascii="宋体" w:hAnsi="宋体" w:eastAsia="宋体" w:cs="宋体"/>
          <w:b/>
          <w:bCs/>
          <w:color w:val="auto"/>
          <w:szCs w:val="21"/>
          <w:highlight w:val="none"/>
        </w:rPr>
      </w:pPr>
      <w:r>
        <w:rPr>
          <w:rFonts w:hint="eastAsia" w:ascii="宋体" w:hAnsi="宋体" w:eastAsia="宋体" w:cs="宋体"/>
          <w:b/>
          <w:color w:val="auto"/>
          <w:kern w:val="0"/>
          <w:szCs w:val="21"/>
          <w:highlight w:val="none"/>
        </w:rPr>
        <w:t xml:space="preserve">26.2 </w:t>
      </w:r>
      <w:r>
        <w:rPr>
          <w:rFonts w:hint="eastAsia" w:ascii="宋体" w:hAnsi="宋体" w:eastAsia="宋体" w:cs="宋体"/>
          <w:color w:val="auto"/>
          <w:szCs w:val="21"/>
          <w:highlight w:val="none"/>
        </w:rPr>
        <w:t>除继续履行将损害国家利益和社会公众利益的，政府采购合同的双方当事人不得擅自变更、中止或者终止合同。</w:t>
      </w:r>
      <w:r>
        <w:rPr>
          <w:rFonts w:hint="eastAsia" w:ascii="宋体" w:hAnsi="宋体" w:eastAsia="宋体" w:cs="宋体"/>
          <w:b/>
          <w:bCs/>
          <w:color w:val="auto"/>
          <w:szCs w:val="21"/>
          <w:highlight w:val="none"/>
        </w:rPr>
        <w:t>放弃或拒绝签订合同的，中标人不得参加对该项目重新开展的采购活动，投标保证金不予退还</w:t>
      </w:r>
      <w:r>
        <w:rPr>
          <w:rFonts w:hint="eastAsia" w:ascii="宋体" w:hAnsi="宋体" w:eastAsia="宋体" w:cs="宋体"/>
          <w:b/>
          <w:bCs/>
          <w:color w:val="auto"/>
          <w:kern w:val="0"/>
          <w:szCs w:val="21"/>
          <w:highlight w:val="none"/>
        </w:rPr>
        <w:t>，不收取投标保证金的项目，中标人应向采购人支付采购人为招标所发生的相关费用，</w:t>
      </w:r>
      <w:r>
        <w:rPr>
          <w:rFonts w:hint="eastAsia" w:ascii="宋体" w:hAnsi="宋体" w:eastAsia="宋体" w:cs="宋体"/>
          <w:b/>
          <w:bCs/>
          <w:color w:val="auto"/>
          <w:szCs w:val="21"/>
          <w:highlight w:val="none"/>
        </w:rPr>
        <w:t>由财政部门列入不良行为记录名单，在一至三年内禁止参加政府采购活动，并予以通报。</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26.3采购人不得向中标人提出任何不合理的要求作为签订合同的条件。</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26.6 采购人与中标人应当根据合同的约定依法履行合同义务。</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七、质疑和投诉</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27、质疑</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27.1供应商对招标活动事项有疑问的，可以向采购代理机构提出询问，采购代理机构将依法作出答复，但答复的内容不涉及商业秘密</w:t>
      </w:r>
      <w:r>
        <w:rPr>
          <w:rFonts w:hint="eastAsia" w:ascii="宋体" w:hAnsi="宋体" w:eastAsia="宋体" w:cs="宋体"/>
          <w:b/>
          <w:bCs/>
          <w:color w:val="auto"/>
          <w:kern w:val="0"/>
          <w:szCs w:val="21"/>
          <w:highlight w:val="none"/>
        </w:rPr>
        <w:t>。</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27.2提出质疑的供应商应当是参与所质疑项目采购活动的供应商。潜在供应商已依法获取其可质疑的采购文件的，可以对该文件提出质疑。</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以联合体形式参加政府采购活动的，其质疑应当由组成联合体的所有供应商共同提出。</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27.3供应商认为采购文件、采购过程和中标结果使自己的合法权益受到损害的，可以在知道或者应知其权益受到损害之日起七个工作日内，将质疑文件原件送达采购人或采购代理机构。</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pPr>
        <w:widowControl/>
        <w:shd w:val="clear" w:color="auto" w:fill="FFFFFF"/>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highlight w:val="none"/>
        </w:rPr>
        <w:t>供应商必须在法定质疑期内一次性提出针对同一采购程序环节的质疑。</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27.4 供应商提出质疑应当提交质疑函和必要的证明材料。质疑函应当包括下列内容：</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（一）供应商的姓名或者名称、地址、邮编、联系人及联系电话；</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（二）质疑项目的名称、编号；</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（三）具体、明确的质疑事项和与质疑事项相关的请求（具体条款）；</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（四）事实依据（具体条款）；</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（五）必要的法律依据（具体条款）；</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（六）提出质疑的日期。</w:t>
      </w:r>
    </w:p>
    <w:p>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质疑函应当使用中文。相关当事人提供外文书证或者外国语视听资料的，应当附有中文译本，由翻译机构盖章或者翻译人员签名。</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27.5质疑函应当现场提交至采购代理机构联系人处，提交时应出示有效身份证明。未按上述要求提交质疑函的，质疑不予受理。</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27.7采购代理机构在收到投标人的书面质疑后将及时组织调查核实，在</w:t>
      </w:r>
      <w:r>
        <w:rPr>
          <w:rFonts w:hint="eastAsia" w:ascii="宋体" w:hAnsi="宋体" w:eastAsia="宋体" w:cs="宋体"/>
          <w:b/>
          <w:bCs/>
          <w:color w:val="auto"/>
          <w:kern w:val="0"/>
          <w:szCs w:val="21"/>
          <w:highlight w:val="none"/>
        </w:rPr>
        <w:t>七个工作日内</w:t>
      </w:r>
      <w:r>
        <w:rPr>
          <w:rFonts w:hint="eastAsia" w:ascii="宋体" w:hAnsi="宋体" w:eastAsia="宋体" w:cs="宋体"/>
          <w:color w:val="auto"/>
          <w:kern w:val="0"/>
          <w:szCs w:val="21"/>
          <w:highlight w:val="none"/>
        </w:rPr>
        <w:t>作出答复，并以书面或在网站公告形式通知质疑投标人和其他有关投标人，答复的内容不涉及商业秘密。</w:t>
      </w:r>
    </w:p>
    <w:p>
      <w:pPr>
        <w:widowControl/>
        <w:shd w:val="clear" w:color="auto" w:fill="FFFFFF"/>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任何单位和个人对代理机构在招标采购活动中的违法行为，有权控告和检举，联系电话：025-86636139（采购代理机构质量管理部门）、025-86636853（采购代理机构纪检监察部门）。</w:t>
      </w:r>
    </w:p>
    <w:p>
      <w:pPr>
        <w:widowControl/>
        <w:shd w:val="clear" w:color="auto" w:fill="FFFFFF"/>
        <w:spacing w:line="420" w:lineRule="exact"/>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28、投诉</w:t>
      </w:r>
    </w:p>
    <w:p>
      <w:pPr>
        <w:spacing w:line="42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28.1质疑供应商对采购代理机构的答复不满意或者采购代理机构未在规定的时间内作出答复的，可以在答复期满后十五个工作日内向同级政府采购监督管理部门投诉。</w:t>
      </w:r>
    </w:p>
    <w:p>
      <w:pPr>
        <w:spacing w:line="42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28.2供应商投诉应当有明确的请求和必要的证明材料。供应商投诉的事项不得超出已质疑事项的范围。</w:t>
      </w:r>
    </w:p>
    <w:p>
      <w:pPr>
        <w:spacing w:line="42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28.3投诉人对政府采购监督管理部门的投诉处理决定不服或者政府采购监督管理部门逾期未作处理的，可以依法申请行政复议或者向人民法院提起行政诉讼。</w:t>
      </w:r>
    </w:p>
    <w:p>
      <w:pPr>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highlight w:val="none"/>
        </w:rPr>
        <w:t>28.4 投诉人有下列行为之一的，属于严重失信行为，</w:t>
      </w:r>
      <w:r>
        <w:rPr>
          <w:rFonts w:hint="eastAsia" w:ascii="宋体" w:hAnsi="宋体" w:eastAsia="宋体" w:cs="宋体"/>
          <w:color w:val="auto"/>
          <w:szCs w:val="21"/>
          <w:highlight w:val="none"/>
        </w:rPr>
        <w:t>由财政部门列入不良行为记录名单，禁止其一至三年内参加政府采购活动。</w:t>
      </w:r>
    </w:p>
    <w:p>
      <w:pPr>
        <w:spacing w:line="42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（1）投诉人在全国范围12个月内三次以上投诉查无实据的；</w:t>
      </w:r>
    </w:p>
    <w:p>
      <w:pPr>
        <w:spacing w:line="42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（2）采用捏造事实、提供虚假材料或者以非法手段取得证明材料等方式进行虚假、恶意投诉。</w:t>
      </w:r>
    </w:p>
    <w:p>
      <w:pPr>
        <w:spacing w:line="42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证据来源的合法性存在明显疑问，投诉人无法证明其取得方式合法的，视为以非法手段取得证明材料。</w:t>
      </w:r>
    </w:p>
    <w:p>
      <w:pPr>
        <w:widowControl/>
        <w:numPr>
          <w:ilvl w:val="0"/>
          <w:numId w:val="4"/>
        </w:numPr>
        <w:shd w:val="clear" w:color="auto" w:fill="FFFFFF"/>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其它</w:t>
      </w:r>
    </w:p>
    <w:p>
      <w:pPr>
        <w:pStyle w:val="54"/>
        <w:spacing w:line="360" w:lineRule="auto"/>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29.1本项目根据江苏省财政厅关于加强政府绿色采购有关事项的通知（苏财购</w:t>
      </w:r>
      <w:r>
        <w:rPr>
          <w:rFonts w:hint="eastAsia" w:ascii="宋体" w:hAnsi="宋体" w:eastAsia="宋体" w:cs="宋体"/>
          <w:color w:val="auto"/>
          <w:kern w:val="0"/>
          <w:szCs w:val="21"/>
          <w:highlight w:val="none"/>
        </w:rPr>
        <w:t>〔2023〕65号</w:t>
      </w:r>
      <w:r>
        <w:rPr>
          <w:rFonts w:hint="eastAsia" w:ascii="宋体" w:hAnsi="宋体" w:eastAsia="宋体" w:cs="宋体"/>
          <w:color w:val="auto"/>
          <w:highlight w:val="none"/>
        </w:rPr>
        <w:t>）规定，执行绿色采购需求标准。</w:t>
      </w:r>
    </w:p>
    <w:p>
      <w:pPr>
        <w:rPr>
          <w:rFonts w:ascii="Arial" w:hAnsi="Arial" w:cs="Arial"/>
          <w:color w:val="auto"/>
          <w:kern w:val="0"/>
          <w:highlight w:val="none"/>
        </w:rPr>
      </w:pPr>
      <w:bookmarkStart w:id="8" w:name="_Toc11112"/>
      <w:r>
        <w:rPr>
          <w:rFonts w:ascii="Arial" w:hAnsi="Arial" w:cs="Arial"/>
          <w:color w:val="auto"/>
          <w:kern w:val="0"/>
          <w:highlight w:val="none"/>
        </w:rPr>
        <w:br w:type="page"/>
      </w:r>
    </w:p>
    <w:p>
      <w:pPr>
        <w:pStyle w:val="3"/>
        <w:numPr>
          <w:ilvl w:val="0"/>
          <w:numId w:val="0"/>
        </w:numPr>
        <w:rPr>
          <w:rFonts w:ascii="Arial" w:hAnsi="Arial" w:cs="Arial"/>
          <w:color w:val="auto"/>
          <w:kern w:val="0"/>
          <w:highlight w:val="none"/>
        </w:rPr>
      </w:pPr>
      <w:r>
        <w:rPr>
          <w:rFonts w:ascii="Arial" w:hAnsi="Arial" w:cs="Arial"/>
          <w:color w:val="auto"/>
          <w:kern w:val="0"/>
          <w:highlight w:val="none"/>
        </w:rPr>
        <w:t> </w:t>
      </w:r>
      <w:bookmarkStart w:id="9" w:name="_Toc481057145"/>
      <w:r>
        <w:rPr>
          <w:rFonts w:ascii="Arial" w:hAnsi="Arial" w:cs="Arial"/>
          <w:color w:val="auto"/>
          <w:kern w:val="0"/>
          <w:highlight w:val="none"/>
        </w:rPr>
        <w:t>第三章  评标标准</w:t>
      </w:r>
      <w:bookmarkEnd w:id="8"/>
    </w:p>
    <w:bookmarkEnd w:id="9"/>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pPr>
        <w:rPr>
          <w:b/>
          <w:bCs/>
          <w:color w:val="auto"/>
          <w:highlight w:val="none"/>
        </w:rPr>
      </w:pPr>
      <w:r>
        <w:rPr>
          <w:rFonts w:hint="eastAsia"/>
          <w:b/>
          <w:bCs/>
          <w:color w:val="auto"/>
          <w:highlight w:val="none"/>
        </w:rPr>
        <w:t>包</w:t>
      </w:r>
      <w:r>
        <w:rPr>
          <w:b/>
          <w:bCs/>
          <w:color w:val="auto"/>
          <w:highlight w:val="none"/>
        </w:rPr>
        <w:t>1</w:t>
      </w:r>
      <w:r>
        <w:rPr>
          <w:b/>
          <w:color w:val="auto"/>
          <w:szCs w:val="21"/>
          <w:highlight w:val="none"/>
        </w:rPr>
        <w:t>汾湖超级站及省级大气多参数站</w:t>
      </w:r>
      <w:r>
        <w:rPr>
          <w:rFonts w:hint="eastAsia"/>
          <w:b/>
          <w:color w:val="auto"/>
          <w:szCs w:val="21"/>
          <w:highlight w:val="none"/>
        </w:rPr>
        <w:t>常规仪器</w:t>
      </w:r>
      <w:r>
        <w:rPr>
          <w:b/>
          <w:color w:val="auto"/>
          <w:szCs w:val="21"/>
          <w:highlight w:val="none"/>
        </w:rPr>
        <w:t>设备运维服务</w:t>
      </w:r>
    </w:p>
    <w:tbl>
      <w:tblPr>
        <w:tblStyle w:val="44"/>
        <w:tblW w:w="5000" w:type="pct"/>
        <w:jc w:val="center"/>
        <w:tblLayout w:type="autofit"/>
        <w:tblCellMar>
          <w:top w:w="0" w:type="dxa"/>
          <w:left w:w="108" w:type="dxa"/>
          <w:bottom w:w="0" w:type="dxa"/>
          <w:right w:w="108" w:type="dxa"/>
        </w:tblCellMar>
      </w:tblPr>
      <w:tblGrid>
        <w:gridCol w:w="1021"/>
        <w:gridCol w:w="7108"/>
        <w:gridCol w:w="707"/>
      </w:tblGrid>
      <w:tr>
        <w:tblPrEx>
          <w:tblCellMar>
            <w:top w:w="0" w:type="dxa"/>
            <w:left w:w="108" w:type="dxa"/>
            <w:bottom w:w="0" w:type="dxa"/>
            <w:right w:w="108" w:type="dxa"/>
          </w:tblCellMar>
        </w:tblPrEx>
        <w:trPr>
          <w:trHeight w:val="85" w:hRule="atLeast"/>
          <w:jc w:val="center"/>
        </w:trPr>
        <w:tc>
          <w:tcPr>
            <w:tcW w:w="4599" w:type="pct"/>
            <w:gridSpan w:val="2"/>
            <w:tcBorders>
              <w:top w:val="single" w:color="auto" w:sz="4" w:space="0"/>
              <w:left w:val="single" w:color="auto" w:sz="4" w:space="0"/>
              <w:bottom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color w:val="auto"/>
                <w:sz w:val="21"/>
                <w:szCs w:val="21"/>
                <w:highlight w:val="none"/>
              </w:rPr>
              <w:br w:type="page"/>
            </w:r>
            <w:r>
              <w:rPr>
                <w:rFonts w:hint="eastAsia" w:ascii="宋体" w:hAnsi="宋体" w:cs="宋体"/>
                <w:snapToGrid w:val="0"/>
                <w:color w:val="auto"/>
                <w:sz w:val="21"/>
                <w:szCs w:val="21"/>
                <w:highlight w:val="none"/>
              </w:rPr>
              <w:t>专家根据投标人投标价格、技术服务、企业资质、信誉、业绩等方面评定，满分100分</w:t>
            </w:r>
          </w:p>
        </w:tc>
        <w:tc>
          <w:tcPr>
            <w:tcW w:w="400" w:type="pct"/>
            <w:tcBorders>
              <w:top w:val="single" w:color="auto" w:sz="4" w:space="0"/>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分值</w:t>
            </w:r>
          </w:p>
        </w:tc>
      </w:tr>
      <w:tr>
        <w:tblPrEx>
          <w:tblCellMar>
            <w:top w:w="0" w:type="dxa"/>
            <w:left w:w="108" w:type="dxa"/>
            <w:bottom w:w="0" w:type="dxa"/>
            <w:right w:w="108" w:type="dxa"/>
          </w:tblCellMar>
        </w:tblPrEx>
        <w:trPr>
          <w:trHeight w:val="380" w:hRule="atLeast"/>
          <w:jc w:val="center"/>
        </w:trPr>
        <w:tc>
          <w:tcPr>
            <w:tcW w:w="4599" w:type="pct"/>
            <w:gridSpan w:val="2"/>
            <w:tcBorders>
              <w:top w:val="single" w:color="auto" w:sz="4" w:space="0"/>
              <w:left w:val="single" w:color="auto" w:sz="4" w:space="0"/>
              <w:bottom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价格分：满足招标文件要求且投标价格最低的投标报价为评标基准价，其价格分为满分。其他投标人的价格分统一按照下列公式计算：投标报价得分=(评标基准价／投标报价)×15</w:t>
            </w:r>
          </w:p>
        </w:tc>
        <w:tc>
          <w:tcPr>
            <w:tcW w:w="400" w:type="pct"/>
            <w:tcBorders>
              <w:top w:val="single" w:color="auto" w:sz="4" w:space="0"/>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15</w:t>
            </w:r>
          </w:p>
        </w:tc>
      </w:tr>
      <w:tr>
        <w:tblPrEx>
          <w:tblCellMar>
            <w:top w:w="0" w:type="dxa"/>
            <w:left w:w="108" w:type="dxa"/>
            <w:bottom w:w="0" w:type="dxa"/>
            <w:right w:w="108" w:type="dxa"/>
          </w:tblCellMar>
        </w:tblPrEx>
        <w:trPr>
          <w:trHeight w:val="279" w:hRule="atLeast"/>
          <w:jc w:val="center"/>
        </w:trPr>
        <w:tc>
          <w:tcPr>
            <w:tcW w:w="4599" w:type="pct"/>
            <w:gridSpan w:val="2"/>
            <w:tcBorders>
              <w:top w:val="single" w:color="auto" w:sz="4" w:space="0"/>
              <w:left w:val="single" w:color="auto" w:sz="4" w:space="0"/>
              <w:bottom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技术服务</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55</w:t>
            </w:r>
          </w:p>
        </w:tc>
      </w:tr>
      <w:tr>
        <w:tblPrEx>
          <w:tblCellMar>
            <w:top w:w="0" w:type="dxa"/>
            <w:left w:w="108" w:type="dxa"/>
            <w:bottom w:w="0" w:type="dxa"/>
            <w:right w:w="108" w:type="dxa"/>
          </w:tblCellMar>
        </w:tblPrEx>
        <w:trPr>
          <w:trHeight w:val="611" w:hRule="atLeast"/>
          <w:jc w:val="center"/>
        </w:trPr>
        <w:tc>
          <w:tcPr>
            <w:tcW w:w="578" w:type="pct"/>
            <w:vMerge w:val="restart"/>
            <w:tcBorders>
              <w:top w:val="nil"/>
              <w:left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机构人员与车辆配置</w:t>
            </w:r>
          </w:p>
        </w:tc>
        <w:tc>
          <w:tcPr>
            <w:tcW w:w="4021" w:type="pct"/>
            <w:tcBorders>
              <w:top w:val="nil"/>
              <w:left w:val="nil"/>
              <w:bottom w:val="single" w:color="auto" w:sz="4" w:space="0"/>
              <w:right w:val="single" w:color="auto" w:sz="4" w:space="0"/>
            </w:tcBorders>
            <w:vAlign w:val="center"/>
          </w:tcPr>
          <w:p>
            <w:pPr>
              <w:rPr>
                <w:rFonts w:ascii="宋体" w:hAnsi="宋体" w:cs="宋体"/>
                <w:color w:val="auto"/>
                <w:szCs w:val="21"/>
                <w:highlight w:val="none"/>
              </w:rPr>
            </w:pPr>
            <w:r>
              <w:rPr>
                <w:rFonts w:hint="eastAsia" w:ascii="宋体" w:hAnsi="宋体" w:cs="宋体"/>
                <w:snapToGrid w:val="0"/>
                <w:color w:val="auto"/>
                <w:szCs w:val="21"/>
                <w:highlight w:val="none"/>
              </w:rPr>
              <w:t>对投标人的</w:t>
            </w:r>
            <w:r>
              <w:rPr>
                <w:rFonts w:hint="eastAsia" w:ascii="宋体" w:hAnsi="宋体" w:cs="宋体"/>
                <w:color w:val="auto"/>
                <w:szCs w:val="21"/>
                <w:highlight w:val="none"/>
              </w:rPr>
              <w:t>本地化运维服务方案</w:t>
            </w:r>
            <w:r>
              <w:rPr>
                <w:rFonts w:hint="eastAsia" w:ascii="宋体" w:hAnsi="宋体" w:cs="宋体"/>
                <w:snapToGrid w:val="0"/>
                <w:color w:val="auto"/>
                <w:szCs w:val="21"/>
                <w:highlight w:val="none"/>
              </w:rPr>
              <w:t>进行</w:t>
            </w:r>
            <w:r>
              <w:rPr>
                <w:rFonts w:hint="eastAsia" w:ascii="宋体" w:hAnsi="宋体" w:cs="宋体"/>
                <w:color w:val="auto"/>
                <w:szCs w:val="21"/>
                <w:highlight w:val="none"/>
              </w:rPr>
              <w:t>综合评审评分，依据方案编制的详实程度进行评分，具体方案包括但不限于采购需求运行维护服务所提要求：</w:t>
            </w:r>
          </w:p>
          <w:p>
            <w:pPr>
              <w:pStyle w:val="191"/>
              <w:rPr>
                <w:rFonts w:ascii="宋体" w:hAnsi="宋体" w:cs="宋体"/>
                <w:color w:val="auto"/>
                <w:sz w:val="21"/>
                <w:szCs w:val="21"/>
                <w:highlight w:val="none"/>
              </w:rPr>
            </w:pPr>
            <w:r>
              <w:rPr>
                <w:rFonts w:hint="eastAsia" w:ascii="宋体" w:hAnsi="宋体" w:cs="宋体"/>
                <w:color w:val="auto"/>
                <w:sz w:val="21"/>
                <w:szCs w:val="21"/>
                <w:highlight w:val="none"/>
              </w:rPr>
              <w:t>1、在运维区域2小时车程范围内至少设立1个运维技术支持机构，根据投标人提供的本地化服务方案，服务网点配置合理且有一定基础，优于采购文件需求，本地化服务便于高效开展得6分；</w:t>
            </w:r>
          </w:p>
          <w:p>
            <w:pPr>
              <w:rPr>
                <w:rFonts w:ascii="宋体" w:hAnsi="宋体" w:cs="宋体"/>
                <w:snapToGrid w:val="0"/>
                <w:color w:val="auto"/>
                <w:szCs w:val="21"/>
                <w:highlight w:val="none"/>
              </w:rPr>
            </w:pPr>
            <w:r>
              <w:rPr>
                <w:rFonts w:hint="eastAsia" w:ascii="宋体" w:hAnsi="宋体" w:cs="宋体"/>
                <w:snapToGrid w:val="0"/>
                <w:color w:val="auto"/>
                <w:szCs w:val="21"/>
                <w:highlight w:val="none"/>
              </w:rPr>
              <w:t>2、方案较为合理、基本可行，</w:t>
            </w:r>
            <w:r>
              <w:rPr>
                <w:rFonts w:hint="eastAsia" w:ascii="宋体" w:hAnsi="宋体" w:cs="宋体"/>
                <w:color w:val="auto"/>
                <w:kern w:val="0"/>
                <w:szCs w:val="21"/>
                <w:highlight w:val="none"/>
              </w:rPr>
              <w:t>符合采购文件要求的得</w:t>
            </w:r>
            <w:r>
              <w:rPr>
                <w:rFonts w:hint="eastAsia" w:ascii="宋体" w:hAnsi="宋体" w:cs="宋体"/>
                <w:snapToGrid w:val="0"/>
                <w:color w:val="auto"/>
                <w:szCs w:val="21"/>
                <w:highlight w:val="none"/>
              </w:rPr>
              <w:t>4分；</w:t>
            </w:r>
          </w:p>
          <w:p>
            <w:pPr>
              <w:rPr>
                <w:rFonts w:ascii="宋体" w:hAnsi="宋体" w:cs="宋体"/>
                <w:color w:val="auto"/>
                <w:kern w:val="0"/>
                <w:szCs w:val="21"/>
                <w:highlight w:val="none"/>
              </w:rPr>
            </w:pPr>
            <w:r>
              <w:rPr>
                <w:rFonts w:hint="eastAsia" w:ascii="宋体" w:hAnsi="宋体" w:cs="宋体"/>
                <w:snapToGrid w:val="0"/>
                <w:color w:val="auto"/>
                <w:szCs w:val="21"/>
                <w:highlight w:val="none"/>
              </w:rPr>
              <w:t>3、</w:t>
            </w:r>
            <w:r>
              <w:rPr>
                <w:rFonts w:hint="eastAsia" w:ascii="宋体" w:hAnsi="宋体" w:cs="宋体"/>
                <w:color w:val="auto"/>
                <w:kern w:val="0"/>
                <w:szCs w:val="21"/>
                <w:highlight w:val="none"/>
              </w:rPr>
              <w:t>方案欠佳、不完全符合招标文件要求的得2分；</w:t>
            </w:r>
          </w:p>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4、未提供相关内容，得0分。</w:t>
            </w:r>
          </w:p>
          <w:p>
            <w:pPr>
              <w:pStyle w:val="191"/>
              <w:rPr>
                <w:rFonts w:ascii="宋体" w:hAnsi="宋体" w:cs="宋体"/>
                <w:color w:val="auto"/>
                <w:sz w:val="21"/>
                <w:szCs w:val="21"/>
                <w:highlight w:val="none"/>
              </w:rPr>
            </w:pPr>
            <w:r>
              <w:rPr>
                <w:rFonts w:hint="eastAsia" w:ascii="宋体" w:hAnsi="宋体" w:cs="宋体"/>
                <w:color w:val="auto"/>
                <w:sz w:val="21"/>
                <w:szCs w:val="21"/>
                <w:highlight w:val="none"/>
              </w:rPr>
              <w:t>（须提供已有技术支持能力的证明材料）</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color w:val="auto"/>
                <w:sz w:val="21"/>
                <w:szCs w:val="21"/>
                <w:highlight w:val="none"/>
              </w:rPr>
            </w:pPr>
            <w:r>
              <w:rPr>
                <w:rFonts w:hint="eastAsia" w:ascii="宋体" w:hAnsi="宋体" w:cs="宋体"/>
                <w:snapToGrid w:val="0"/>
                <w:color w:val="auto"/>
                <w:sz w:val="21"/>
                <w:szCs w:val="21"/>
                <w:highlight w:val="none"/>
              </w:rPr>
              <w:t>6</w:t>
            </w:r>
          </w:p>
        </w:tc>
      </w:tr>
      <w:tr>
        <w:tblPrEx>
          <w:tblCellMar>
            <w:top w:w="0" w:type="dxa"/>
            <w:left w:w="108" w:type="dxa"/>
            <w:bottom w:w="0" w:type="dxa"/>
            <w:right w:w="108" w:type="dxa"/>
          </w:tblCellMar>
        </w:tblPrEx>
        <w:trPr>
          <w:trHeight w:val="482" w:hRule="atLeast"/>
          <w:jc w:val="center"/>
        </w:trPr>
        <w:tc>
          <w:tcPr>
            <w:tcW w:w="578" w:type="pct"/>
            <w:vMerge w:val="continue"/>
            <w:tcBorders>
              <w:left w:val="single" w:color="auto" w:sz="4" w:space="0"/>
              <w:right w:val="single" w:color="auto" w:sz="4" w:space="0"/>
            </w:tcBorders>
            <w:vAlign w:val="center"/>
          </w:tcPr>
          <w:p>
            <w:pPr>
              <w:widowControl/>
              <w:jc w:val="left"/>
              <w:rPr>
                <w:rFonts w:ascii="宋体" w:hAnsi="宋体" w:cs="宋体"/>
                <w:snapToGrid w:val="0"/>
                <w:color w:val="auto"/>
                <w:szCs w:val="21"/>
                <w:highlight w:val="none"/>
              </w:rPr>
            </w:pPr>
          </w:p>
        </w:tc>
        <w:tc>
          <w:tcPr>
            <w:tcW w:w="4021" w:type="pct"/>
            <w:tcBorders>
              <w:top w:val="nil"/>
              <w:left w:val="nil"/>
              <w:bottom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1、投标人为本项目配置的技术人员具备省级及以上生态环境部门颁发的空气自动上岗证（以省级及以上生态环境部门相关机构提供的培训合格证明或其他类似证明材料为准，下同。提供近3个月内任意一个月的社保缴纳证明），不满足不得分。</w:t>
            </w:r>
          </w:p>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2、根据投标人的运维人员职称进行综合评审：为本项目配置的持有上岗证人员中具备环保类专业技术高级及以上职称的，有1人得2分，最高得4分。（须提供近3个月内任意一个月的社保缴纳证明及相关证书复印件并加盖公章。）</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4</w:t>
            </w:r>
          </w:p>
        </w:tc>
      </w:tr>
      <w:tr>
        <w:tblPrEx>
          <w:tblCellMar>
            <w:top w:w="0" w:type="dxa"/>
            <w:left w:w="108" w:type="dxa"/>
            <w:bottom w:w="0" w:type="dxa"/>
            <w:right w:w="108" w:type="dxa"/>
          </w:tblCellMar>
        </w:tblPrEx>
        <w:trPr>
          <w:trHeight w:val="482" w:hRule="atLeast"/>
          <w:jc w:val="center"/>
        </w:trPr>
        <w:tc>
          <w:tcPr>
            <w:tcW w:w="578" w:type="pct"/>
            <w:vMerge w:val="continue"/>
            <w:tcBorders>
              <w:left w:val="single" w:color="auto" w:sz="4" w:space="0"/>
              <w:bottom w:val="single" w:color="000000" w:sz="4" w:space="0"/>
              <w:right w:val="single" w:color="auto" w:sz="4" w:space="0"/>
            </w:tcBorders>
            <w:vAlign w:val="center"/>
          </w:tcPr>
          <w:p>
            <w:pPr>
              <w:widowControl/>
              <w:jc w:val="left"/>
              <w:rPr>
                <w:rFonts w:ascii="宋体" w:hAnsi="宋体" w:cs="宋体"/>
                <w:snapToGrid w:val="0"/>
                <w:color w:val="auto"/>
                <w:szCs w:val="21"/>
                <w:highlight w:val="none"/>
              </w:rPr>
            </w:pPr>
          </w:p>
        </w:tc>
        <w:tc>
          <w:tcPr>
            <w:tcW w:w="4021" w:type="pct"/>
            <w:tcBorders>
              <w:top w:val="nil"/>
              <w:left w:val="nil"/>
              <w:bottom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为本项目配置的运维车辆满足招标文件要求的，得3分</w:t>
            </w:r>
            <w:r>
              <w:rPr>
                <w:rFonts w:hint="eastAsia" w:ascii="宋体" w:hAnsi="宋体" w:cs="宋体"/>
                <w:color w:val="auto"/>
                <w:sz w:val="21"/>
                <w:szCs w:val="21"/>
                <w:highlight w:val="none"/>
              </w:rPr>
              <w:t>（须提供相关证明材料）</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3</w:t>
            </w:r>
          </w:p>
        </w:tc>
      </w:tr>
      <w:tr>
        <w:tblPrEx>
          <w:tblCellMar>
            <w:top w:w="0" w:type="dxa"/>
            <w:left w:w="108" w:type="dxa"/>
            <w:bottom w:w="0" w:type="dxa"/>
            <w:right w:w="108" w:type="dxa"/>
          </w:tblCellMar>
        </w:tblPrEx>
        <w:trPr>
          <w:trHeight w:val="1213" w:hRule="atLeast"/>
          <w:jc w:val="center"/>
        </w:trPr>
        <w:tc>
          <w:tcPr>
            <w:tcW w:w="578" w:type="pct"/>
            <w:vMerge w:val="restart"/>
            <w:tcBorders>
              <w:top w:val="nil"/>
              <w:left w:val="single" w:color="auto" w:sz="4" w:space="0"/>
              <w:bottom w:val="single" w:color="000000"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运维服务方案及技术要求响应情况</w:t>
            </w:r>
          </w:p>
        </w:tc>
        <w:tc>
          <w:tcPr>
            <w:tcW w:w="4021" w:type="pct"/>
            <w:tcBorders>
              <w:top w:val="nil"/>
              <w:left w:val="nil"/>
              <w:bottom w:val="single" w:color="auto" w:sz="4" w:space="0"/>
              <w:right w:val="single" w:color="auto" w:sz="4" w:space="0"/>
            </w:tcBorders>
            <w:vAlign w:val="center"/>
          </w:tcPr>
          <w:p>
            <w:pPr>
              <w:rPr>
                <w:rFonts w:ascii="宋体" w:hAnsi="宋体" w:cs="宋体"/>
                <w:snapToGrid w:val="0"/>
                <w:color w:val="auto"/>
                <w:szCs w:val="21"/>
                <w:highlight w:val="none"/>
              </w:rPr>
            </w:pPr>
            <w:r>
              <w:rPr>
                <w:rFonts w:hint="eastAsia" w:ascii="宋体" w:hAnsi="宋体" w:cs="宋体"/>
                <w:snapToGrid w:val="0"/>
                <w:color w:val="auto"/>
                <w:szCs w:val="21"/>
                <w:highlight w:val="none"/>
              </w:rPr>
              <w:t>对投标人的自动站运维方案进行</w:t>
            </w:r>
            <w:r>
              <w:rPr>
                <w:rFonts w:hint="eastAsia" w:ascii="宋体" w:hAnsi="宋体" w:cs="宋体"/>
                <w:color w:val="auto"/>
                <w:szCs w:val="21"/>
                <w:highlight w:val="none"/>
              </w:rPr>
              <w:t>综合评审评分，依据方案编制的详实程度进行评分，具体方案包括但不限于采购需求运行维护服务所提要求：</w:t>
            </w:r>
          </w:p>
          <w:p>
            <w:pPr>
              <w:rPr>
                <w:rFonts w:ascii="宋体" w:hAnsi="宋体" w:cs="宋体"/>
                <w:snapToGrid w:val="0"/>
                <w:color w:val="auto"/>
                <w:szCs w:val="21"/>
                <w:highlight w:val="none"/>
              </w:rPr>
            </w:pPr>
            <w:r>
              <w:rPr>
                <w:rFonts w:hint="eastAsia" w:ascii="宋体" w:hAnsi="宋体" w:cs="宋体"/>
                <w:snapToGrid w:val="0"/>
                <w:color w:val="auto"/>
                <w:szCs w:val="21"/>
                <w:highlight w:val="none"/>
              </w:rPr>
              <w:t>1、为本项目编制的工作制度全面合理、切实可行，优于采购文件要求的得6分；</w:t>
            </w:r>
          </w:p>
          <w:p>
            <w:pPr>
              <w:rPr>
                <w:rFonts w:ascii="宋体" w:hAnsi="宋体" w:cs="宋体"/>
                <w:snapToGrid w:val="0"/>
                <w:color w:val="auto"/>
                <w:szCs w:val="21"/>
                <w:highlight w:val="none"/>
              </w:rPr>
            </w:pPr>
            <w:r>
              <w:rPr>
                <w:rFonts w:hint="eastAsia" w:ascii="宋体" w:hAnsi="宋体" w:cs="宋体"/>
                <w:snapToGrid w:val="0"/>
                <w:color w:val="auto"/>
                <w:szCs w:val="21"/>
                <w:highlight w:val="none"/>
              </w:rPr>
              <w:t>2、方案较为合理、基本可行，</w:t>
            </w:r>
            <w:r>
              <w:rPr>
                <w:rFonts w:hint="eastAsia" w:ascii="宋体" w:hAnsi="宋体" w:cs="宋体"/>
                <w:color w:val="auto"/>
                <w:kern w:val="0"/>
                <w:szCs w:val="21"/>
                <w:highlight w:val="none"/>
              </w:rPr>
              <w:t>符合采购文件要求的得</w:t>
            </w:r>
            <w:r>
              <w:rPr>
                <w:rFonts w:hint="eastAsia" w:ascii="宋体" w:hAnsi="宋体" w:cs="宋体"/>
                <w:snapToGrid w:val="0"/>
                <w:color w:val="auto"/>
                <w:szCs w:val="21"/>
                <w:highlight w:val="none"/>
              </w:rPr>
              <w:t>4分；</w:t>
            </w:r>
          </w:p>
          <w:p>
            <w:pPr>
              <w:rPr>
                <w:rFonts w:ascii="宋体" w:hAnsi="宋体" w:cs="宋体"/>
                <w:color w:val="auto"/>
                <w:kern w:val="0"/>
                <w:szCs w:val="21"/>
                <w:highlight w:val="none"/>
              </w:rPr>
            </w:pPr>
            <w:r>
              <w:rPr>
                <w:rFonts w:hint="eastAsia" w:ascii="宋体" w:hAnsi="宋体" w:cs="宋体"/>
                <w:snapToGrid w:val="0"/>
                <w:color w:val="auto"/>
                <w:szCs w:val="21"/>
                <w:highlight w:val="none"/>
              </w:rPr>
              <w:t>3、</w:t>
            </w:r>
            <w:r>
              <w:rPr>
                <w:rFonts w:hint="eastAsia" w:ascii="宋体" w:hAnsi="宋体" w:cs="宋体"/>
                <w:color w:val="auto"/>
                <w:kern w:val="0"/>
                <w:szCs w:val="21"/>
                <w:highlight w:val="none"/>
              </w:rPr>
              <w:t>方案欠佳、不完全符合招标文件要求的得2分；</w:t>
            </w:r>
          </w:p>
          <w:p>
            <w:pPr>
              <w:rPr>
                <w:rFonts w:ascii="宋体" w:hAnsi="宋体" w:cs="宋体"/>
                <w:snapToGrid w:val="0"/>
                <w:color w:val="auto"/>
                <w:szCs w:val="21"/>
                <w:highlight w:val="none"/>
              </w:rPr>
            </w:pPr>
            <w:r>
              <w:rPr>
                <w:rFonts w:hint="eastAsia" w:ascii="宋体" w:hAnsi="宋体" w:cs="宋体"/>
                <w:snapToGrid w:val="0"/>
                <w:color w:val="auto"/>
                <w:szCs w:val="21"/>
                <w:highlight w:val="none"/>
              </w:rPr>
              <w:t>4、未提供相关内容，得0分。</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6</w:t>
            </w:r>
          </w:p>
        </w:tc>
      </w:tr>
      <w:tr>
        <w:tblPrEx>
          <w:tblCellMar>
            <w:top w:w="0" w:type="dxa"/>
            <w:left w:w="108" w:type="dxa"/>
            <w:bottom w:w="0" w:type="dxa"/>
            <w:right w:w="108" w:type="dxa"/>
          </w:tblCellMar>
        </w:tblPrEx>
        <w:trPr>
          <w:trHeight w:val="72" w:hRule="atLeast"/>
          <w:jc w:val="center"/>
        </w:trPr>
        <w:tc>
          <w:tcPr>
            <w:tcW w:w="578"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snapToGrid w:val="0"/>
                <w:color w:val="auto"/>
                <w:szCs w:val="21"/>
                <w:highlight w:val="none"/>
              </w:rPr>
            </w:pPr>
          </w:p>
        </w:tc>
        <w:tc>
          <w:tcPr>
            <w:tcW w:w="4021" w:type="pct"/>
            <w:tcBorders>
              <w:top w:val="nil"/>
              <w:left w:val="nil"/>
              <w:bottom w:val="single" w:color="auto" w:sz="4" w:space="0"/>
              <w:right w:val="single" w:color="auto" w:sz="4" w:space="0"/>
            </w:tcBorders>
            <w:vAlign w:val="center"/>
          </w:tcPr>
          <w:p>
            <w:pPr>
              <w:rPr>
                <w:rFonts w:ascii="宋体" w:hAnsi="宋体" w:cs="宋体"/>
                <w:snapToGrid w:val="0"/>
                <w:color w:val="auto"/>
                <w:szCs w:val="21"/>
                <w:highlight w:val="none"/>
              </w:rPr>
            </w:pPr>
            <w:r>
              <w:rPr>
                <w:rFonts w:hint="eastAsia" w:ascii="宋体" w:hAnsi="宋体" w:cs="宋体"/>
                <w:snapToGrid w:val="0"/>
                <w:color w:val="auto"/>
                <w:szCs w:val="21"/>
                <w:highlight w:val="none"/>
              </w:rPr>
              <w:t>对投标人的自动站质量保证方案进行</w:t>
            </w:r>
            <w:r>
              <w:rPr>
                <w:rFonts w:hint="eastAsia" w:ascii="宋体" w:hAnsi="宋体" w:cs="宋体"/>
                <w:color w:val="auto"/>
                <w:szCs w:val="21"/>
                <w:highlight w:val="none"/>
              </w:rPr>
              <w:t>综合评审评分，依据方案编制的详实程度进行评分，具体方案包括但不限于采购需求运行维护服务所提要求：</w:t>
            </w:r>
          </w:p>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1、根据投标提供的质量控制措施的进行综合评审,切实可行，优于采购文件要求的得6分；</w:t>
            </w:r>
          </w:p>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2、方案较为合理、基本可行、符合采购文件要求4分；</w:t>
            </w:r>
          </w:p>
          <w:p>
            <w:pPr>
              <w:pStyle w:val="191"/>
              <w:rPr>
                <w:rFonts w:ascii="宋体" w:hAnsi="宋体" w:cs="宋体"/>
                <w:color w:val="auto"/>
                <w:sz w:val="21"/>
                <w:szCs w:val="21"/>
                <w:highlight w:val="none"/>
              </w:rPr>
            </w:pPr>
            <w:r>
              <w:rPr>
                <w:rFonts w:hint="eastAsia" w:ascii="宋体" w:hAnsi="宋体" w:cs="宋体"/>
                <w:snapToGrid w:val="0"/>
                <w:color w:val="auto"/>
                <w:sz w:val="21"/>
                <w:szCs w:val="21"/>
                <w:highlight w:val="none"/>
              </w:rPr>
              <w:t>3、</w:t>
            </w:r>
            <w:r>
              <w:rPr>
                <w:rFonts w:hint="eastAsia" w:ascii="宋体" w:hAnsi="宋体" w:cs="宋体"/>
                <w:color w:val="auto"/>
                <w:sz w:val="21"/>
                <w:szCs w:val="21"/>
                <w:highlight w:val="none"/>
              </w:rPr>
              <w:t>方案欠佳、不完全符合招标文件要求的得2分；</w:t>
            </w:r>
          </w:p>
          <w:p>
            <w:pPr>
              <w:pStyle w:val="191"/>
              <w:rPr>
                <w:rFonts w:ascii="宋体" w:hAnsi="宋体" w:cs="宋体"/>
                <w:snapToGrid w:val="0"/>
                <w:color w:val="auto"/>
                <w:sz w:val="21"/>
                <w:szCs w:val="21"/>
                <w:highlight w:val="none"/>
              </w:rPr>
            </w:pPr>
            <w:r>
              <w:rPr>
                <w:rFonts w:hint="eastAsia" w:ascii="宋体" w:hAnsi="宋体" w:cs="宋体"/>
                <w:color w:val="auto"/>
                <w:sz w:val="21"/>
                <w:szCs w:val="21"/>
                <w:highlight w:val="none"/>
              </w:rPr>
              <w:t>4、未提供相关内容，得0分。</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6</w:t>
            </w:r>
          </w:p>
        </w:tc>
      </w:tr>
      <w:tr>
        <w:tblPrEx>
          <w:tblCellMar>
            <w:top w:w="0" w:type="dxa"/>
            <w:left w:w="108" w:type="dxa"/>
            <w:bottom w:w="0" w:type="dxa"/>
            <w:right w:w="108" w:type="dxa"/>
          </w:tblCellMar>
        </w:tblPrEx>
        <w:trPr>
          <w:trHeight w:val="124" w:hRule="atLeast"/>
          <w:jc w:val="center"/>
        </w:trPr>
        <w:tc>
          <w:tcPr>
            <w:tcW w:w="578"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snapToGrid w:val="0"/>
                <w:color w:val="auto"/>
                <w:szCs w:val="21"/>
                <w:highlight w:val="none"/>
              </w:rPr>
            </w:pPr>
          </w:p>
        </w:tc>
        <w:tc>
          <w:tcPr>
            <w:tcW w:w="4021" w:type="pct"/>
            <w:tcBorders>
              <w:top w:val="nil"/>
              <w:left w:val="nil"/>
              <w:bottom w:val="single" w:color="auto" w:sz="4" w:space="0"/>
              <w:right w:val="single" w:color="auto" w:sz="4" w:space="0"/>
            </w:tcBorders>
            <w:vAlign w:val="center"/>
          </w:tcPr>
          <w:p>
            <w:pPr>
              <w:rPr>
                <w:rFonts w:ascii="宋体" w:hAnsi="宋体" w:cs="宋体"/>
                <w:snapToGrid w:val="0"/>
                <w:color w:val="auto"/>
                <w:szCs w:val="21"/>
                <w:highlight w:val="none"/>
              </w:rPr>
            </w:pPr>
            <w:r>
              <w:rPr>
                <w:rFonts w:hint="eastAsia" w:ascii="宋体" w:hAnsi="宋体" w:cs="宋体"/>
                <w:snapToGrid w:val="0"/>
                <w:color w:val="auto"/>
                <w:szCs w:val="21"/>
                <w:highlight w:val="none"/>
              </w:rPr>
              <w:t>对投标人的应急服务及人员保障方案进行</w:t>
            </w:r>
            <w:r>
              <w:rPr>
                <w:rFonts w:hint="eastAsia" w:ascii="宋体" w:hAnsi="宋体" w:cs="宋体"/>
                <w:color w:val="auto"/>
                <w:szCs w:val="21"/>
                <w:highlight w:val="none"/>
              </w:rPr>
              <w:t>综合评审评分，依据方案编制的详实程度进行评分，具体方案包括但不限于采购需求运行维护服务所提要求：</w:t>
            </w:r>
          </w:p>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1、对投标人协助采购方做好大气站固定资产管理、应急监测等工作，做好人员保障情况进行综合评审，切实可行，优于采购文件要求的得6分；</w:t>
            </w:r>
          </w:p>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2、方案较为合理、基本可行、符合采购文件要求4分；</w:t>
            </w:r>
          </w:p>
          <w:p>
            <w:pPr>
              <w:pStyle w:val="191"/>
              <w:rPr>
                <w:rFonts w:ascii="宋体" w:hAnsi="宋体" w:cs="宋体"/>
                <w:color w:val="auto"/>
                <w:sz w:val="21"/>
                <w:szCs w:val="21"/>
                <w:highlight w:val="none"/>
              </w:rPr>
            </w:pPr>
            <w:r>
              <w:rPr>
                <w:rFonts w:hint="eastAsia" w:ascii="宋体" w:hAnsi="宋体" w:cs="宋体"/>
                <w:snapToGrid w:val="0"/>
                <w:color w:val="auto"/>
                <w:sz w:val="21"/>
                <w:szCs w:val="21"/>
                <w:highlight w:val="none"/>
              </w:rPr>
              <w:t>3、</w:t>
            </w:r>
            <w:r>
              <w:rPr>
                <w:rFonts w:hint="eastAsia" w:ascii="宋体" w:hAnsi="宋体" w:cs="宋体"/>
                <w:color w:val="auto"/>
                <w:sz w:val="21"/>
                <w:szCs w:val="21"/>
                <w:highlight w:val="none"/>
              </w:rPr>
              <w:t>方案欠佳、不完全符合招标文件要求的得2分；</w:t>
            </w:r>
          </w:p>
          <w:p>
            <w:pPr>
              <w:pStyle w:val="191"/>
              <w:rPr>
                <w:rFonts w:ascii="宋体" w:hAnsi="宋体" w:cs="宋体"/>
                <w:snapToGrid w:val="0"/>
                <w:color w:val="auto"/>
                <w:sz w:val="21"/>
                <w:szCs w:val="21"/>
                <w:highlight w:val="none"/>
              </w:rPr>
            </w:pPr>
            <w:r>
              <w:rPr>
                <w:rFonts w:hint="eastAsia" w:ascii="宋体" w:hAnsi="宋体" w:cs="宋体"/>
                <w:color w:val="auto"/>
                <w:sz w:val="21"/>
                <w:szCs w:val="21"/>
                <w:highlight w:val="none"/>
              </w:rPr>
              <w:t>4、未提供相关内容，得0分。</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6</w:t>
            </w:r>
          </w:p>
        </w:tc>
      </w:tr>
      <w:tr>
        <w:tblPrEx>
          <w:tblCellMar>
            <w:top w:w="0" w:type="dxa"/>
            <w:left w:w="108" w:type="dxa"/>
            <w:bottom w:w="0" w:type="dxa"/>
            <w:right w:w="108" w:type="dxa"/>
          </w:tblCellMar>
        </w:tblPrEx>
        <w:trPr>
          <w:trHeight w:val="124" w:hRule="atLeast"/>
          <w:jc w:val="center"/>
        </w:trPr>
        <w:tc>
          <w:tcPr>
            <w:tcW w:w="578"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snapToGrid w:val="0"/>
                <w:color w:val="auto"/>
                <w:szCs w:val="21"/>
                <w:highlight w:val="none"/>
              </w:rPr>
            </w:pPr>
          </w:p>
        </w:tc>
        <w:tc>
          <w:tcPr>
            <w:tcW w:w="4021" w:type="pct"/>
            <w:tcBorders>
              <w:top w:val="nil"/>
              <w:left w:val="nil"/>
              <w:bottom w:val="single" w:color="auto" w:sz="4" w:space="0"/>
              <w:right w:val="single" w:color="auto" w:sz="4" w:space="0"/>
            </w:tcBorders>
            <w:vAlign w:val="center"/>
          </w:tcPr>
          <w:p>
            <w:pPr>
              <w:rPr>
                <w:rFonts w:ascii="宋体" w:hAnsi="宋体" w:cs="宋体"/>
                <w:snapToGrid w:val="0"/>
                <w:color w:val="auto"/>
                <w:szCs w:val="21"/>
                <w:highlight w:val="none"/>
              </w:rPr>
            </w:pPr>
            <w:r>
              <w:rPr>
                <w:rFonts w:hint="eastAsia" w:ascii="宋体" w:hAnsi="宋体" w:cs="宋体"/>
                <w:snapToGrid w:val="0"/>
                <w:color w:val="auto"/>
                <w:szCs w:val="21"/>
                <w:highlight w:val="none"/>
              </w:rPr>
              <w:t>对投标人的站房本体维护方案进行</w:t>
            </w:r>
            <w:r>
              <w:rPr>
                <w:rFonts w:hint="eastAsia" w:ascii="宋体" w:hAnsi="宋体" w:cs="宋体"/>
                <w:color w:val="auto"/>
                <w:szCs w:val="21"/>
                <w:highlight w:val="none"/>
              </w:rPr>
              <w:t>综合评审评分，依据方案编制的详实程度进行评分，具体方案包括但不限于采购需求运行维护服务所提要求：</w:t>
            </w:r>
          </w:p>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1、方案突出，优于采购文件要求的得6分；</w:t>
            </w:r>
          </w:p>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2、方案较为合理、基本可行、符合采购文件要求4分；</w:t>
            </w:r>
          </w:p>
          <w:p>
            <w:pPr>
              <w:pStyle w:val="191"/>
              <w:rPr>
                <w:rFonts w:ascii="宋体" w:hAnsi="宋体" w:cs="宋体"/>
                <w:color w:val="auto"/>
                <w:sz w:val="21"/>
                <w:szCs w:val="21"/>
                <w:highlight w:val="none"/>
              </w:rPr>
            </w:pPr>
            <w:r>
              <w:rPr>
                <w:rFonts w:hint="eastAsia" w:ascii="宋体" w:hAnsi="宋体" w:cs="宋体"/>
                <w:snapToGrid w:val="0"/>
                <w:color w:val="auto"/>
                <w:sz w:val="21"/>
                <w:szCs w:val="21"/>
                <w:highlight w:val="none"/>
              </w:rPr>
              <w:t>3、</w:t>
            </w:r>
            <w:r>
              <w:rPr>
                <w:rFonts w:hint="eastAsia" w:ascii="宋体" w:hAnsi="宋体" w:cs="宋体"/>
                <w:color w:val="auto"/>
                <w:sz w:val="21"/>
                <w:szCs w:val="21"/>
                <w:highlight w:val="none"/>
              </w:rPr>
              <w:t>方案欠佳、不完全符合招标文件要求的得2分；</w:t>
            </w:r>
          </w:p>
          <w:p>
            <w:pPr>
              <w:rPr>
                <w:rFonts w:ascii="宋体" w:hAnsi="宋体" w:cs="宋体"/>
                <w:snapToGrid w:val="0"/>
                <w:color w:val="auto"/>
                <w:szCs w:val="21"/>
                <w:highlight w:val="none"/>
              </w:rPr>
            </w:pPr>
            <w:r>
              <w:rPr>
                <w:rFonts w:hint="eastAsia" w:ascii="宋体" w:hAnsi="宋体" w:cs="宋体"/>
                <w:color w:val="auto"/>
                <w:kern w:val="0"/>
                <w:szCs w:val="21"/>
                <w:highlight w:val="none"/>
              </w:rPr>
              <w:t>4、未提供相关内容，得0分。</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6</w:t>
            </w:r>
          </w:p>
        </w:tc>
      </w:tr>
      <w:tr>
        <w:tblPrEx>
          <w:tblCellMar>
            <w:top w:w="0" w:type="dxa"/>
            <w:left w:w="108" w:type="dxa"/>
            <w:bottom w:w="0" w:type="dxa"/>
            <w:right w:w="108" w:type="dxa"/>
          </w:tblCellMar>
        </w:tblPrEx>
        <w:trPr>
          <w:trHeight w:val="787" w:hRule="atLeast"/>
          <w:jc w:val="center"/>
        </w:trPr>
        <w:tc>
          <w:tcPr>
            <w:tcW w:w="578"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snapToGrid w:val="0"/>
                <w:color w:val="auto"/>
                <w:szCs w:val="21"/>
                <w:highlight w:val="none"/>
              </w:rPr>
            </w:pPr>
          </w:p>
        </w:tc>
        <w:tc>
          <w:tcPr>
            <w:tcW w:w="4021" w:type="pct"/>
            <w:tcBorders>
              <w:top w:val="nil"/>
              <w:left w:val="nil"/>
              <w:bottom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投标人应有SO</w:t>
            </w:r>
            <w:r>
              <w:rPr>
                <w:rFonts w:hint="eastAsia" w:ascii="宋体" w:hAnsi="宋体" w:cs="宋体"/>
                <w:snapToGrid w:val="0"/>
                <w:color w:val="auto"/>
                <w:sz w:val="21"/>
                <w:szCs w:val="21"/>
                <w:highlight w:val="none"/>
                <w:vertAlign w:val="subscript"/>
              </w:rPr>
              <w:t>2</w:t>
            </w:r>
            <w:r>
              <w:rPr>
                <w:rFonts w:hint="eastAsia" w:ascii="宋体" w:hAnsi="宋体" w:cs="宋体"/>
                <w:snapToGrid w:val="0"/>
                <w:color w:val="auto"/>
                <w:sz w:val="21"/>
                <w:szCs w:val="21"/>
                <w:highlight w:val="none"/>
              </w:rPr>
              <w:t>、NO</w:t>
            </w:r>
            <w:r>
              <w:rPr>
                <w:rFonts w:hint="eastAsia" w:ascii="宋体" w:hAnsi="宋体" w:cs="宋体"/>
                <w:snapToGrid w:val="0"/>
                <w:color w:val="auto"/>
                <w:sz w:val="21"/>
                <w:szCs w:val="21"/>
                <w:highlight w:val="none"/>
                <w:vertAlign w:val="subscript"/>
              </w:rPr>
              <w:t>2</w:t>
            </w:r>
            <w:r>
              <w:rPr>
                <w:rFonts w:hint="eastAsia" w:ascii="宋体" w:hAnsi="宋体" w:cs="宋体"/>
                <w:snapToGrid w:val="0"/>
                <w:color w:val="auto"/>
                <w:sz w:val="21"/>
                <w:szCs w:val="21"/>
                <w:highlight w:val="none"/>
              </w:rPr>
              <w:t>、CO、PM</w:t>
            </w:r>
            <w:r>
              <w:rPr>
                <w:rFonts w:hint="eastAsia" w:ascii="宋体" w:hAnsi="宋体" w:cs="宋体"/>
                <w:snapToGrid w:val="0"/>
                <w:color w:val="auto"/>
                <w:sz w:val="21"/>
                <w:szCs w:val="21"/>
                <w:highlight w:val="none"/>
                <w:vertAlign w:val="subscript"/>
              </w:rPr>
              <w:t>10</w:t>
            </w:r>
            <w:r>
              <w:rPr>
                <w:rFonts w:hint="eastAsia" w:ascii="宋体" w:hAnsi="宋体" w:cs="宋体"/>
                <w:snapToGrid w:val="0"/>
                <w:color w:val="auto"/>
                <w:sz w:val="21"/>
                <w:szCs w:val="21"/>
                <w:highlight w:val="none"/>
              </w:rPr>
              <w:t>、PM</w:t>
            </w:r>
            <w:r>
              <w:rPr>
                <w:rFonts w:hint="eastAsia" w:ascii="宋体" w:hAnsi="宋体" w:cs="宋体"/>
                <w:snapToGrid w:val="0"/>
                <w:color w:val="auto"/>
                <w:sz w:val="21"/>
                <w:szCs w:val="21"/>
                <w:highlight w:val="none"/>
                <w:vertAlign w:val="subscript"/>
              </w:rPr>
              <w:t>2.5</w:t>
            </w:r>
            <w:r>
              <w:rPr>
                <w:rFonts w:hint="eastAsia" w:ascii="宋体" w:hAnsi="宋体" w:cs="宋体"/>
                <w:snapToGrid w:val="0"/>
                <w:color w:val="auto"/>
                <w:sz w:val="21"/>
                <w:szCs w:val="21"/>
                <w:highlight w:val="none"/>
              </w:rPr>
              <w:t>、O</w:t>
            </w:r>
            <w:r>
              <w:rPr>
                <w:rFonts w:hint="eastAsia" w:ascii="宋体" w:hAnsi="宋体" w:cs="宋体"/>
                <w:snapToGrid w:val="0"/>
                <w:color w:val="auto"/>
                <w:sz w:val="21"/>
                <w:szCs w:val="21"/>
                <w:highlight w:val="none"/>
                <w:vertAlign w:val="subscript"/>
              </w:rPr>
              <w:t>3</w:t>
            </w:r>
            <w:r>
              <w:rPr>
                <w:rFonts w:hint="eastAsia" w:ascii="宋体" w:hAnsi="宋体" w:cs="宋体"/>
                <w:snapToGrid w:val="0"/>
                <w:color w:val="auto"/>
                <w:sz w:val="21"/>
                <w:szCs w:val="21"/>
                <w:highlight w:val="none"/>
              </w:rPr>
              <w:t>6项指标自动监测仪器及动态校准仪、零气发生器用作备机，需提供备机的采购合同，并与招标文件中要求的数量一致得8分，缺任一参数扣1分，扣完为止。（仪器生产厂家需提供相关持有证明，非仪器生产厂家需提供采购合同）</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8</w:t>
            </w:r>
          </w:p>
        </w:tc>
      </w:tr>
      <w:tr>
        <w:tblPrEx>
          <w:tblCellMar>
            <w:top w:w="0" w:type="dxa"/>
            <w:left w:w="108" w:type="dxa"/>
            <w:bottom w:w="0" w:type="dxa"/>
            <w:right w:w="108" w:type="dxa"/>
          </w:tblCellMar>
        </w:tblPrEx>
        <w:trPr>
          <w:trHeight w:val="303" w:hRule="atLeast"/>
          <w:jc w:val="center"/>
        </w:trPr>
        <w:tc>
          <w:tcPr>
            <w:tcW w:w="578"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snapToGrid w:val="0"/>
                <w:color w:val="auto"/>
                <w:szCs w:val="21"/>
                <w:highlight w:val="none"/>
              </w:rPr>
            </w:pPr>
          </w:p>
        </w:tc>
        <w:tc>
          <w:tcPr>
            <w:tcW w:w="4021" w:type="pct"/>
            <w:tcBorders>
              <w:top w:val="nil"/>
              <w:left w:val="nil"/>
              <w:bottom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投标人应提供必要的质量控制设备用于开展运维工作，包括流量计、标准气压计、温度计、臭氧校准仪及标准气体等，已采购（需提供合同）且与招标文件中要求的数量一致得10分，承诺中标后购置的得2分。（注：投标文件中提供设备的采购发票或采购合同复印件。）</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10</w:t>
            </w:r>
          </w:p>
        </w:tc>
      </w:tr>
      <w:tr>
        <w:tblPrEx>
          <w:tblCellMar>
            <w:top w:w="0" w:type="dxa"/>
            <w:left w:w="108" w:type="dxa"/>
            <w:bottom w:w="0" w:type="dxa"/>
            <w:right w:w="108" w:type="dxa"/>
          </w:tblCellMar>
        </w:tblPrEx>
        <w:trPr>
          <w:trHeight w:val="380" w:hRule="atLeast"/>
          <w:jc w:val="center"/>
        </w:trPr>
        <w:tc>
          <w:tcPr>
            <w:tcW w:w="4599" w:type="pct"/>
            <w:gridSpan w:val="2"/>
            <w:tcBorders>
              <w:top w:val="single" w:color="auto" w:sz="4" w:space="0"/>
              <w:left w:val="single" w:color="auto" w:sz="4" w:space="0"/>
              <w:bottom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企业资质、信誉、业绩</w:t>
            </w:r>
          </w:p>
        </w:tc>
        <w:tc>
          <w:tcPr>
            <w:tcW w:w="400" w:type="pct"/>
            <w:tcBorders>
              <w:top w:val="single" w:color="auto" w:sz="4" w:space="0"/>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30</w:t>
            </w:r>
          </w:p>
        </w:tc>
      </w:tr>
      <w:tr>
        <w:tblPrEx>
          <w:tblCellMar>
            <w:top w:w="0" w:type="dxa"/>
            <w:left w:w="108" w:type="dxa"/>
            <w:bottom w:w="0" w:type="dxa"/>
            <w:right w:w="108" w:type="dxa"/>
          </w:tblCellMar>
        </w:tblPrEx>
        <w:trPr>
          <w:trHeight w:val="269" w:hRule="atLeast"/>
          <w:jc w:val="center"/>
        </w:trPr>
        <w:tc>
          <w:tcPr>
            <w:tcW w:w="578" w:type="pct"/>
            <w:vMerge w:val="restart"/>
            <w:tcBorders>
              <w:top w:val="nil"/>
              <w:left w:val="single" w:color="auto" w:sz="4" w:space="0"/>
              <w:bottom w:val="single" w:color="000000"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企业资质、信誉、业绩</w:t>
            </w:r>
          </w:p>
        </w:tc>
        <w:tc>
          <w:tcPr>
            <w:tcW w:w="4021" w:type="pct"/>
            <w:tcBorders>
              <w:top w:val="nil"/>
              <w:left w:val="nil"/>
              <w:bottom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根据投标人提供的环境管理体系认证证书、质量管理体系认证证书、职业健康安全体系认证证书、信息安全管理体系认证证书的每个得1分，最高得4分。（提供证书复印件加盖公章）</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4</w:t>
            </w:r>
          </w:p>
        </w:tc>
      </w:tr>
      <w:tr>
        <w:tblPrEx>
          <w:tblCellMar>
            <w:top w:w="0" w:type="dxa"/>
            <w:left w:w="108" w:type="dxa"/>
            <w:bottom w:w="0" w:type="dxa"/>
            <w:right w:w="108" w:type="dxa"/>
          </w:tblCellMar>
        </w:tblPrEx>
        <w:trPr>
          <w:trHeight w:val="525" w:hRule="atLeast"/>
          <w:jc w:val="center"/>
        </w:trPr>
        <w:tc>
          <w:tcPr>
            <w:tcW w:w="578"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snapToGrid w:val="0"/>
                <w:color w:val="auto"/>
                <w:szCs w:val="21"/>
                <w:highlight w:val="none"/>
              </w:rPr>
            </w:pPr>
          </w:p>
        </w:tc>
        <w:tc>
          <w:tcPr>
            <w:tcW w:w="4021" w:type="pct"/>
            <w:tcBorders>
              <w:top w:val="nil"/>
              <w:left w:val="nil"/>
              <w:bottom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提供投标人2020年1月1日以来有空气自动监测站维护合同或证明：每提供一份合同得2分，本项最高10分。（投标文件中须提供中标通知书、业绩合同复印件，否则不得分）</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10</w:t>
            </w:r>
          </w:p>
        </w:tc>
      </w:tr>
      <w:tr>
        <w:tblPrEx>
          <w:tblCellMar>
            <w:top w:w="0" w:type="dxa"/>
            <w:left w:w="108" w:type="dxa"/>
            <w:bottom w:w="0" w:type="dxa"/>
            <w:right w:w="108" w:type="dxa"/>
          </w:tblCellMar>
        </w:tblPrEx>
        <w:trPr>
          <w:trHeight w:val="525" w:hRule="atLeast"/>
          <w:jc w:val="center"/>
        </w:trPr>
        <w:tc>
          <w:tcPr>
            <w:tcW w:w="578"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snapToGrid w:val="0"/>
                <w:color w:val="auto"/>
                <w:szCs w:val="21"/>
                <w:highlight w:val="none"/>
              </w:rPr>
            </w:pPr>
          </w:p>
        </w:tc>
        <w:tc>
          <w:tcPr>
            <w:tcW w:w="4021" w:type="pct"/>
            <w:tcBorders>
              <w:top w:val="nil"/>
              <w:left w:val="nil"/>
              <w:bottom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提供投标人2020年1月1日以来有大气超级站运维或销售合同或证明：每提供一份合同得2分，本项最高6分。（投标文件中须提供中标通知书、业绩合同复印件，否则不得分）</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6</w:t>
            </w:r>
          </w:p>
        </w:tc>
      </w:tr>
      <w:tr>
        <w:tblPrEx>
          <w:tblCellMar>
            <w:top w:w="0" w:type="dxa"/>
            <w:left w:w="108" w:type="dxa"/>
            <w:bottom w:w="0" w:type="dxa"/>
            <w:right w:w="108" w:type="dxa"/>
          </w:tblCellMar>
        </w:tblPrEx>
        <w:trPr>
          <w:trHeight w:val="90" w:hRule="atLeast"/>
          <w:jc w:val="center"/>
        </w:trPr>
        <w:tc>
          <w:tcPr>
            <w:tcW w:w="578"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snapToGrid w:val="0"/>
                <w:color w:val="auto"/>
                <w:szCs w:val="21"/>
                <w:highlight w:val="none"/>
              </w:rPr>
            </w:pPr>
          </w:p>
        </w:tc>
        <w:tc>
          <w:tcPr>
            <w:tcW w:w="4021" w:type="pct"/>
            <w:tcBorders>
              <w:top w:val="nil"/>
              <w:left w:val="nil"/>
              <w:bottom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质控实验室6分：</w:t>
            </w:r>
          </w:p>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投标人本身在省内自有用于质量控制的CMA实验室（认证范围需包含二氧化硫、二氧化氮、一氧化碳、PM</w:t>
            </w:r>
            <w:r>
              <w:rPr>
                <w:rFonts w:hint="eastAsia" w:ascii="宋体" w:hAnsi="宋体" w:cs="宋体"/>
                <w:snapToGrid w:val="0"/>
                <w:color w:val="auto"/>
                <w:sz w:val="21"/>
                <w:szCs w:val="21"/>
                <w:highlight w:val="none"/>
                <w:vertAlign w:val="subscript"/>
              </w:rPr>
              <w:t>10</w:t>
            </w:r>
            <w:r>
              <w:rPr>
                <w:rFonts w:hint="eastAsia" w:ascii="宋体" w:hAnsi="宋体" w:cs="宋体"/>
                <w:snapToGrid w:val="0"/>
                <w:color w:val="auto"/>
                <w:sz w:val="21"/>
                <w:szCs w:val="21"/>
                <w:highlight w:val="none"/>
              </w:rPr>
              <w:t>PM</w:t>
            </w:r>
            <w:r>
              <w:rPr>
                <w:rFonts w:hint="eastAsia" w:ascii="宋体" w:hAnsi="宋体" w:cs="宋体"/>
                <w:snapToGrid w:val="0"/>
                <w:color w:val="auto"/>
                <w:sz w:val="21"/>
                <w:szCs w:val="21"/>
                <w:highlight w:val="none"/>
                <w:vertAlign w:val="subscript"/>
              </w:rPr>
              <w:t>2.5</w:t>
            </w:r>
            <w:r>
              <w:rPr>
                <w:rFonts w:hint="eastAsia" w:ascii="宋体" w:hAnsi="宋体" w:cs="宋体"/>
                <w:snapToGrid w:val="0"/>
                <w:color w:val="auto"/>
                <w:sz w:val="21"/>
                <w:szCs w:val="21"/>
                <w:highlight w:val="none"/>
              </w:rPr>
              <w:t>臭氧）得6分；（须提供实验室资质证书及涵盖本项目指标的计量认证复印件并加盖公章，否则不予计分）；投标人无自有实验室，在省内有委托的（提供的CMA资质认定证书上单位名称和投标人不一致的，均视为委托实验室）得3分；承诺中标后3个月内建立CMA实验室的得1分（提供承诺书原件）。没有委托实验室且未承诺建立的不得分。</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6</w:t>
            </w:r>
          </w:p>
        </w:tc>
      </w:tr>
      <w:tr>
        <w:tblPrEx>
          <w:tblCellMar>
            <w:top w:w="0" w:type="dxa"/>
            <w:left w:w="108" w:type="dxa"/>
            <w:bottom w:w="0" w:type="dxa"/>
            <w:right w:w="108" w:type="dxa"/>
          </w:tblCellMar>
        </w:tblPrEx>
        <w:trPr>
          <w:trHeight w:val="259" w:hRule="atLeast"/>
          <w:jc w:val="center"/>
        </w:trPr>
        <w:tc>
          <w:tcPr>
            <w:tcW w:w="578" w:type="pct"/>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snapToGrid w:val="0"/>
                <w:color w:val="auto"/>
                <w:szCs w:val="21"/>
                <w:highlight w:val="none"/>
              </w:rPr>
            </w:pPr>
          </w:p>
        </w:tc>
        <w:tc>
          <w:tcPr>
            <w:tcW w:w="4021" w:type="pct"/>
            <w:tcBorders>
              <w:top w:val="nil"/>
              <w:left w:val="nil"/>
              <w:bottom w:val="single" w:color="auto" w:sz="4" w:space="0"/>
              <w:right w:val="single" w:color="auto" w:sz="4" w:space="0"/>
            </w:tcBorders>
            <w:vAlign w:val="center"/>
          </w:tcPr>
          <w:p>
            <w:pPr>
              <w:rPr>
                <w:rFonts w:ascii="宋体" w:hAnsi="宋体" w:cs="宋体"/>
                <w:snapToGrid w:val="0"/>
                <w:color w:val="auto"/>
                <w:szCs w:val="21"/>
                <w:highlight w:val="none"/>
              </w:rPr>
            </w:pPr>
            <w:r>
              <w:rPr>
                <w:rFonts w:hint="eastAsia" w:ascii="宋体" w:hAnsi="宋体" w:cs="宋体"/>
                <w:snapToGrid w:val="0"/>
                <w:color w:val="auto"/>
                <w:szCs w:val="21"/>
                <w:highlight w:val="none"/>
              </w:rPr>
              <w:t>2020年1月1日以来，投标人为环境管理提供技术支撑，承担或参与环境管理有关的课题的，每提供一个加2分，本项最高4分。（投标文件中须提供业绩合同或立项证明，否则不得分）</w:t>
            </w:r>
          </w:p>
        </w:tc>
        <w:tc>
          <w:tcPr>
            <w:tcW w:w="400" w:type="pct"/>
            <w:tcBorders>
              <w:top w:val="nil"/>
              <w:left w:val="nil"/>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4</w:t>
            </w:r>
          </w:p>
        </w:tc>
      </w:tr>
      <w:tr>
        <w:tblPrEx>
          <w:tblCellMar>
            <w:top w:w="0" w:type="dxa"/>
            <w:left w:w="108" w:type="dxa"/>
            <w:bottom w:w="0" w:type="dxa"/>
            <w:right w:w="108" w:type="dxa"/>
          </w:tblCellMar>
        </w:tblPrEx>
        <w:trPr>
          <w:trHeight w:val="464" w:hRule="atLeast"/>
          <w:jc w:val="center"/>
        </w:trPr>
        <w:tc>
          <w:tcPr>
            <w:tcW w:w="578" w:type="pct"/>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napToGrid w:val="0"/>
                <w:color w:val="auto"/>
                <w:szCs w:val="21"/>
                <w:highlight w:val="none"/>
              </w:rPr>
            </w:pPr>
          </w:p>
        </w:tc>
        <w:tc>
          <w:tcPr>
            <w:tcW w:w="4021" w:type="pct"/>
            <w:tcBorders>
              <w:top w:val="single" w:color="auto" w:sz="4" w:space="0"/>
              <w:left w:val="single" w:color="auto" w:sz="4" w:space="0"/>
              <w:bottom w:val="single" w:color="auto" w:sz="4" w:space="0"/>
              <w:right w:val="single" w:color="auto" w:sz="4" w:space="0"/>
            </w:tcBorders>
            <w:vAlign w:val="center"/>
          </w:tcPr>
          <w:p>
            <w:pPr>
              <w:pStyle w:val="191"/>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合计</w:t>
            </w:r>
          </w:p>
        </w:tc>
        <w:tc>
          <w:tcPr>
            <w:tcW w:w="400" w:type="pct"/>
            <w:tcBorders>
              <w:top w:val="single" w:color="auto" w:sz="4" w:space="0"/>
              <w:left w:val="single" w:color="auto" w:sz="4" w:space="0"/>
              <w:bottom w:val="single" w:color="auto" w:sz="4" w:space="0"/>
              <w:right w:val="single" w:color="auto" w:sz="4" w:space="0"/>
            </w:tcBorders>
            <w:vAlign w:val="center"/>
          </w:tcPr>
          <w:p>
            <w:pPr>
              <w:pStyle w:val="191"/>
              <w:jc w:val="center"/>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100</w:t>
            </w:r>
          </w:p>
        </w:tc>
      </w:tr>
    </w:tbl>
    <w:p>
      <w:pPr>
        <w:rPr>
          <w:b/>
          <w:bCs/>
          <w:color w:val="auto"/>
          <w:sz w:val="22"/>
          <w:szCs w:val="28"/>
          <w:highlight w:val="none"/>
        </w:rPr>
      </w:pPr>
    </w:p>
    <w:p>
      <w:pPr>
        <w:pStyle w:val="23"/>
        <w:spacing w:line="360" w:lineRule="auto"/>
        <w:rPr>
          <w:rFonts w:ascii="Times New Roman" w:cstheme="minorBidi"/>
          <w:b/>
          <w:color w:val="auto"/>
          <w:szCs w:val="21"/>
          <w:highlight w:val="none"/>
        </w:rPr>
      </w:pPr>
      <w:r>
        <w:rPr>
          <w:rFonts w:hint="eastAsia" w:ascii="Times New Roman" w:cstheme="minorBidi"/>
          <w:b/>
          <w:color w:val="auto"/>
          <w:szCs w:val="21"/>
          <w:highlight w:val="none"/>
        </w:rPr>
        <w:t>包</w:t>
      </w:r>
      <w:r>
        <w:rPr>
          <w:rFonts w:ascii="Times New Roman" w:cstheme="minorBidi"/>
          <w:b/>
          <w:color w:val="auto"/>
          <w:szCs w:val="21"/>
          <w:highlight w:val="none"/>
        </w:rPr>
        <w:t>2</w:t>
      </w:r>
      <w:r>
        <w:rPr>
          <w:rFonts w:hint="eastAsia" w:ascii="Times New Roman" w:cstheme="minorBidi"/>
          <w:b/>
          <w:color w:val="auto"/>
          <w:szCs w:val="21"/>
          <w:highlight w:val="none"/>
        </w:rPr>
        <w:t>、包3：省中心及汾湖超站新增大型仪器运维服务：</w:t>
      </w:r>
    </w:p>
    <w:tbl>
      <w:tblPr>
        <w:tblStyle w:val="44"/>
        <w:tblW w:w="8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7246"/>
        <w:gridCol w:w="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4" w:hRule="atLeast"/>
          <w:jc w:val="center"/>
        </w:trPr>
        <w:tc>
          <w:tcPr>
            <w:tcW w:w="8109" w:type="dxa"/>
            <w:gridSpan w:val="2"/>
            <w:vAlign w:val="center"/>
          </w:tcPr>
          <w:p>
            <w:pPr>
              <w:rPr>
                <w:rFonts w:ascii="宋体" w:hAnsi="宋体" w:cs="宋体"/>
                <w:color w:val="auto"/>
                <w:highlight w:val="none"/>
              </w:rPr>
            </w:pPr>
            <w:r>
              <w:rPr>
                <w:rFonts w:hint="eastAsia" w:ascii="宋体" w:hAnsi="宋体" w:cs="宋体"/>
                <w:color w:val="auto"/>
                <w:highlight w:val="none"/>
              </w:rPr>
              <w:t>专家根据投标人投标价格、技术服务、企业资质、信誉、业绩等三个方面，满分100分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4" w:hRule="atLeast"/>
          <w:jc w:val="center"/>
        </w:trPr>
        <w:tc>
          <w:tcPr>
            <w:tcW w:w="8109" w:type="dxa"/>
            <w:gridSpan w:val="2"/>
            <w:vAlign w:val="center"/>
          </w:tcPr>
          <w:p>
            <w:pPr>
              <w:rPr>
                <w:rFonts w:ascii="宋体" w:hAnsi="宋体" w:cs="宋体"/>
                <w:color w:val="auto"/>
                <w:highlight w:val="none"/>
              </w:rPr>
            </w:pPr>
            <w:r>
              <w:rPr>
                <w:rFonts w:hint="eastAsia" w:ascii="宋体" w:hAnsi="宋体" w:cs="宋体"/>
                <w:color w:val="auto"/>
                <w:highlight w:val="none"/>
              </w:rPr>
              <w:t>价格分：满足招标文件要求且投标价格最低的投标报价为评标基准价，其价格分为满分。其他投标人的价格分统一按照下列公式计算：投标报价得分=(评标基准价／投标报价)×15</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8109" w:type="dxa"/>
            <w:gridSpan w:val="2"/>
            <w:vAlign w:val="center"/>
          </w:tcPr>
          <w:p>
            <w:pPr>
              <w:rPr>
                <w:rFonts w:ascii="宋体" w:hAnsi="宋体" w:cs="宋体"/>
                <w:color w:val="auto"/>
                <w:highlight w:val="none"/>
              </w:rPr>
            </w:pPr>
            <w:r>
              <w:rPr>
                <w:rFonts w:hint="eastAsia" w:ascii="宋体" w:hAnsi="宋体" w:cs="宋体"/>
                <w:color w:val="auto"/>
                <w:highlight w:val="none"/>
              </w:rPr>
              <w:t>技术服务</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863" w:type="dxa"/>
            <w:vMerge w:val="restart"/>
            <w:vAlign w:val="center"/>
          </w:tcPr>
          <w:p>
            <w:pPr>
              <w:rPr>
                <w:rFonts w:ascii="宋体" w:hAnsi="宋体" w:cs="宋体"/>
                <w:color w:val="auto"/>
                <w:highlight w:val="none"/>
              </w:rPr>
            </w:pPr>
            <w:r>
              <w:rPr>
                <w:rFonts w:hint="eastAsia" w:ascii="宋体" w:hAnsi="宋体" w:cs="宋体"/>
                <w:color w:val="auto"/>
                <w:highlight w:val="none"/>
              </w:rPr>
              <w:t>机构人员与车辆配置</w:t>
            </w:r>
          </w:p>
        </w:tc>
        <w:tc>
          <w:tcPr>
            <w:tcW w:w="7246" w:type="dxa"/>
            <w:vAlign w:val="center"/>
          </w:tcPr>
          <w:p>
            <w:pPr>
              <w:rPr>
                <w:rFonts w:ascii="宋体" w:hAnsi="宋体" w:cs="宋体"/>
                <w:color w:val="auto"/>
                <w:highlight w:val="none"/>
              </w:rPr>
            </w:pPr>
            <w:r>
              <w:rPr>
                <w:rFonts w:hint="eastAsia" w:ascii="宋体" w:hAnsi="宋体" w:cs="宋体"/>
                <w:color w:val="auto"/>
                <w:highlight w:val="none"/>
              </w:rPr>
              <w:t>投标人需具备本地化运维服务能力，在服务区域3小时车程范围内至少设立1个技术支持机构，根据投标人提供的本地化服务方案，优于采购文件需求，本地化服务便于高效开展得4分；基本满足采购文件需求，高效开展本地化服务存在一定不足得1分；没有不得分。（须提供已有技术支持能力的证明材料）</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6" w:hRule="atLeast"/>
          <w:jc w:val="center"/>
        </w:trPr>
        <w:tc>
          <w:tcPr>
            <w:tcW w:w="863" w:type="dxa"/>
            <w:vMerge w:val="continue"/>
            <w:vAlign w:val="center"/>
          </w:tcPr>
          <w:p>
            <w:pPr>
              <w:rPr>
                <w:rFonts w:ascii="宋体" w:hAnsi="宋体" w:cs="宋体"/>
                <w:color w:val="auto"/>
                <w:highlight w:val="none"/>
              </w:rPr>
            </w:pPr>
          </w:p>
        </w:tc>
        <w:tc>
          <w:tcPr>
            <w:tcW w:w="7246" w:type="dxa"/>
            <w:vAlign w:val="center"/>
          </w:tcPr>
          <w:p>
            <w:pPr>
              <w:rPr>
                <w:rFonts w:ascii="宋体" w:hAnsi="宋体" w:cs="宋体"/>
                <w:color w:val="auto"/>
                <w:highlight w:val="none"/>
              </w:rPr>
            </w:pPr>
            <w:r>
              <w:rPr>
                <w:rFonts w:hint="eastAsia" w:ascii="宋体" w:hAnsi="宋体" w:cs="宋体"/>
                <w:color w:val="auto"/>
                <w:highlight w:val="none"/>
              </w:rPr>
              <w:t>投标人指定1名人员负责所投设备运行维护，提供相关人员在职信息（劳动合同），得1分，工作时间3年至5年得2分，超过5年得3分。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863" w:type="dxa"/>
            <w:vMerge w:val="continue"/>
            <w:vAlign w:val="center"/>
          </w:tcPr>
          <w:p>
            <w:pPr>
              <w:rPr>
                <w:rFonts w:ascii="宋体" w:hAnsi="宋体" w:cs="宋体"/>
                <w:color w:val="auto"/>
                <w:highlight w:val="none"/>
              </w:rPr>
            </w:pPr>
          </w:p>
        </w:tc>
        <w:tc>
          <w:tcPr>
            <w:tcW w:w="7246" w:type="dxa"/>
            <w:vAlign w:val="center"/>
          </w:tcPr>
          <w:p>
            <w:pPr>
              <w:rPr>
                <w:rFonts w:ascii="宋体" w:hAnsi="宋体" w:cs="宋体"/>
                <w:color w:val="auto"/>
                <w:highlight w:val="none"/>
              </w:rPr>
            </w:pPr>
            <w:r>
              <w:rPr>
                <w:rFonts w:hint="eastAsia" w:ascii="宋体" w:hAnsi="宋体" w:cs="宋体"/>
                <w:color w:val="auto"/>
                <w:highlight w:val="none"/>
              </w:rPr>
              <w:t>从事本项目运维技术人员学历均达本科得2分；其中含有硕士或高级工程师职称者，加3分。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863" w:type="dxa"/>
            <w:vMerge w:val="continue"/>
            <w:vAlign w:val="center"/>
          </w:tcPr>
          <w:p>
            <w:pPr>
              <w:rPr>
                <w:rFonts w:ascii="宋体" w:hAnsi="宋体" w:cs="宋体"/>
                <w:color w:val="auto"/>
                <w:highlight w:val="none"/>
              </w:rPr>
            </w:pPr>
          </w:p>
        </w:tc>
        <w:tc>
          <w:tcPr>
            <w:tcW w:w="7246" w:type="dxa"/>
            <w:vAlign w:val="center"/>
          </w:tcPr>
          <w:p>
            <w:pPr>
              <w:rPr>
                <w:rFonts w:ascii="宋体" w:hAnsi="宋体" w:cs="宋体"/>
                <w:color w:val="auto"/>
                <w:highlight w:val="none"/>
              </w:rPr>
            </w:pPr>
            <w:r>
              <w:rPr>
                <w:rFonts w:hint="eastAsia" w:ascii="宋体" w:hAnsi="宋体" w:cs="宋体"/>
                <w:color w:val="auto"/>
                <w:highlight w:val="none"/>
              </w:rPr>
              <w:t>从事本项目运维技术人员需具备所投产品生产厂出具的培训证明，每提供一份证明得1分，最高4分。（同一分包内有多台仪器，需提供该分包所有仪器的培训证明，每少一台扣1分）。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8" w:hRule="atLeast"/>
          <w:jc w:val="center"/>
        </w:trPr>
        <w:tc>
          <w:tcPr>
            <w:tcW w:w="863" w:type="dxa"/>
            <w:vMerge w:val="continue"/>
            <w:vAlign w:val="center"/>
          </w:tcPr>
          <w:p>
            <w:pPr>
              <w:rPr>
                <w:rFonts w:ascii="宋体" w:hAnsi="宋体" w:cs="宋体"/>
                <w:color w:val="auto"/>
                <w:highlight w:val="none"/>
              </w:rPr>
            </w:pPr>
          </w:p>
        </w:tc>
        <w:tc>
          <w:tcPr>
            <w:tcW w:w="7246" w:type="dxa"/>
            <w:vAlign w:val="center"/>
          </w:tcPr>
          <w:p>
            <w:pPr>
              <w:rPr>
                <w:rFonts w:ascii="宋体" w:hAnsi="宋体" w:cs="宋体"/>
                <w:color w:val="auto"/>
                <w:highlight w:val="none"/>
              </w:rPr>
            </w:pPr>
            <w:r>
              <w:rPr>
                <w:rFonts w:hint="eastAsia" w:ascii="宋体" w:hAnsi="宋体" w:cs="宋体"/>
                <w:color w:val="auto"/>
                <w:highlight w:val="none"/>
              </w:rPr>
              <w:t>投标人为实施本项目至少配置1辆专用车辆的得4分，不满足得0分。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63" w:type="dxa"/>
            <w:vMerge w:val="restart"/>
            <w:vAlign w:val="center"/>
          </w:tcPr>
          <w:p>
            <w:pPr>
              <w:rPr>
                <w:rFonts w:ascii="宋体" w:hAnsi="宋体" w:cs="宋体"/>
                <w:color w:val="auto"/>
                <w:highlight w:val="none"/>
              </w:rPr>
            </w:pPr>
            <w:r>
              <w:rPr>
                <w:rFonts w:hint="eastAsia" w:ascii="宋体" w:hAnsi="宋体" w:cs="宋体"/>
                <w:color w:val="auto"/>
                <w:highlight w:val="none"/>
              </w:rPr>
              <w:t>运维服务方案及技术要求响应情况</w:t>
            </w:r>
          </w:p>
        </w:tc>
        <w:tc>
          <w:tcPr>
            <w:tcW w:w="7246" w:type="dxa"/>
            <w:vAlign w:val="center"/>
          </w:tcPr>
          <w:p>
            <w:pPr>
              <w:rPr>
                <w:rFonts w:ascii="宋体" w:hAnsi="宋体" w:cs="宋体"/>
                <w:color w:val="auto"/>
                <w:highlight w:val="none"/>
              </w:rPr>
            </w:pPr>
            <w:r>
              <w:rPr>
                <w:rFonts w:hint="eastAsia" w:ascii="宋体" w:hAnsi="宋体" w:cs="宋体"/>
                <w:color w:val="auto"/>
                <w:highlight w:val="none"/>
                <w:lang w:val="zh-CN"/>
              </w:rPr>
              <w:t>对招标文件技术要求的响应程度：全部响应即满足招标文件技术指标、参数要求的得15分，每负偏离1项扣1分，扣完为止。</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63" w:type="dxa"/>
            <w:vMerge w:val="continue"/>
            <w:vAlign w:val="center"/>
          </w:tcPr>
          <w:p>
            <w:pPr>
              <w:rPr>
                <w:rFonts w:ascii="宋体" w:hAnsi="宋体" w:cs="宋体"/>
                <w:color w:val="auto"/>
                <w:highlight w:val="none"/>
              </w:rPr>
            </w:pPr>
          </w:p>
        </w:tc>
        <w:tc>
          <w:tcPr>
            <w:tcW w:w="7246" w:type="dxa"/>
            <w:vAlign w:val="center"/>
          </w:tcPr>
          <w:p>
            <w:pPr>
              <w:rPr>
                <w:rFonts w:ascii="宋体" w:hAnsi="宋体" w:cs="宋体"/>
                <w:color w:val="auto"/>
                <w:highlight w:val="none"/>
              </w:rPr>
            </w:pPr>
            <w:r>
              <w:rPr>
                <w:rFonts w:hint="eastAsia" w:ascii="宋体" w:hAnsi="宋体" w:cs="宋体"/>
                <w:color w:val="auto"/>
                <w:highlight w:val="none"/>
              </w:rPr>
              <w:t>对投标人的运维管理服务方案进行综合评审评分，依据方案编制的详实程度进行评分，具体方案包括但不限于采购需求运行维护服务所提要求：</w:t>
            </w:r>
          </w:p>
          <w:p>
            <w:pPr>
              <w:rPr>
                <w:rFonts w:ascii="宋体" w:hAnsi="宋体" w:cs="宋体"/>
                <w:color w:val="auto"/>
                <w:highlight w:val="none"/>
              </w:rPr>
            </w:pPr>
            <w:r>
              <w:rPr>
                <w:rFonts w:hint="eastAsia" w:ascii="宋体" w:hAnsi="宋体" w:cs="宋体"/>
                <w:color w:val="auto"/>
                <w:highlight w:val="none"/>
              </w:rPr>
              <w:t>1、对招标需求所要解决的重点问题有突出的优化方案，手段运用丰富的得6分。</w:t>
            </w:r>
          </w:p>
          <w:p>
            <w:pPr>
              <w:rPr>
                <w:rFonts w:ascii="宋体" w:hAnsi="宋体" w:cs="宋体"/>
                <w:color w:val="auto"/>
                <w:highlight w:val="none"/>
              </w:rPr>
            </w:pPr>
            <w:r>
              <w:rPr>
                <w:rFonts w:hint="eastAsia" w:ascii="宋体" w:hAnsi="宋体" w:cs="宋体"/>
                <w:color w:val="auto"/>
                <w:highlight w:val="none"/>
              </w:rPr>
              <w:t>2、对招标需求所要解决的重点问题有明确的解决方案，方案可行的得4分。</w:t>
            </w:r>
          </w:p>
          <w:p>
            <w:pPr>
              <w:rPr>
                <w:rFonts w:ascii="宋体" w:hAnsi="宋体" w:cs="宋体"/>
                <w:color w:val="auto"/>
                <w:highlight w:val="none"/>
              </w:rPr>
            </w:pPr>
            <w:r>
              <w:rPr>
                <w:rFonts w:hint="eastAsia" w:ascii="宋体" w:hAnsi="宋体" w:cs="宋体"/>
                <w:color w:val="auto"/>
                <w:highlight w:val="none"/>
              </w:rPr>
              <w:t>3、对招标需求所要解决的重点问题有解决方案，方案可行的得2分。</w:t>
            </w:r>
          </w:p>
          <w:p>
            <w:pPr>
              <w:rPr>
                <w:rFonts w:ascii="宋体" w:hAnsi="宋体" w:cs="宋体"/>
                <w:color w:val="auto"/>
                <w:highlight w:val="none"/>
              </w:rPr>
            </w:pPr>
            <w:r>
              <w:rPr>
                <w:rFonts w:hint="eastAsia" w:ascii="宋体" w:hAnsi="宋体" w:cs="宋体"/>
                <w:color w:val="auto"/>
                <w:highlight w:val="none"/>
              </w:rPr>
              <w:t>4、对招标需求所要解决的重点问题有解决方案但不完善或存在重大漏项的，无亮点，手段运用不合理的得0分。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6" w:hRule="atLeast"/>
          <w:jc w:val="center"/>
        </w:trPr>
        <w:tc>
          <w:tcPr>
            <w:tcW w:w="863" w:type="dxa"/>
            <w:vMerge w:val="continue"/>
            <w:vAlign w:val="center"/>
          </w:tcPr>
          <w:p>
            <w:pPr>
              <w:rPr>
                <w:rFonts w:ascii="宋体" w:hAnsi="宋体" w:cs="宋体"/>
                <w:color w:val="auto"/>
                <w:highlight w:val="none"/>
              </w:rPr>
            </w:pPr>
          </w:p>
        </w:tc>
        <w:tc>
          <w:tcPr>
            <w:tcW w:w="7246" w:type="dxa"/>
            <w:vAlign w:val="center"/>
          </w:tcPr>
          <w:p>
            <w:pPr>
              <w:rPr>
                <w:rFonts w:ascii="宋体" w:hAnsi="宋体" w:cs="宋体"/>
                <w:color w:val="auto"/>
                <w:highlight w:val="none"/>
              </w:rPr>
            </w:pPr>
            <w:r>
              <w:rPr>
                <w:rFonts w:hint="eastAsia" w:ascii="宋体" w:hAnsi="宋体" w:cs="宋体"/>
                <w:color w:val="auto"/>
                <w:highlight w:val="none"/>
              </w:rPr>
              <w:t>对投标人的质量控制方案进行综合评审评分，依据方案编制的详实程度进行评分，具体方案包括但不限于采购需求运行维护服务所提要求：</w:t>
            </w:r>
          </w:p>
          <w:p>
            <w:pPr>
              <w:rPr>
                <w:rFonts w:ascii="宋体" w:hAnsi="宋体" w:cs="宋体"/>
                <w:color w:val="auto"/>
                <w:highlight w:val="none"/>
              </w:rPr>
            </w:pPr>
            <w:r>
              <w:rPr>
                <w:rFonts w:hint="eastAsia" w:ascii="宋体" w:hAnsi="宋体" w:cs="宋体"/>
                <w:color w:val="auto"/>
                <w:highlight w:val="none"/>
              </w:rPr>
              <w:t>1、对招标需求所要解决的重点问题有突出的优化方案，手段运用丰富的得6分。</w:t>
            </w:r>
          </w:p>
          <w:p>
            <w:pPr>
              <w:rPr>
                <w:rFonts w:ascii="宋体" w:hAnsi="宋体" w:cs="宋体"/>
                <w:color w:val="auto"/>
                <w:highlight w:val="none"/>
              </w:rPr>
            </w:pPr>
            <w:r>
              <w:rPr>
                <w:rFonts w:hint="eastAsia" w:ascii="宋体" w:hAnsi="宋体" w:cs="宋体"/>
                <w:color w:val="auto"/>
                <w:highlight w:val="none"/>
              </w:rPr>
              <w:t>2、对招标需求所要解决的重点问题有明确的解决方案，方案可行的得4分。</w:t>
            </w:r>
          </w:p>
          <w:p>
            <w:pPr>
              <w:rPr>
                <w:rFonts w:ascii="宋体" w:hAnsi="宋体" w:cs="宋体"/>
                <w:color w:val="auto"/>
                <w:highlight w:val="none"/>
              </w:rPr>
            </w:pPr>
            <w:r>
              <w:rPr>
                <w:rFonts w:hint="eastAsia" w:ascii="宋体" w:hAnsi="宋体" w:cs="宋体"/>
                <w:color w:val="auto"/>
                <w:highlight w:val="none"/>
              </w:rPr>
              <w:t>3、对招标需求所要解决的重点问题有解决方案，方案可行的得2分。</w:t>
            </w:r>
          </w:p>
          <w:p>
            <w:pPr>
              <w:rPr>
                <w:rFonts w:ascii="宋体" w:hAnsi="宋体" w:cs="宋体"/>
                <w:color w:val="auto"/>
                <w:highlight w:val="none"/>
              </w:rPr>
            </w:pPr>
            <w:r>
              <w:rPr>
                <w:rFonts w:hint="eastAsia" w:ascii="宋体" w:hAnsi="宋体" w:cs="宋体"/>
                <w:color w:val="auto"/>
                <w:highlight w:val="none"/>
              </w:rPr>
              <w:t>4、对招标需求所要解决的重点问题有解决方案但不完善或存在重大漏项的，无亮点，手段运用不合理的得0分。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863" w:type="dxa"/>
            <w:vMerge w:val="continue"/>
            <w:vAlign w:val="center"/>
          </w:tcPr>
          <w:p>
            <w:pPr>
              <w:rPr>
                <w:rFonts w:ascii="宋体" w:hAnsi="宋体" w:cs="宋体"/>
                <w:color w:val="auto"/>
                <w:highlight w:val="none"/>
              </w:rPr>
            </w:pPr>
          </w:p>
        </w:tc>
        <w:tc>
          <w:tcPr>
            <w:tcW w:w="7246" w:type="dxa"/>
            <w:vAlign w:val="center"/>
          </w:tcPr>
          <w:p>
            <w:pPr>
              <w:rPr>
                <w:rFonts w:ascii="宋体" w:hAnsi="宋体" w:cs="宋体"/>
                <w:color w:val="auto"/>
                <w:highlight w:val="none"/>
              </w:rPr>
            </w:pPr>
            <w:r>
              <w:rPr>
                <w:rFonts w:hint="eastAsia" w:ascii="宋体" w:hAnsi="宋体" w:cs="宋体"/>
                <w:color w:val="auto"/>
                <w:highlight w:val="none"/>
              </w:rPr>
              <w:t>对投标人的应急服务保障方案进行综合评审评分，依据方案编制的详实程度进行评分，具体方案包括但不限于采购需求运行维护服务所提要求：</w:t>
            </w:r>
          </w:p>
          <w:p>
            <w:pPr>
              <w:rPr>
                <w:rFonts w:ascii="宋体" w:hAnsi="宋体" w:cs="宋体"/>
                <w:color w:val="auto"/>
                <w:highlight w:val="none"/>
              </w:rPr>
            </w:pPr>
            <w:r>
              <w:rPr>
                <w:rFonts w:hint="eastAsia" w:ascii="宋体" w:hAnsi="宋体" w:cs="宋体"/>
                <w:color w:val="auto"/>
                <w:highlight w:val="none"/>
              </w:rPr>
              <w:t>1、对招标需求所要解决的重点问题有突出的优化方案，手段运用丰富的得6分。</w:t>
            </w:r>
          </w:p>
          <w:p>
            <w:pPr>
              <w:rPr>
                <w:rFonts w:ascii="宋体" w:hAnsi="宋体" w:cs="宋体"/>
                <w:color w:val="auto"/>
                <w:highlight w:val="none"/>
              </w:rPr>
            </w:pPr>
            <w:r>
              <w:rPr>
                <w:rFonts w:hint="eastAsia" w:ascii="宋体" w:hAnsi="宋体" w:cs="宋体"/>
                <w:color w:val="auto"/>
                <w:highlight w:val="none"/>
              </w:rPr>
              <w:t>2、对招标需求所要解决的重点问题有明确的解决方案，方案可行的得4分。</w:t>
            </w:r>
          </w:p>
          <w:p>
            <w:pPr>
              <w:rPr>
                <w:rFonts w:ascii="宋体" w:hAnsi="宋体" w:cs="宋体"/>
                <w:color w:val="auto"/>
                <w:highlight w:val="none"/>
              </w:rPr>
            </w:pPr>
            <w:r>
              <w:rPr>
                <w:rFonts w:hint="eastAsia" w:ascii="宋体" w:hAnsi="宋体" w:cs="宋体"/>
                <w:color w:val="auto"/>
                <w:highlight w:val="none"/>
              </w:rPr>
              <w:t>3、对招标需求所要解决的重点问题有解决方案，方案可行的得2分。</w:t>
            </w:r>
          </w:p>
          <w:p>
            <w:pPr>
              <w:rPr>
                <w:rFonts w:ascii="宋体" w:hAnsi="宋体" w:cs="宋体"/>
                <w:color w:val="auto"/>
                <w:highlight w:val="none"/>
              </w:rPr>
            </w:pPr>
            <w:r>
              <w:rPr>
                <w:rFonts w:hint="eastAsia" w:ascii="宋体" w:hAnsi="宋体" w:cs="宋体"/>
                <w:color w:val="auto"/>
                <w:highlight w:val="none"/>
              </w:rPr>
              <w:t>4、对招标需求所要解决的重点问题有解决方案但不完善或存在重大漏项的，无亮点，手段运用不合理的得0分。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863" w:type="dxa"/>
            <w:vMerge w:val="continue"/>
            <w:vAlign w:val="center"/>
          </w:tcPr>
          <w:p>
            <w:pPr>
              <w:rPr>
                <w:rFonts w:ascii="宋体" w:hAnsi="宋体" w:cs="宋体"/>
                <w:color w:val="auto"/>
                <w:highlight w:val="none"/>
              </w:rPr>
            </w:pPr>
          </w:p>
        </w:tc>
        <w:tc>
          <w:tcPr>
            <w:tcW w:w="7246" w:type="dxa"/>
            <w:vAlign w:val="center"/>
          </w:tcPr>
          <w:p>
            <w:pPr>
              <w:rPr>
                <w:rFonts w:ascii="宋体" w:hAnsi="宋体" w:cs="宋体"/>
                <w:color w:val="auto"/>
                <w:highlight w:val="none"/>
              </w:rPr>
            </w:pPr>
            <w:r>
              <w:rPr>
                <w:rFonts w:hint="eastAsia" w:ascii="宋体" w:hAnsi="宋体" w:cs="宋体"/>
                <w:color w:val="auto"/>
                <w:highlight w:val="none"/>
              </w:rPr>
              <w:t>投标人具备完整的运维人员管理方案，得2分；具备完整的运维人员培训方案得2分。每个方案不完整或者不合理扣1分。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63" w:type="dxa"/>
            <w:vMerge w:val="continue"/>
            <w:vAlign w:val="center"/>
          </w:tcPr>
          <w:p>
            <w:pPr>
              <w:rPr>
                <w:rFonts w:ascii="宋体" w:hAnsi="宋体" w:cs="宋体"/>
                <w:color w:val="auto"/>
                <w:highlight w:val="none"/>
              </w:rPr>
            </w:pPr>
          </w:p>
        </w:tc>
        <w:tc>
          <w:tcPr>
            <w:tcW w:w="7246" w:type="dxa"/>
            <w:vAlign w:val="center"/>
          </w:tcPr>
          <w:p>
            <w:pPr>
              <w:rPr>
                <w:rFonts w:ascii="宋体" w:hAnsi="宋体" w:cs="宋体"/>
                <w:color w:val="auto"/>
                <w:highlight w:val="none"/>
              </w:rPr>
            </w:pPr>
            <w:r>
              <w:rPr>
                <w:rFonts w:hint="eastAsia" w:ascii="宋体" w:hAnsi="宋体" w:cs="宋体"/>
                <w:color w:val="auto"/>
                <w:highlight w:val="none"/>
              </w:rPr>
              <w:t>投标人配备仪器维护所使用的标准流量计（需提供采购合同与发票）得2分，具备计量部门出具的校准（检定）证书，加1分。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63" w:type="dxa"/>
            <w:vMerge w:val="continue"/>
            <w:vAlign w:val="center"/>
          </w:tcPr>
          <w:p>
            <w:pPr>
              <w:rPr>
                <w:rFonts w:ascii="宋体" w:hAnsi="宋体" w:cs="宋体"/>
                <w:color w:val="auto"/>
                <w:highlight w:val="none"/>
              </w:rPr>
            </w:pPr>
          </w:p>
        </w:tc>
        <w:tc>
          <w:tcPr>
            <w:tcW w:w="7246" w:type="dxa"/>
            <w:vAlign w:val="center"/>
          </w:tcPr>
          <w:p>
            <w:pPr>
              <w:rPr>
                <w:rFonts w:ascii="宋体" w:hAnsi="宋体" w:cs="宋体"/>
                <w:color w:val="auto"/>
                <w:highlight w:val="none"/>
              </w:rPr>
            </w:pPr>
            <w:r>
              <w:rPr>
                <w:rFonts w:hint="eastAsia" w:ascii="宋体" w:hAnsi="宋体" w:cs="宋体"/>
                <w:color w:val="auto"/>
                <w:highlight w:val="none"/>
              </w:rPr>
              <w:t>承诺仪器发生故障时2小时电话响应，4小时现场响应，得1分。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4" w:hRule="atLeast"/>
          <w:jc w:val="center"/>
        </w:trPr>
        <w:tc>
          <w:tcPr>
            <w:tcW w:w="8109" w:type="dxa"/>
            <w:gridSpan w:val="2"/>
            <w:vAlign w:val="center"/>
          </w:tcPr>
          <w:p>
            <w:pPr>
              <w:rPr>
                <w:rFonts w:ascii="宋体" w:hAnsi="宋体" w:cs="宋体"/>
                <w:color w:val="auto"/>
                <w:highlight w:val="none"/>
              </w:rPr>
            </w:pPr>
            <w:r>
              <w:rPr>
                <w:rFonts w:hint="eastAsia" w:ascii="宋体" w:hAnsi="宋体" w:cs="宋体"/>
                <w:color w:val="auto"/>
                <w:highlight w:val="none"/>
              </w:rPr>
              <w:t>企业资质、信誉、业绩</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863" w:type="dxa"/>
            <w:vMerge w:val="restart"/>
            <w:vAlign w:val="center"/>
          </w:tcPr>
          <w:p>
            <w:pPr>
              <w:rPr>
                <w:rFonts w:ascii="宋体" w:hAnsi="宋体" w:cs="宋体"/>
                <w:color w:val="auto"/>
                <w:highlight w:val="none"/>
              </w:rPr>
            </w:pPr>
            <w:r>
              <w:rPr>
                <w:rFonts w:hint="eastAsia" w:ascii="宋体" w:hAnsi="宋体" w:cs="宋体"/>
                <w:color w:val="auto"/>
                <w:highlight w:val="none"/>
              </w:rPr>
              <w:t>企业资质、信誉、业绩</w:t>
            </w:r>
          </w:p>
        </w:tc>
        <w:tc>
          <w:tcPr>
            <w:tcW w:w="7246" w:type="dxa"/>
            <w:vAlign w:val="center"/>
          </w:tcPr>
          <w:p>
            <w:pPr>
              <w:rPr>
                <w:rFonts w:ascii="宋体" w:hAnsi="宋体" w:cs="宋体"/>
                <w:color w:val="auto"/>
                <w:highlight w:val="none"/>
              </w:rPr>
            </w:pPr>
            <w:r>
              <w:rPr>
                <w:rFonts w:hint="eastAsia" w:ascii="宋体" w:hAnsi="宋体" w:cs="宋体"/>
                <w:color w:val="auto"/>
                <w:highlight w:val="none"/>
              </w:rPr>
              <w:t>2020年1月1日以来，投标人有所投同类型产品销售业绩，1份合同得1分，最高得3分。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6" w:hRule="atLeast"/>
          <w:jc w:val="center"/>
        </w:trPr>
        <w:tc>
          <w:tcPr>
            <w:tcW w:w="863" w:type="dxa"/>
            <w:vMerge w:val="continue"/>
            <w:vAlign w:val="center"/>
          </w:tcPr>
          <w:p>
            <w:pPr>
              <w:rPr>
                <w:rFonts w:ascii="宋体" w:hAnsi="宋体" w:cs="宋体"/>
                <w:color w:val="auto"/>
                <w:highlight w:val="none"/>
              </w:rPr>
            </w:pPr>
          </w:p>
        </w:tc>
        <w:tc>
          <w:tcPr>
            <w:tcW w:w="7246" w:type="dxa"/>
            <w:vAlign w:val="center"/>
          </w:tcPr>
          <w:p>
            <w:pPr>
              <w:rPr>
                <w:rFonts w:ascii="宋体" w:hAnsi="宋体" w:cs="宋体"/>
                <w:color w:val="auto"/>
                <w:highlight w:val="none"/>
              </w:rPr>
            </w:pPr>
            <w:r>
              <w:rPr>
                <w:rFonts w:hint="eastAsia" w:ascii="宋体" w:hAnsi="宋体" w:cs="宋体"/>
                <w:color w:val="auto"/>
                <w:highlight w:val="none"/>
              </w:rPr>
              <w:t>2020年1月1日以来，投标人承担分包内的任何一类类型产品运维服务项目业绩（需提供合同复印件，原件备查），具备一份合同得1分，最高14分。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63" w:type="dxa"/>
            <w:vMerge w:val="continue"/>
            <w:vAlign w:val="center"/>
          </w:tcPr>
          <w:p>
            <w:pPr>
              <w:rPr>
                <w:rFonts w:ascii="宋体" w:hAnsi="宋体" w:cs="宋体"/>
                <w:color w:val="auto"/>
                <w:highlight w:val="none"/>
              </w:rPr>
            </w:pPr>
          </w:p>
        </w:tc>
        <w:tc>
          <w:tcPr>
            <w:tcW w:w="7246" w:type="dxa"/>
            <w:vAlign w:val="center"/>
          </w:tcPr>
          <w:p>
            <w:pPr>
              <w:rPr>
                <w:rFonts w:ascii="宋体" w:hAnsi="宋体" w:cs="宋体"/>
                <w:color w:val="auto"/>
                <w:highlight w:val="none"/>
              </w:rPr>
            </w:pPr>
            <w:r>
              <w:rPr>
                <w:rFonts w:hint="eastAsia" w:ascii="宋体" w:hAnsi="宋体" w:cs="宋体"/>
                <w:color w:val="auto"/>
                <w:highlight w:val="none"/>
              </w:rPr>
              <w:t>根据用户对其以往环境监测服务的质量情况进行评分（要求有用户盖章或签字的文件，证明服务质量达到用户要求，或者国家、省或有关地区用户发布的质量检查合格通报、公告等），每提供1份证明文件得1分，最高不超过8分。</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63" w:type="dxa"/>
            <w:vAlign w:val="center"/>
          </w:tcPr>
          <w:p>
            <w:pPr>
              <w:rPr>
                <w:rFonts w:ascii="宋体" w:hAnsi="宋体" w:cs="宋体"/>
                <w:color w:val="auto"/>
                <w:highlight w:val="none"/>
              </w:rPr>
            </w:pPr>
          </w:p>
        </w:tc>
        <w:tc>
          <w:tcPr>
            <w:tcW w:w="7246" w:type="dxa"/>
            <w:vAlign w:val="center"/>
          </w:tcPr>
          <w:p>
            <w:pPr>
              <w:rPr>
                <w:rFonts w:ascii="宋体" w:hAnsi="宋体" w:cs="宋体"/>
                <w:color w:val="auto"/>
                <w:highlight w:val="none"/>
              </w:rPr>
            </w:pPr>
            <w:r>
              <w:rPr>
                <w:rFonts w:hint="eastAsia" w:ascii="宋体" w:hAnsi="宋体" w:cs="宋体"/>
                <w:color w:val="auto"/>
                <w:highlight w:val="none"/>
              </w:rPr>
              <w:t>合计</w:t>
            </w:r>
          </w:p>
        </w:tc>
        <w:tc>
          <w:tcPr>
            <w:tcW w:w="662" w:type="dxa"/>
            <w:vAlign w:val="center"/>
          </w:tcPr>
          <w:p>
            <w:pPr>
              <w:jc w:val="center"/>
              <w:rPr>
                <w:rFonts w:ascii="宋体" w:hAnsi="宋体" w:cs="宋体"/>
                <w:color w:val="auto"/>
                <w:highlight w:val="none"/>
              </w:rPr>
            </w:pPr>
            <w:r>
              <w:rPr>
                <w:rFonts w:hint="eastAsia" w:ascii="宋体" w:hAnsi="宋体" w:cs="宋体"/>
                <w:color w:val="auto"/>
                <w:highlight w:val="none"/>
              </w:rPr>
              <w:t>100</w:t>
            </w:r>
          </w:p>
        </w:tc>
      </w:tr>
    </w:tbl>
    <w:p>
      <w:pPr>
        <w:rPr>
          <w:rFonts w:ascii="宋体" w:hAnsi="宋体"/>
          <w:bCs/>
          <w:color w:val="auto"/>
          <w:szCs w:val="21"/>
          <w:highlight w:val="none"/>
        </w:rPr>
      </w:pPr>
    </w:p>
    <w:p>
      <w:pPr>
        <w:widowControl/>
        <w:jc w:val="left"/>
        <w:rPr>
          <w:rFonts w:ascii="宋体" w:hAnsi="宋体"/>
          <w:bCs/>
          <w:color w:val="auto"/>
          <w:szCs w:val="21"/>
          <w:highlight w:val="none"/>
        </w:rPr>
      </w:pPr>
      <w:r>
        <w:rPr>
          <w:rFonts w:hint="eastAsia" w:ascii="宋体" w:hAnsi="宋体"/>
          <w:b/>
          <w:color w:val="auto"/>
          <w:szCs w:val="21"/>
          <w:highlight w:val="none"/>
        </w:rPr>
        <w:t>包</w:t>
      </w:r>
      <w:r>
        <w:rPr>
          <w:rFonts w:ascii="宋体" w:hAnsi="宋体"/>
          <w:b/>
          <w:color w:val="auto"/>
          <w:szCs w:val="21"/>
          <w:highlight w:val="none"/>
        </w:rPr>
        <w:t>4</w:t>
      </w:r>
      <w:r>
        <w:rPr>
          <w:rFonts w:hint="eastAsia" w:ascii="宋体" w:hAnsi="宋体"/>
          <w:b/>
          <w:color w:val="auto"/>
          <w:szCs w:val="21"/>
          <w:highlight w:val="none"/>
        </w:rPr>
        <w:t>：大气走航监测车及相关设备</w:t>
      </w:r>
      <w:r>
        <w:rPr>
          <w:rFonts w:hint="eastAsia" w:ascii="宋体" w:hAnsi="宋体" w:eastAsiaTheme="minorEastAsia" w:cstheme="minorBidi"/>
          <w:b/>
          <w:color w:val="auto"/>
          <w:szCs w:val="21"/>
          <w:highlight w:val="none"/>
        </w:rPr>
        <w:t>运维服务</w:t>
      </w:r>
    </w:p>
    <w:tbl>
      <w:tblPr>
        <w:tblStyle w:val="44"/>
        <w:tblW w:w="8758" w:type="dxa"/>
        <w:jc w:val="center"/>
        <w:tblLayout w:type="fixed"/>
        <w:tblCellMar>
          <w:top w:w="0" w:type="dxa"/>
          <w:left w:w="108" w:type="dxa"/>
          <w:bottom w:w="0" w:type="dxa"/>
          <w:right w:w="108" w:type="dxa"/>
        </w:tblCellMar>
      </w:tblPr>
      <w:tblGrid>
        <w:gridCol w:w="988"/>
        <w:gridCol w:w="7086"/>
        <w:gridCol w:w="684"/>
      </w:tblGrid>
      <w:tr>
        <w:tblPrEx>
          <w:tblCellMar>
            <w:top w:w="0" w:type="dxa"/>
            <w:left w:w="108" w:type="dxa"/>
            <w:bottom w:w="0" w:type="dxa"/>
            <w:right w:w="108" w:type="dxa"/>
          </w:tblCellMar>
        </w:tblPrEx>
        <w:trPr>
          <w:trHeight w:val="402" w:hRule="atLeast"/>
          <w:jc w:val="center"/>
        </w:trPr>
        <w:tc>
          <w:tcPr>
            <w:tcW w:w="8074" w:type="dxa"/>
            <w:gridSpan w:val="2"/>
            <w:tcBorders>
              <w:top w:val="single" w:color="auto" w:sz="4" w:space="0"/>
              <w:left w:val="single" w:color="auto" w:sz="4" w:space="0"/>
              <w:bottom w:val="single" w:color="auto" w:sz="4" w:space="0"/>
              <w:right w:val="single" w:color="auto" w:sz="4" w:space="0"/>
            </w:tcBorders>
            <w:vAlign w:val="center"/>
          </w:tcPr>
          <w:p>
            <w:pPr>
              <w:adjustRightInd w:val="0"/>
              <w:rPr>
                <w:rFonts w:cs="方正仿宋_GBK"/>
                <w:color w:val="auto"/>
                <w:kern w:val="0"/>
                <w:szCs w:val="21"/>
                <w:highlight w:val="none"/>
              </w:rPr>
            </w:pPr>
            <w:r>
              <w:rPr>
                <w:rFonts w:hint="eastAsia" w:cs="方正仿宋_GBK"/>
                <w:color w:val="auto"/>
                <w:kern w:val="0"/>
                <w:szCs w:val="21"/>
                <w:highlight w:val="none"/>
              </w:rPr>
              <w:t>专家根据投标人投标价格、技术服务、企业资质、信誉、业绩等三个方面，满分100分</w:t>
            </w:r>
          </w:p>
        </w:tc>
        <w:tc>
          <w:tcPr>
            <w:tcW w:w="684" w:type="dxa"/>
            <w:tcBorders>
              <w:top w:val="single" w:color="auto" w:sz="4" w:space="0"/>
              <w:left w:val="nil"/>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hint="eastAsia" w:cs="方正仿宋_GBK"/>
                <w:color w:val="auto"/>
                <w:kern w:val="0"/>
                <w:szCs w:val="21"/>
                <w:highlight w:val="none"/>
              </w:rPr>
              <w:t>分值</w:t>
            </w:r>
          </w:p>
        </w:tc>
      </w:tr>
      <w:tr>
        <w:tblPrEx>
          <w:tblCellMar>
            <w:top w:w="0" w:type="dxa"/>
            <w:left w:w="108" w:type="dxa"/>
            <w:bottom w:w="0" w:type="dxa"/>
            <w:right w:w="108" w:type="dxa"/>
          </w:tblCellMar>
        </w:tblPrEx>
        <w:trPr>
          <w:trHeight w:val="402" w:hRule="atLeast"/>
          <w:jc w:val="center"/>
        </w:trPr>
        <w:tc>
          <w:tcPr>
            <w:tcW w:w="8074" w:type="dxa"/>
            <w:gridSpan w:val="2"/>
            <w:tcBorders>
              <w:top w:val="single" w:color="auto" w:sz="4" w:space="0"/>
              <w:left w:val="single" w:color="auto" w:sz="4" w:space="0"/>
              <w:bottom w:val="single" w:color="auto" w:sz="4" w:space="0"/>
              <w:right w:val="single" w:color="auto" w:sz="4" w:space="0"/>
            </w:tcBorders>
            <w:vAlign w:val="center"/>
          </w:tcPr>
          <w:p>
            <w:pPr>
              <w:adjustRightInd w:val="0"/>
              <w:rPr>
                <w:rFonts w:cs="方正仿宋_GBK"/>
                <w:color w:val="auto"/>
                <w:kern w:val="0"/>
                <w:szCs w:val="21"/>
                <w:highlight w:val="none"/>
              </w:rPr>
            </w:pPr>
            <w:r>
              <w:rPr>
                <w:rFonts w:hint="eastAsia" w:cs="方正仿宋_GBK"/>
                <w:color w:val="auto"/>
                <w:kern w:val="0"/>
                <w:szCs w:val="21"/>
                <w:highlight w:val="none"/>
              </w:rPr>
              <w:t>价格分：满足招标文件要求且投标价格最低的投标报价为评标基准价，其价格分为满分。其他投标人的价格分统一按照下列公式计算：投标报价得分=(评标基准价／投标报价)×15</w:t>
            </w:r>
          </w:p>
        </w:tc>
        <w:tc>
          <w:tcPr>
            <w:tcW w:w="684" w:type="dxa"/>
            <w:tcBorders>
              <w:top w:val="single" w:color="auto" w:sz="4" w:space="0"/>
              <w:left w:val="nil"/>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hint="eastAsia" w:cs="方正仿宋_GBK"/>
                <w:color w:val="auto"/>
                <w:kern w:val="0"/>
                <w:szCs w:val="21"/>
                <w:highlight w:val="none"/>
              </w:rPr>
              <w:t>15</w:t>
            </w:r>
          </w:p>
        </w:tc>
      </w:tr>
      <w:tr>
        <w:tblPrEx>
          <w:tblCellMar>
            <w:top w:w="0" w:type="dxa"/>
            <w:left w:w="108" w:type="dxa"/>
            <w:bottom w:w="0" w:type="dxa"/>
            <w:right w:w="108" w:type="dxa"/>
          </w:tblCellMar>
        </w:tblPrEx>
        <w:trPr>
          <w:trHeight w:val="402" w:hRule="atLeast"/>
          <w:jc w:val="center"/>
        </w:trPr>
        <w:tc>
          <w:tcPr>
            <w:tcW w:w="8074" w:type="dxa"/>
            <w:gridSpan w:val="2"/>
            <w:tcBorders>
              <w:top w:val="single" w:color="auto" w:sz="4" w:space="0"/>
              <w:left w:val="single" w:color="auto" w:sz="4" w:space="0"/>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hint="eastAsia" w:cs="方正仿宋_GBK"/>
                <w:color w:val="auto"/>
                <w:kern w:val="0"/>
                <w:szCs w:val="21"/>
                <w:highlight w:val="none"/>
              </w:rPr>
              <w:t>技术服务</w:t>
            </w:r>
          </w:p>
        </w:tc>
        <w:tc>
          <w:tcPr>
            <w:tcW w:w="684" w:type="dxa"/>
            <w:tcBorders>
              <w:top w:val="nil"/>
              <w:left w:val="nil"/>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cs="方正仿宋_GBK"/>
                <w:color w:val="auto"/>
                <w:kern w:val="0"/>
                <w:szCs w:val="21"/>
                <w:highlight w:val="none"/>
              </w:rPr>
              <w:t>53</w:t>
            </w:r>
          </w:p>
        </w:tc>
      </w:tr>
      <w:tr>
        <w:tblPrEx>
          <w:tblCellMar>
            <w:top w:w="0" w:type="dxa"/>
            <w:left w:w="108" w:type="dxa"/>
            <w:bottom w:w="0" w:type="dxa"/>
            <w:right w:w="108" w:type="dxa"/>
          </w:tblCellMar>
        </w:tblPrEx>
        <w:trPr>
          <w:trHeight w:val="507" w:hRule="atLeast"/>
          <w:jc w:val="center"/>
        </w:trPr>
        <w:tc>
          <w:tcPr>
            <w:tcW w:w="988" w:type="dxa"/>
            <w:vMerge w:val="restart"/>
            <w:tcBorders>
              <w:top w:val="nil"/>
              <w:left w:val="single" w:color="auto" w:sz="4" w:space="0"/>
              <w:right w:val="single" w:color="auto" w:sz="4" w:space="0"/>
            </w:tcBorders>
            <w:vAlign w:val="center"/>
          </w:tcPr>
          <w:p>
            <w:pPr>
              <w:adjustRightInd w:val="0"/>
              <w:rPr>
                <w:rFonts w:cs="方正仿宋_GBK"/>
                <w:color w:val="auto"/>
                <w:kern w:val="0"/>
                <w:szCs w:val="21"/>
                <w:highlight w:val="none"/>
              </w:rPr>
            </w:pPr>
            <w:r>
              <w:rPr>
                <w:rFonts w:hint="eastAsia" w:cs="方正仿宋_GBK"/>
                <w:color w:val="auto"/>
                <w:kern w:val="0"/>
                <w:szCs w:val="21"/>
                <w:highlight w:val="none"/>
              </w:rPr>
              <w:t>机构人员与车辆配置</w:t>
            </w:r>
          </w:p>
        </w:tc>
        <w:tc>
          <w:tcPr>
            <w:tcW w:w="7086" w:type="dxa"/>
            <w:tcBorders>
              <w:top w:val="nil"/>
              <w:left w:val="nil"/>
              <w:bottom w:val="single" w:color="auto" w:sz="4" w:space="0"/>
              <w:right w:val="single" w:color="auto" w:sz="4" w:space="0"/>
            </w:tcBorders>
            <w:vAlign w:val="center"/>
          </w:tcPr>
          <w:p>
            <w:pPr>
              <w:adjustRightInd w:val="0"/>
              <w:ind w:firstLine="210" w:firstLineChars="100"/>
              <w:rPr>
                <w:rFonts w:cs="方正仿宋_GBK"/>
                <w:color w:val="auto"/>
                <w:kern w:val="0"/>
                <w:szCs w:val="21"/>
                <w:highlight w:val="none"/>
              </w:rPr>
            </w:pPr>
            <w:r>
              <w:rPr>
                <w:rFonts w:hint="eastAsia" w:cs="方正仿宋_GBK"/>
                <w:color w:val="auto"/>
                <w:kern w:val="0"/>
                <w:szCs w:val="21"/>
                <w:highlight w:val="none"/>
              </w:rPr>
              <w:t>投标人需提供车载可移动挥发性有机物监测仪、便携式臭氧垂直分布探测仪、气溶胶垂直分布探测质控比对分析仪、气溶胶质谱仪</w:t>
            </w:r>
            <w:r>
              <w:rPr>
                <w:rFonts w:cs="方正仿宋_GBK"/>
                <w:color w:val="auto"/>
                <w:kern w:val="0"/>
                <w:szCs w:val="21"/>
                <w:highlight w:val="none"/>
              </w:rPr>
              <w:t>等主要设备仪器的运维技术方案，主要内容包括仪器运维技术要点、仪器运维计划、仪器异常处理措施、仪器备品备件保障、标准气体管理、车辆运维措施等。每符合一项得2分，共8分。不提供或提供的不符合项目要求的，不得分。</w:t>
            </w:r>
          </w:p>
        </w:tc>
        <w:tc>
          <w:tcPr>
            <w:tcW w:w="684" w:type="dxa"/>
            <w:tcBorders>
              <w:top w:val="nil"/>
              <w:left w:val="nil"/>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cs="方正仿宋_GBK"/>
                <w:color w:val="auto"/>
                <w:kern w:val="0"/>
                <w:szCs w:val="21"/>
                <w:highlight w:val="none"/>
              </w:rPr>
              <w:t>8</w:t>
            </w:r>
          </w:p>
        </w:tc>
      </w:tr>
      <w:tr>
        <w:tblPrEx>
          <w:tblCellMar>
            <w:top w:w="0" w:type="dxa"/>
            <w:left w:w="108" w:type="dxa"/>
            <w:bottom w:w="0" w:type="dxa"/>
            <w:right w:w="108" w:type="dxa"/>
          </w:tblCellMar>
        </w:tblPrEx>
        <w:trPr>
          <w:trHeight w:val="1260" w:hRule="atLeast"/>
          <w:jc w:val="center"/>
        </w:trPr>
        <w:tc>
          <w:tcPr>
            <w:tcW w:w="988" w:type="dxa"/>
            <w:vMerge w:val="continue"/>
            <w:tcBorders>
              <w:left w:val="single" w:color="auto" w:sz="4" w:space="0"/>
              <w:right w:val="single" w:color="auto" w:sz="4" w:space="0"/>
            </w:tcBorders>
            <w:vAlign w:val="center"/>
          </w:tcPr>
          <w:p>
            <w:pPr>
              <w:widowControl/>
              <w:jc w:val="left"/>
              <w:rPr>
                <w:rFonts w:cs="方正仿宋_GBK"/>
                <w:color w:val="auto"/>
                <w:kern w:val="0"/>
                <w:szCs w:val="21"/>
                <w:highlight w:val="none"/>
              </w:rPr>
            </w:pPr>
          </w:p>
        </w:tc>
        <w:tc>
          <w:tcPr>
            <w:tcW w:w="7086" w:type="dxa"/>
            <w:tcBorders>
              <w:top w:val="nil"/>
              <w:left w:val="nil"/>
              <w:bottom w:val="single" w:color="auto" w:sz="4" w:space="0"/>
              <w:right w:val="single" w:color="auto" w:sz="4" w:space="0"/>
            </w:tcBorders>
            <w:vAlign w:val="center"/>
          </w:tcPr>
          <w:p>
            <w:pPr>
              <w:pStyle w:val="191"/>
              <w:rPr>
                <w:rFonts w:ascii="宋体" w:hAnsi="宋体" w:cs="方正仿宋_GBK"/>
                <w:color w:val="auto"/>
                <w:szCs w:val="21"/>
                <w:highlight w:val="none"/>
              </w:rPr>
            </w:pPr>
            <w:r>
              <w:rPr>
                <w:rFonts w:ascii="宋体" w:hAnsi="宋体" w:cs="方正仿宋_GBK"/>
                <w:color w:val="auto"/>
                <w:szCs w:val="21"/>
                <w:highlight w:val="none"/>
              </w:rPr>
              <w:t>1.投标人拟投入本项目的项目经理具有环境类高级职称的，得基础分2分；同时项目经理获得过省部级环保部门颁发的环境监测类人才评定或相关荣誉表彰的</w:t>
            </w:r>
            <w:r>
              <w:rPr>
                <w:rFonts w:hint="eastAsia" w:ascii="宋体" w:hAnsi="宋体" w:cs="方正仿宋_GBK"/>
                <w:color w:val="auto"/>
                <w:szCs w:val="21"/>
                <w:highlight w:val="none"/>
              </w:rPr>
              <w:t>得</w:t>
            </w:r>
            <w:r>
              <w:rPr>
                <w:rFonts w:ascii="宋体" w:hAnsi="宋体" w:cs="方正仿宋_GBK"/>
                <w:color w:val="auto"/>
                <w:szCs w:val="21"/>
                <w:highlight w:val="none"/>
              </w:rPr>
              <w:t>4分，最高6分；</w:t>
            </w:r>
          </w:p>
          <w:p>
            <w:pPr>
              <w:pStyle w:val="191"/>
              <w:rPr>
                <w:rFonts w:ascii="宋体" w:hAnsi="宋体" w:cs="方正仿宋_GBK"/>
                <w:color w:val="auto"/>
                <w:szCs w:val="21"/>
                <w:highlight w:val="none"/>
              </w:rPr>
            </w:pPr>
            <w:r>
              <w:rPr>
                <w:rFonts w:ascii="宋体" w:hAnsi="宋体" w:cs="方正仿宋_GBK"/>
                <w:color w:val="auto"/>
                <w:szCs w:val="21"/>
                <w:highlight w:val="none"/>
              </w:rPr>
              <w:t>2.投标人拟投入本项目的成员具有大气颗粒物组分自动监测技术培训班合格证的，每提供一名得2</w:t>
            </w:r>
            <w:r>
              <w:rPr>
                <w:rFonts w:hint="eastAsia" w:ascii="宋体" w:hAnsi="宋体" w:cs="方正仿宋_GBK"/>
                <w:color w:val="auto"/>
                <w:szCs w:val="21"/>
                <w:highlight w:val="none"/>
              </w:rPr>
              <w:t>分</w:t>
            </w:r>
            <w:r>
              <w:rPr>
                <w:rFonts w:ascii="宋体" w:hAnsi="宋体" w:cs="方正仿宋_GBK"/>
                <w:color w:val="auto"/>
                <w:szCs w:val="21"/>
                <w:highlight w:val="none"/>
              </w:rPr>
              <w:t>，最高6分；</w:t>
            </w:r>
          </w:p>
          <w:p>
            <w:pPr>
              <w:pStyle w:val="191"/>
              <w:rPr>
                <w:rFonts w:ascii="宋体" w:hAnsi="宋体" w:cs="方正仿宋_GBK"/>
                <w:color w:val="auto"/>
                <w:szCs w:val="21"/>
                <w:highlight w:val="none"/>
              </w:rPr>
            </w:pPr>
            <w:r>
              <w:rPr>
                <w:rFonts w:ascii="宋体" w:hAnsi="宋体" w:cs="方正仿宋_GBK"/>
                <w:color w:val="auto"/>
                <w:szCs w:val="21"/>
                <w:highlight w:val="none"/>
              </w:rPr>
              <w:t>3.投标人拟投入本项目的成员具备VOCs或大气中挥发性有机物监测技术培训班合格证书的，每提供一名得2分，最高6分。</w:t>
            </w:r>
          </w:p>
          <w:p>
            <w:pPr>
              <w:pStyle w:val="191"/>
              <w:rPr>
                <w:rFonts w:ascii="宋体" w:hAnsi="宋体" w:cs="方正仿宋_GBK"/>
                <w:color w:val="auto"/>
                <w:szCs w:val="21"/>
                <w:highlight w:val="none"/>
              </w:rPr>
            </w:pPr>
            <w:r>
              <w:rPr>
                <w:rFonts w:hint="eastAsia" w:ascii="宋体" w:hAnsi="宋体" w:cs="方正仿宋_GBK"/>
                <w:color w:val="auto"/>
                <w:szCs w:val="21"/>
                <w:highlight w:val="none"/>
              </w:rPr>
              <w:t>（注：提供劳动合同以及相关证明材料复印件，未提供完整或证明材料不清晰本项不得分。）</w:t>
            </w:r>
          </w:p>
        </w:tc>
        <w:tc>
          <w:tcPr>
            <w:tcW w:w="684" w:type="dxa"/>
            <w:tcBorders>
              <w:top w:val="nil"/>
              <w:left w:val="nil"/>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cs="方正仿宋_GBK"/>
                <w:color w:val="auto"/>
                <w:kern w:val="0"/>
                <w:szCs w:val="21"/>
                <w:highlight w:val="none"/>
              </w:rPr>
              <w:t>18</w:t>
            </w:r>
          </w:p>
        </w:tc>
      </w:tr>
      <w:tr>
        <w:tblPrEx>
          <w:tblCellMar>
            <w:top w:w="0" w:type="dxa"/>
            <w:left w:w="108" w:type="dxa"/>
            <w:bottom w:w="0" w:type="dxa"/>
            <w:right w:w="108" w:type="dxa"/>
          </w:tblCellMar>
        </w:tblPrEx>
        <w:trPr>
          <w:trHeight w:val="510" w:hRule="atLeast"/>
          <w:jc w:val="center"/>
        </w:trPr>
        <w:tc>
          <w:tcPr>
            <w:tcW w:w="988" w:type="dxa"/>
            <w:vMerge w:val="continue"/>
            <w:tcBorders>
              <w:left w:val="single" w:color="auto" w:sz="4" w:space="0"/>
              <w:bottom w:val="single" w:color="000000" w:sz="4" w:space="0"/>
              <w:right w:val="single" w:color="auto" w:sz="4" w:space="0"/>
            </w:tcBorders>
            <w:vAlign w:val="center"/>
          </w:tcPr>
          <w:p>
            <w:pPr>
              <w:widowControl/>
              <w:jc w:val="left"/>
              <w:rPr>
                <w:rFonts w:cs="方正仿宋_GBK"/>
                <w:color w:val="auto"/>
                <w:kern w:val="0"/>
                <w:szCs w:val="21"/>
                <w:highlight w:val="none"/>
              </w:rPr>
            </w:pPr>
          </w:p>
        </w:tc>
        <w:tc>
          <w:tcPr>
            <w:tcW w:w="7086" w:type="dxa"/>
            <w:tcBorders>
              <w:top w:val="nil"/>
              <w:left w:val="nil"/>
              <w:bottom w:val="single" w:color="auto" w:sz="4" w:space="0"/>
              <w:right w:val="single" w:color="auto" w:sz="4" w:space="0"/>
            </w:tcBorders>
            <w:vAlign w:val="center"/>
          </w:tcPr>
          <w:p>
            <w:pPr>
              <w:adjustRightInd w:val="0"/>
              <w:rPr>
                <w:rFonts w:cs="方正仿宋_GBK"/>
                <w:color w:val="auto"/>
                <w:kern w:val="0"/>
                <w:szCs w:val="21"/>
                <w:highlight w:val="none"/>
              </w:rPr>
            </w:pPr>
            <w:r>
              <w:rPr>
                <w:rFonts w:hint="eastAsia" w:cs="方正仿宋_GBK"/>
                <w:color w:val="auto"/>
                <w:kern w:val="0"/>
                <w:szCs w:val="21"/>
                <w:highlight w:val="none"/>
              </w:rPr>
              <w:t>投标人为实施本项目至少配置1辆专用车辆的得1分，不满足得0分。</w:t>
            </w:r>
          </w:p>
        </w:tc>
        <w:tc>
          <w:tcPr>
            <w:tcW w:w="684" w:type="dxa"/>
            <w:tcBorders>
              <w:top w:val="nil"/>
              <w:left w:val="nil"/>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hint="eastAsia" w:cs="方正仿宋_GBK"/>
                <w:color w:val="auto"/>
                <w:kern w:val="0"/>
                <w:szCs w:val="21"/>
                <w:highlight w:val="none"/>
              </w:rPr>
              <w:t>1</w:t>
            </w:r>
          </w:p>
        </w:tc>
      </w:tr>
      <w:tr>
        <w:tblPrEx>
          <w:tblCellMar>
            <w:top w:w="0" w:type="dxa"/>
            <w:left w:w="108" w:type="dxa"/>
            <w:bottom w:w="0" w:type="dxa"/>
            <w:right w:w="108" w:type="dxa"/>
          </w:tblCellMar>
        </w:tblPrEx>
        <w:trPr>
          <w:trHeight w:val="510" w:hRule="atLeast"/>
          <w:jc w:val="center"/>
        </w:trPr>
        <w:tc>
          <w:tcPr>
            <w:tcW w:w="988" w:type="dxa"/>
            <w:vMerge w:val="restart"/>
            <w:tcBorders>
              <w:top w:val="nil"/>
              <w:left w:val="single" w:color="auto" w:sz="4" w:space="0"/>
              <w:right w:val="single" w:color="auto" w:sz="4" w:space="0"/>
            </w:tcBorders>
            <w:vAlign w:val="center"/>
          </w:tcPr>
          <w:p>
            <w:pPr>
              <w:adjustRightInd w:val="0"/>
              <w:rPr>
                <w:rFonts w:cs="方正仿宋_GBK"/>
                <w:color w:val="auto"/>
                <w:kern w:val="0"/>
                <w:szCs w:val="21"/>
                <w:highlight w:val="none"/>
              </w:rPr>
            </w:pPr>
            <w:r>
              <w:rPr>
                <w:rFonts w:hint="eastAsia" w:cs="方正仿宋_GBK"/>
                <w:color w:val="auto"/>
                <w:kern w:val="0"/>
                <w:szCs w:val="21"/>
                <w:highlight w:val="none"/>
              </w:rPr>
              <w:t>服务方案及技术要求响应情况</w:t>
            </w:r>
          </w:p>
        </w:tc>
        <w:tc>
          <w:tcPr>
            <w:tcW w:w="7086" w:type="dxa"/>
            <w:tcBorders>
              <w:top w:val="nil"/>
              <w:left w:val="nil"/>
              <w:bottom w:val="single" w:color="auto" w:sz="4" w:space="0"/>
              <w:right w:val="single" w:color="auto" w:sz="4" w:space="0"/>
            </w:tcBorders>
            <w:vAlign w:val="center"/>
          </w:tcPr>
          <w:p>
            <w:pPr>
              <w:adjustRightInd w:val="0"/>
              <w:rPr>
                <w:rFonts w:cs="方正仿宋_GBK"/>
                <w:color w:val="auto"/>
                <w:kern w:val="0"/>
                <w:szCs w:val="21"/>
                <w:highlight w:val="none"/>
              </w:rPr>
            </w:pPr>
            <w:r>
              <w:rPr>
                <w:rFonts w:hint="eastAsia" w:cs="方正仿宋_GBK"/>
                <w:color w:val="auto"/>
                <w:kern w:val="0"/>
                <w:szCs w:val="21"/>
                <w:highlight w:val="none"/>
              </w:rPr>
              <w:t>投标人需提供项目实施管理方案和质量保障措施，主要内容运维人员质量控制内容和措施、异常数据的审核与校验、运维质量考核办法等。每符合一项得</w:t>
            </w:r>
            <w:r>
              <w:rPr>
                <w:rFonts w:cs="方正仿宋_GBK"/>
                <w:color w:val="auto"/>
                <w:kern w:val="0"/>
                <w:szCs w:val="21"/>
                <w:highlight w:val="none"/>
              </w:rPr>
              <w:t>2分，共6分。不提供或提供的不符合项目要求的，不得分。</w:t>
            </w:r>
          </w:p>
        </w:tc>
        <w:tc>
          <w:tcPr>
            <w:tcW w:w="684" w:type="dxa"/>
            <w:tcBorders>
              <w:top w:val="nil"/>
              <w:left w:val="nil"/>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cs="方正仿宋_GBK"/>
                <w:color w:val="auto"/>
                <w:kern w:val="0"/>
                <w:szCs w:val="21"/>
                <w:highlight w:val="none"/>
              </w:rPr>
              <w:t>6</w:t>
            </w:r>
          </w:p>
        </w:tc>
      </w:tr>
      <w:tr>
        <w:tblPrEx>
          <w:tblCellMar>
            <w:top w:w="0" w:type="dxa"/>
            <w:left w:w="108" w:type="dxa"/>
            <w:bottom w:w="0" w:type="dxa"/>
            <w:right w:w="108" w:type="dxa"/>
          </w:tblCellMar>
        </w:tblPrEx>
        <w:trPr>
          <w:trHeight w:val="285" w:hRule="atLeast"/>
          <w:jc w:val="center"/>
        </w:trPr>
        <w:tc>
          <w:tcPr>
            <w:tcW w:w="988" w:type="dxa"/>
            <w:vMerge w:val="continue"/>
            <w:tcBorders>
              <w:left w:val="single" w:color="auto" w:sz="4" w:space="0"/>
              <w:right w:val="single" w:color="auto" w:sz="4" w:space="0"/>
            </w:tcBorders>
            <w:vAlign w:val="center"/>
          </w:tcPr>
          <w:p>
            <w:pPr>
              <w:widowControl/>
              <w:jc w:val="left"/>
              <w:rPr>
                <w:rFonts w:cs="方正仿宋_GBK"/>
                <w:color w:val="auto"/>
                <w:kern w:val="0"/>
                <w:szCs w:val="21"/>
                <w:highlight w:val="none"/>
              </w:rPr>
            </w:pPr>
          </w:p>
        </w:tc>
        <w:tc>
          <w:tcPr>
            <w:tcW w:w="7086" w:type="dxa"/>
            <w:tcBorders>
              <w:top w:val="nil"/>
              <w:left w:val="nil"/>
              <w:bottom w:val="single" w:color="auto" w:sz="4" w:space="0"/>
              <w:right w:val="single" w:color="auto" w:sz="4" w:space="0"/>
            </w:tcBorders>
            <w:vAlign w:val="center"/>
          </w:tcPr>
          <w:p>
            <w:pPr>
              <w:adjustRightInd w:val="0"/>
              <w:rPr>
                <w:rFonts w:cs="方正仿宋_GBK"/>
                <w:color w:val="auto"/>
                <w:kern w:val="0"/>
                <w:szCs w:val="21"/>
                <w:highlight w:val="none"/>
              </w:rPr>
            </w:pPr>
            <w:r>
              <w:rPr>
                <w:rFonts w:hint="eastAsia" w:cs="方正仿宋_GBK"/>
                <w:color w:val="auto"/>
                <w:kern w:val="0"/>
                <w:szCs w:val="21"/>
                <w:highlight w:val="none"/>
              </w:rPr>
              <w:t>投标人需提供服务承诺及具体的保密措施，每项</w:t>
            </w:r>
            <w:r>
              <w:rPr>
                <w:rFonts w:cs="方正仿宋_GBK"/>
                <w:color w:val="auto"/>
                <w:kern w:val="0"/>
                <w:szCs w:val="21"/>
                <w:highlight w:val="none"/>
              </w:rPr>
              <w:t>2分，共4分，不提供或提供的材料不符合项目要求的，不得分。</w:t>
            </w:r>
          </w:p>
        </w:tc>
        <w:tc>
          <w:tcPr>
            <w:tcW w:w="684" w:type="dxa"/>
            <w:tcBorders>
              <w:top w:val="nil"/>
              <w:left w:val="nil"/>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cs="方正仿宋_GBK"/>
                <w:color w:val="auto"/>
                <w:kern w:val="0"/>
                <w:szCs w:val="21"/>
                <w:highlight w:val="none"/>
              </w:rPr>
              <w:t>4</w:t>
            </w:r>
          </w:p>
        </w:tc>
      </w:tr>
      <w:tr>
        <w:tblPrEx>
          <w:tblCellMar>
            <w:top w:w="0" w:type="dxa"/>
            <w:left w:w="108" w:type="dxa"/>
            <w:bottom w:w="0" w:type="dxa"/>
            <w:right w:w="108" w:type="dxa"/>
          </w:tblCellMar>
        </w:tblPrEx>
        <w:trPr>
          <w:trHeight w:val="510" w:hRule="atLeast"/>
          <w:jc w:val="center"/>
        </w:trPr>
        <w:tc>
          <w:tcPr>
            <w:tcW w:w="988" w:type="dxa"/>
            <w:vMerge w:val="continue"/>
            <w:tcBorders>
              <w:left w:val="single" w:color="auto" w:sz="4" w:space="0"/>
              <w:right w:val="single" w:color="auto" w:sz="4" w:space="0"/>
            </w:tcBorders>
            <w:vAlign w:val="center"/>
          </w:tcPr>
          <w:p>
            <w:pPr>
              <w:widowControl/>
              <w:jc w:val="left"/>
              <w:rPr>
                <w:rFonts w:cs="方正仿宋_GBK"/>
                <w:color w:val="auto"/>
                <w:kern w:val="0"/>
                <w:szCs w:val="21"/>
                <w:highlight w:val="none"/>
              </w:rPr>
            </w:pPr>
          </w:p>
        </w:tc>
        <w:tc>
          <w:tcPr>
            <w:tcW w:w="7086" w:type="dxa"/>
            <w:tcBorders>
              <w:top w:val="nil"/>
              <w:left w:val="nil"/>
              <w:bottom w:val="single" w:color="auto" w:sz="4" w:space="0"/>
              <w:right w:val="single" w:color="auto" w:sz="4" w:space="0"/>
            </w:tcBorders>
            <w:vAlign w:val="center"/>
          </w:tcPr>
          <w:p>
            <w:pPr>
              <w:adjustRightInd w:val="0"/>
              <w:rPr>
                <w:rFonts w:cs="方正仿宋_GBK"/>
                <w:color w:val="auto"/>
                <w:kern w:val="0"/>
                <w:szCs w:val="21"/>
                <w:highlight w:val="none"/>
              </w:rPr>
            </w:pPr>
            <w:r>
              <w:rPr>
                <w:rFonts w:hint="eastAsia" w:cs="方正仿宋_GBK"/>
                <w:color w:val="auto"/>
                <w:kern w:val="0"/>
                <w:szCs w:val="21"/>
                <w:highlight w:val="none"/>
              </w:rPr>
              <w:t>投标人在运维期内安排</w:t>
            </w:r>
            <w:r>
              <w:rPr>
                <w:rFonts w:cs="方正仿宋_GBK"/>
                <w:color w:val="auto"/>
                <w:kern w:val="0"/>
                <w:szCs w:val="21"/>
                <w:highlight w:val="none"/>
              </w:rPr>
              <w:t>1名驻场人员得2分，该人员具</w:t>
            </w:r>
            <w:r>
              <w:rPr>
                <w:rFonts w:hint="eastAsia" w:cs="方正仿宋_GBK"/>
                <w:color w:val="auto"/>
                <w:kern w:val="0"/>
                <w:szCs w:val="21"/>
                <w:highlight w:val="none"/>
              </w:rPr>
              <w:t>有走航车运维</w:t>
            </w:r>
            <w:r>
              <w:rPr>
                <w:rFonts w:cs="方正仿宋_GBK"/>
                <w:color w:val="auto"/>
                <w:kern w:val="0"/>
                <w:szCs w:val="21"/>
                <w:highlight w:val="none"/>
              </w:rPr>
              <w:t>一年以上驻场维护经验的加2分，本项最高4分。</w:t>
            </w:r>
            <w:r>
              <w:rPr>
                <w:rFonts w:hint="eastAsia" w:ascii="宋体" w:hAnsi="宋体" w:cs="方正仿宋_GBK"/>
                <w:color w:val="auto"/>
                <w:kern w:val="0"/>
                <w:szCs w:val="21"/>
                <w:highlight w:val="none"/>
              </w:rPr>
              <w:t>（注：提供劳动合同）</w:t>
            </w:r>
          </w:p>
        </w:tc>
        <w:tc>
          <w:tcPr>
            <w:tcW w:w="684" w:type="dxa"/>
            <w:tcBorders>
              <w:top w:val="nil"/>
              <w:left w:val="nil"/>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hint="eastAsia" w:cs="方正仿宋_GBK"/>
                <w:color w:val="auto"/>
                <w:kern w:val="0"/>
                <w:szCs w:val="21"/>
                <w:highlight w:val="none"/>
              </w:rPr>
              <w:t>4</w:t>
            </w:r>
          </w:p>
        </w:tc>
      </w:tr>
      <w:tr>
        <w:tblPrEx>
          <w:tblCellMar>
            <w:top w:w="0" w:type="dxa"/>
            <w:left w:w="108" w:type="dxa"/>
            <w:bottom w:w="0" w:type="dxa"/>
            <w:right w:w="108" w:type="dxa"/>
          </w:tblCellMar>
        </w:tblPrEx>
        <w:trPr>
          <w:trHeight w:val="510" w:hRule="atLeast"/>
          <w:jc w:val="center"/>
        </w:trPr>
        <w:tc>
          <w:tcPr>
            <w:tcW w:w="988" w:type="dxa"/>
            <w:vMerge w:val="continue"/>
            <w:tcBorders>
              <w:left w:val="single" w:color="auto" w:sz="4" w:space="0"/>
              <w:bottom w:val="single" w:color="000000" w:sz="4" w:space="0"/>
              <w:right w:val="single" w:color="auto" w:sz="4" w:space="0"/>
            </w:tcBorders>
            <w:vAlign w:val="center"/>
          </w:tcPr>
          <w:p>
            <w:pPr>
              <w:widowControl/>
              <w:jc w:val="left"/>
              <w:rPr>
                <w:rFonts w:cs="方正仿宋_GBK"/>
                <w:color w:val="auto"/>
                <w:kern w:val="0"/>
                <w:szCs w:val="21"/>
                <w:highlight w:val="none"/>
              </w:rPr>
            </w:pPr>
          </w:p>
        </w:tc>
        <w:tc>
          <w:tcPr>
            <w:tcW w:w="7086" w:type="dxa"/>
            <w:tcBorders>
              <w:top w:val="nil"/>
              <w:left w:val="nil"/>
              <w:bottom w:val="single" w:color="auto" w:sz="4" w:space="0"/>
              <w:right w:val="single" w:color="auto" w:sz="4" w:space="0"/>
            </w:tcBorders>
            <w:vAlign w:val="center"/>
          </w:tcPr>
          <w:p>
            <w:pPr>
              <w:adjustRightInd w:val="0"/>
              <w:rPr>
                <w:rFonts w:cs="方正仿宋_GBK"/>
                <w:color w:val="auto"/>
                <w:kern w:val="0"/>
                <w:szCs w:val="21"/>
                <w:highlight w:val="none"/>
              </w:rPr>
            </w:pPr>
            <w:r>
              <w:rPr>
                <w:rFonts w:hint="eastAsia" w:cs="方正仿宋_GBK"/>
                <w:color w:val="auto"/>
                <w:kern w:val="0"/>
                <w:szCs w:val="21"/>
                <w:highlight w:val="none"/>
              </w:rPr>
              <w:t>依据投标人对招标文件技术要求的响应情况，全部满足得</w:t>
            </w:r>
            <w:r>
              <w:rPr>
                <w:rFonts w:cs="方正仿宋_GBK"/>
                <w:color w:val="auto"/>
                <w:kern w:val="0"/>
                <w:szCs w:val="21"/>
                <w:highlight w:val="none"/>
              </w:rPr>
              <w:t>12</w:t>
            </w:r>
            <w:r>
              <w:rPr>
                <w:rFonts w:hint="eastAsia" w:cs="方正仿宋_GBK"/>
                <w:color w:val="auto"/>
                <w:kern w:val="0"/>
                <w:szCs w:val="21"/>
                <w:highlight w:val="none"/>
              </w:rPr>
              <w:t>分，有1项负偏离扣1分，依据投标人响应情况评分。</w:t>
            </w:r>
          </w:p>
        </w:tc>
        <w:tc>
          <w:tcPr>
            <w:tcW w:w="684" w:type="dxa"/>
            <w:tcBorders>
              <w:top w:val="nil"/>
              <w:left w:val="nil"/>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cs="方正仿宋_GBK"/>
                <w:color w:val="auto"/>
                <w:kern w:val="0"/>
                <w:szCs w:val="21"/>
                <w:highlight w:val="none"/>
              </w:rPr>
              <w:t>12</w:t>
            </w:r>
          </w:p>
        </w:tc>
      </w:tr>
      <w:tr>
        <w:tblPrEx>
          <w:tblCellMar>
            <w:top w:w="0" w:type="dxa"/>
            <w:left w:w="108" w:type="dxa"/>
            <w:bottom w:w="0" w:type="dxa"/>
            <w:right w:w="108" w:type="dxa"/>
          </w:tblCellMar>
        </w:tblPrEx>
        <w:trPr>
          <w:trHeight w:val="402" w:hRule="atLeast"/>
          <w:jc w:val="center"/>
        </w:trPr>
        <w:tc>
          <w:tcPr>
            <w:tcW w:w="8074" w:type="dxa"/>
            <w:gridSpan w:val="2"/>
            <w:tcBorders>
              <w:top w:val="single" w:color="auto" w:sz="4" w:space="0"/>
              <w:left w:val="single" w:color="auto" w:sz="4" w:space="0"/>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hint="eastAsia" w:cs="方正仿宋_GBK"/>
                <w:color w:val="auto"/>
                <w:kern w:val="0"/>
                <w:szCs w:val="21"/>
                <w:highlight w:val="none"/>
              </w:rPr>
              <w:t>企业资质、信誉、业绩</w:t>
            </w:r>
          </w:p>
        </w:tc>
        <w:tc>
          <w:tcPr>
            <w:tcW w:w="684" w:type="dxa"/>
            <w:tcBorders>
              <w:top w:val="nil"/>
              <w:left w:val="nil"/>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cs="方正仿宋_GBK"/>
                <w:color w:val="auto"/>
                <w:kern w:val="0"/>
                <w:szCs w:val="21"/>
                <w:highlight w:val="none"/>
              </w:rPr>
              <w:t>32</w:t>
            </w:r>
            <w:r>
              <w:rPr>
                <w:rFonts w:hint="eastAsia" w:cs="方正仿宋_GBK"/>
                <w:color w:val="auto"/>
                <w:kern w:val="0"/>
                <w:szCs w:val="21"/>
                <w:highlight w:val="none"/>
              </w:rPr>
              <w:t>分</w:t>
            </w:r>
          </w:p>
        </w:tc>
      </w:tr>
      <w:tr>
        <w:tblPrEx>
          <w:tblCellMar>
            <w:top w:w="0" w:type="dxa"/>
            <w:left w:w="108" w:type="dxa"/>
            <w:bottom w:w="0" w:type="dxa"/>
            <w:right w:w="108" w:type="dxa"/>
          </w:tblCellMar>
        </w:tblPrEx>
        <w:trPr>
          <w:trHeight w:val="285" w:hRule="atLeast"/>
          <w:jc w:val="center"/>
        </w:trPr>
        <w:tc>
          <w:tcPr>
            <w:tcW w:w="988" w:type="dxa"/>
            <w:vMerge w:val="restart"/>
            <w:tcBorders>
              <w:top w:val="nil"/>
              <w:left w:val="single" w:color="auto" w:sz="4" w:space="0"/>
              <w:right w:val="single" w:color="auto" w:sz="4" w:space="0"/>
            </w:tcBorders>
            <w:vAlign w:val="center"/>
          </w:tcPr>
          <w:p>
            <w:pPr>
              <w:widowControl/>
              <w:jc w:val="left"/>
              <w:rPr>
                <w:rFonts w:cs="方正仿宋_GBK"/>
                <w:color w:val="auto"/>
                <w:kern w:val="0"/>
                <w:szCs w:val="21"/>
                <w:highlight w:val="none"/>
              </w:rPr>
            </w:pPr>
            <w:r>
              <w:rPr>
                <w:rFonts w:hint="eastAsia" w:cs="方正仿宋_GBK"/>
                <w:color w:val="auto"/>
                <w:kern w:val="0"/>
                <w:szCs w:val="21"/>
                <w:highlight w:val="none"/>
              </w:rPr>
              <w:t>企业资质、信誉、业绩</w:t>
            </w:r>
          </w:p>
        </w:tc>
        <w:tc>
          <w:tcPr>
            <w:tcW w:w="7086" w:type="dxa"/>
            <w:tcBorders>
              <w:top w:val="nil"/>
              <w:left w:val="nil"/>
              <w:bottom w:val="single" w:color="auto" w:sz="4" w:space="0"/>
              <w:right w:val="single" w:color="auto" w:sz="4" w:space="0"/>
            </w:tcBorders>
            <w:vAlign w:val="center"/>
          </w:tcPr>
          <w:p>
            <w:pPr>
              <w:adjustRightInd w:val="0"/>
              <w:rPr>
                <w:rFonts w:cs="方正仿宋_GBK"/>
                <w:color w:val="auto"/>
                <w:kern w:val="0"/>
                <w:szCs w:val="21"/>
                <w:highlight w:val="none"/>
              </w:rPr>
            </w:pPr>
            <w:r>
              <w:rPr>
                <w:rFonts w:cs="方正仿宋_GBK"/>
                <w:color w:val="auto"/>
                <w:kern w:val="0"/>
                <w:szCs w:val="21"/>
                <w:highlight w:val="none"/>
              </w:rPr>
              <w:t>1.投标人自2020年1月1日以来，承担过大气精准服务类项目，每提供一个业绩得1分，本项最高得4分；</w:t>
            </w:r>
          </w:p>
          <w:p>
            <w:pPr>
              <w:adjustRightInd w:val="0"/>
              <w:rPr>
                <w:rFonts w:cs="方正仿宋_GBK"/>
                <w:color w:val="auto"/>
                <w:kern w:val="0"/>
                <w:szCs w:val="21"/>
                <w:highlight w:val="none"/>
              </w:rPr>
            </w:pPr>
            <w:r>
              <w:rPr>
                <w:rFonts w:cs="方正仿宋_GBK"/>
                <w:color w:val="auto"/>
                <w:kern w:val="0"/>
                <w:szCs w:val="21"/>
                <w:highlight w:val="none"/>
              </w:rPr>
              <w:t>2.投标人自2020年1月1日以来，承担过</w:t>
            </w:r>
            <w:r>
              <w:rPr>
                <w:rFonts w:hint="eastAsia" w:cs="方正仿宋_GBK"/>
                <w:color w:val="auto"/>
                <w:kern w:val="0"/>
                <w:szCs w:val="21"/>
                <w:highlight w:val="none"/>
              </w:rPr>
              <w:t>激光雷达</w:t>
            </w:r>
            <w:r>
              <w:rPr>
                <w:rFonts w:cs="方正仿宋_GBK"/>
                <w:color w:val="auto"/>
                <w:kern w:val="0"/>
                <w:szCs w:val="21"/>
                <w:highlight w:val="none"/>
              </w:rPr>
              <w:t>大气环境走航监测类项目，每提供一个</w:t>
            </w:r>
            <w:r>
              <w:rPr>
                <w:rFonts w:hint="eastAsia" w:cs="方正仿宋_GBK"/>
                <w:color w:val="auto"/>
                <w:kern w:val="0"/>
                <w:szCs w:val="21"/>
                <w:highlight w:val="none"/>
              </w:rPr>
              <w:t>合同</w:t>
            </w:r>
            <w:r>
              <w:rPr>
                <w:rFonts w:cs="方正仿宋_GBK"/>
                <w:color w:val="auto"/>
                <w:kern w:val="0"/>
                <w:szCs w:val="21"/>
                <w:highlight w:val="none"/>
              </w:rPr>
              <w:t>得1分，本项最高得4分；</w:t>
            </w:r>
          </w:p>
          <w:p>
            <w:pPr>
              <w:adjustRightInd w:val="0"/>
              <w:rPr>
                <w:rFonts w:cs="方正仿宋_GBK"/>
                <w:color w:val="auto"/>
                <w:kern w:val="0"/>
                <w:szCs w:val="21"/>
                <w:highlight w:val="none"/>
              </w:rPr>
            </w:pPr>
            <w:r>
              <w:rPr>
                <w:rFonts w:cs="方正仿宋_GBK"/>
                <w:color w:val="auto"/>
                <w:kern w:val="0"/>
                <w:szCs w:val="21"/>
                <w:highlight w:val="none"/>
              </w:rPr>
              <w:t xml:space="preserve">4 </w:t>
            </w:r>
            <w:r>
              <w:rPr>
                <w:rFonts w:hint="eastAsia" w:cs="方正仿宋_GBK"/>
                <w:color w:val="auto"/>
                <w:kern w:val="0"/>
                <w:szCs w:val="21"/>
                <w:highlight w:val="none"/>
              </w:rPr>
              <w:t>投标人</w:t>
            </w:r>
            <w:r>
              <w:rPr>
                <w:rFonts w:cs="方正仿宋_GBK"/>
                <w:color w:val="auto"/>
                <w:kern w:val="0"/>
                <w:szCs w:val="21"/>
                <w:highlight w:val="none"/>
              </w:rPr>
              <w:t>自2020年1月1日（含）至今（以合同签订时间为准）,投标人承担过</w:t>
            </w:r>
            <w:r>
              <w:rPr>
                <w:rFonts w:hint="eastAsia" w:cs="方正仿宋_GBK"/>
                <w:color w:val="auto"/>
                <w:kern w:val="0"/>
                <w:szCs w:val="21"/>
                <w:highlight w:val="none"/>
              </w:rPr>
              <w:t>VOC类走航的项目</w:t>
            </w:r>
            <w:r>
              <w:rPr>
                <w:rFonts w:cs="方正仿宋_GBK"/>
                <w:color w:val="auto"/>
                <w:kern w:val="0"/>
                <w:szCs w:val="21"/>
                <w:highlight w:val="none"/>
              </w:rPr>
              <w:t>，提供</w:t>
            </w:r>
            <w:r>
              <w:rPr>
                <w:rFonts w:hint="eastAsia" w:cs="方正仿宋_GBK"/>
                <w:color w:val="auto"/>
                <w:kern w:val="0"/>
                <w:szCs w:val="21"/>
                <w:highlight w:val="none"/>
              </w:rPr>
              <w:t>一份合同</w:t>
            </w:r>
            <w:r>
              <w:rPr>
                <w:rFonts w:cs="方正仿宋_GBK"/>
                <w:color w:val="auto"/>
                <w:kern w:val="0"/>
                <w:szCs w:val="21"/>
                <w:highlight w:val="none"/>
              </w:rPr>
              <w:t>得1分，最高得4分。</w:t>
            </w:r>
          </w:p>
          <w:p>
            <w:pPr>
              <w:adjustRightInd w:val="0"/>
              <w:rPr>
                <w:rFonts w:cs="方正仿宋_GBK"/>
                <w:color w:val="auto"/>
                <w:kern w:val="0"/>
                <w:szCs w:val="21"/>
                <w:highlight w:val="none"/>
              </w:rPr>
            </w:pPr>
            <w:r>
              <w:rPr>
                <w:rFonts w:cs="方正仿宋_GBK"/>
                <w:color w:val="auto"/>
                <w:kern w:val="0"/>
                <w:szCs w:val="21"/>
                <w:highlight w:val="none"/>
              </w:rPr>
              <w:t>3.投标人自2020年1月1日以来</w:t>
            </w:r>
            <w:r>
              <w:rPr>
                <w:rFonts w:hint="eastAsia" w:cs="方正仿宋_GBK"/>
                <w:color w:val="auto"/>
                <w:kern w:val="0"/>
                <w:szCs w:val="21"/>
                <w:highlight w:val="none"/>
              </w:rPr>
              <w:t>，</w:t>
            </w:r>
            <w:r>
              <w:rPr>
                <w:rFonts w:cs="方正仿宋_GBK"/>
                <w:color w:val="auto"/>
                <w:kern w:val="0"/>
                <w:szCs w:val="21"/>
                <w:highlight w:val="none"/>
              </w:rPr>
              <w:t>承担过挥发性有机物监测设备</w:t>
            </w:r>
            <w:r>
              <w:rPr>
                <w:rFonts w:hint="eastAsia" w:cs="方正仿宋_GBK"/>
                <w:color w:val="auto"/>
                <w:kern w:val="0"/>
                <w:szCs w:val="21"/>
                <w:highlight w:val="none"/>
              </w:rPr>
              <w:t>或激光雷达类设备</w:t>
            </w:r>
            <w:r>
              <w:rPr>
                <w:rFonts w:cs="方正仿宋_GBK"/>
                <w:color w:val="auto"/>
                <w:kern w:val="0"/>
                <w:szCs w:val="21"/>
                <w:highlight w:val="none"/>
              </w:rPr>
              <w:t>运维的，提供一份合同得1分，最高得6分。</w:t>
            </w:r>
          </w:p>
          <w:p>
            <w:pPr>
              <w:adjustRightInd w:val="0"/>
              <w:rPr>
                <w:rFonts w:cs="方正仿宋_GBK"/>
                <w:color w:val="auto"/>
                <w:kern w:val="0"/>
                <w:szCs w:val="21"/>
                <w:highlight w:val="none"/>
              </w:rPr>
            </w:pPr>
            <w:r>
              <w:rPr>
                <w:rFonts w:hint="eastAsia" w:cs="方正仿宋_GBK"/>
                <w:color w:val="auto"/>
                <w:kern w:val="0"/>
                <w:szCs w:val="21"/>
                <w:highlight w:val="none"/>
              </w:rPr>
              <w:t>（注：提供合同加盖投标人公章，同一个业绩不重复计分。）</w:t>
            </w:r>
          </w:p>
        </w:tc>
        <w:tc>
          <w:tcPr>
            <w:tcW w:w="684" w:type="dxa"/>
            <w:tcBorders>
              <w:top w:val="nil"/>
              <w:left w:val="nil"/>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cs="方正仿宋_GBK"/>
                <w:color w:val="auto"/>
                <w:kern w:val="0"/>
                <w:szCs w:val="21"/>
                <w:highlight w:val="none"/>
              </w:rPr>
              <w:t>18</w:t>
            </w:r>
          </w:p>
        </w:tc>
      </w:tr>
      <w:tr>
        <w:tblPrEx>
          <w:tblCellMar>
            <w:top w:w="0" w:type="dxa"/>
            <w:left w:w="108" w:type="dxa"/>
            <w:bottom w:w="0" w:type="dxa"/>
            <w:right w:w="108" w:type="dxa"/>
          </w:tblCellMar>
        </w:tblPrEx>
        <w:trPr>
          <w:trHeight w:val="285" w:hRule="atLeast"/>
          <w:jc w:val="center"/>
        </w:trPr>
        <w:tc>
          <w:tcPr>
            <w:tcW w:w="988" w:type="dxa"/>
            <w:vMerge w:val="continue"/>
            <w:tcBorders>
              <w:left w:val="single" w:color="auto" w:sz="4" w:space="0"/>
              <w:bottom w:val="single" w:color="000000" w:sz="4" w:space="0"/>
              <w:right w:val="single" w:color="auto" w:sz="4" w:space="0"/>
            </w:tcBorders>
            <w:vAlign w:val="center"/>
          </w:tcPr>
          <w:p>
            <w:pPr>
              <w:widowControl/>
              <w:jc w:val="left"/>
              <w:rPr>
                <w:rFonts w:cs="方正仿宋_GBK"/>
                <w:color w:val="auto"/>
                <w:kern w:val="0"/>
                <w:szCs w:val="21"/>
                <w:highlight w:val="none"/>
              </w:rPr>
            </w:pPr>
          </w:p>
        </w:tc>
        <w:tc>
          <w:tcPr>
            <w:tcW w:w="7086" w:type="dxa"/>
            <w:tcBorders>
              <w:top w:val="nil"/>
              <w:left w:val="nil"/>
              <w:bottom w:val="single" w:color="auto" w:sz="4" w:space="0"/>
              <w:right w:val="single" w:color="auto" w:sz="4" w:space="0"/>
            </w:tcBorders>
            <w:vAlign w:val="center"/>
          </w:tcPr>
          <w:p>
            <w:pPr>
              <w:adjustRightInd w:val="0"/>
              <w:rPr>
                <w:rFonts w:ascii="仿宋" w:hAnsi="仿宋" w:cs="Arial"/>
                <w:color w:val="auto"/>
                <w:highlight w:val="none"/>
              </w:rPr>
            </w:pPr>
            <w:r>
              <w:rPr>
                <w:rFonts w:ascii="仿宋" w:hAnsi="仿宋" w:cs="Arial"/>
                <w:color w:val="auto"/>
                <w:highlight w:val="none"/>
              </w:rPr>
              <w:t>1. 投标人具有ISO9001质量管理体系认证证书、ISO14001环境管理体系认证证书、ISO45001职业健康安全管理体系认证证书的，每提供一项得1分，本项最多得3分；</w:t>
            </w:r>
          </w:p>
          <w:p>
            <w:pPr>
              <w:adjustRightInd w:val="0"/>
              <w:rPr>
                <w:rFonts w:ascii="仿宋" w:hAnsi="仿宋" w:cs="Arial"/>
                <w:color w:val="auto"/>
                <w:highlight w:val="none"/>
              </w:rPr>
            </w:pPr>
            <w:r>
              <w:rPr>
                <w:rFonts w:ascii="仿宋" w:hAnsi="仿宋" w:cs="Arial"/>
                <w:color w:val="auto"/>
                <w:highlight w:val="none"/>
              </w:rPr>
              <w:t>2. 投标人为环境管理提供</w:t>
            </w:r>
            <w:r>
              <w:rPr>
                <w:rFonts w:hint="eastAsia" w:ascii="仿宋" w:hAnsi="仿宋" w:cs="Arial"/>
                <w:color w:val="auto"/>
                <w:highlight w:val="none"/>
              </w:rPr>
              <w:t>过</w:t>
            </w:r>
            <w:r>
              <w:rPr>
                <w:rFonts w:ascii="仿宋" w:hAnsi="仿宋" w:cs="Arial"/>
                <w:color w:val="auto"/>
                <w:highlight w:val="none"/>
              </w:rPr>
              <w:t>技术支撑，承担环境管理有关的课题，每有一个得1分，本项最高得3分；</w:t>
            </w:r>
          </w:p>
          <w:p>
            <w:pPr>
              <w:adjustRightInd w:val="0"/>
              <w:rPr>
                <w:rFonts w:ascii="仿宋" w:hAnsi="仿宋" w:cs="Arial"/>
                <w:color w:val="auto"/>
                <w:highlight w:val="none"/>
              </w:rPr>
            </w:pPr>
            <w:r>
              <w:rPr>
                <w:rFonts w:ascii="仿宋" w:hAnsi="仿宋" w:cs="Arial"/>
                <w:color w:val="auto"/>
                <w:highlight w:val="none"/>
              </w:rPr>
              <w:t>3. 投标人在环境监测方面，获得过省级及以上行政主管部门颁发的奖励或奖项，每提供一项得 1分，本项最多得3分；</w:t>
            </w:r>
          </w:p>
          <w:p>
            <w:pPr>
              <w:adjustRightInd w:val="0"/>
              <w:rPr>
                <w:rFonts w:ascii="仿宋" w:hAnsi="仿宋" w:cs="Arial"/>
                <w:color w:val="auto"/>
                <w:highlight w:val="none"/>
              </w:rPr>
            </w:pPr>
            <w:r>
              <w:rPr>
                <w:rFonts w:ascii="仿宋" w:hAnsi="仿宋" w:cs="Arial"/>
                <w:color w:val="auto"/>
                <w:highlight w:val="none"/>
              </w:rPr>
              <w:t>4. 投标人自有VOCs走航监测车，每有一辆得1分，本项最多得5分。</w:t>
            </w:r>
          </w:p>
          <w:p>
            <w:pPr>
              <w:adjustRightInd w:val="0"/>
              <w:rPr>
                <w:rFonts w:ascii="仿宋" w:hAnsi="仿宋" w:cs="Arial"/>
                <w:color w:val="auto"/>
                <w:highlight w:val="none"/>
              </w:rPr>
            </w:pPr>
            <w:r>
              <w:rPr>
                <w:rFonts w:hint="eastAsia" w:ascii="仿宋" w:hAnsi="仿宋" w:cs="Arial"/>
                <w:color w:val="auto"/>
                <w:highlight w:val="none"/>
              </w:rPr>
              <w:t>（注：须提供相关证书、照片、报告等证明材料复印件并加盖单位公章。）</w:t>
            </w:r>
          </w:p>
          <w:p>
            <w:pPr>
              <w:adjustRightInd w:val="0"/>
              <w:rPr>
                <w:rFonts w:ascii="仿宋" w:hAnsi="仿宋" w:cs="Arial"/>
                <w:color w:val="auto"/>
                <w:highlight w:val="none"/>
              </w:rPr>
            </w:pPr>
          </w:p>
        </w:tc>
        <w:tc>
          <w:tcPr>
            <w:tcW w:w="684" w:type="dxa"/>
            <w:tcBorders>
              <w:top w:val="nil"/>
              <w:left w:val="nil"/>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cs="方正仿宋_GBK"/>
                <w:color w:val="auto"/>
                <w:kern w:val="0"/>
                <w:szCs w:val="21"/>
                <w:highlight w:val="none"/>
              </w:rPr>
              <w:t>14</w:t>
            </w:r>
          </w:p>
        </w:tc>
      </w:tr>
      <w:tr>
        <w:tblPrEx>
          <w:tblCellMar>
            <w:top w:w="0" w:type="dxa"/>
            <w:left w:w="108" w:type="dxa"/>
            <w:bottom w:w="0" w:type="dxa"/>
            <w:right w:w="108" w:type="dxa"/>
          </w:tblCellMar>
        </w:tblPrEx>
        <w:trPr>
          <w:trHeight w:val="55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widowControl/>
              <w:jc w:val="left"/>
              <w:rPr>
                <w:rFonts w:cs="方正仿宋_GBK"/>
                <w:color w:val="auto"/>
                <w:kern w:val="0"/>
                <w:szCs w:val="21"/>
                <w:highlight w:val="none"/>
              </w:rPr>
            </w:pPr>
          </w:p>
        </w:tc>
        <w:tc>
          <w:tcPr>
            <w:tcW w:w="7086" w:type="dxa"/>
            <w:tcBorders>
              <w:top w:val="single" w:color="auto" w:sz="4" w:space="0"/>
              <w:left w:val="single" w:color="auto" w:sz="4" w:space="0"/>
              <w:bottom w:val="single" w:color="auto" w:sz="4" w:space="0"/>
              <w:right w:val="single" w:color="auto" w:sz="4" w:space="0"/>
            </w:tcBorders>
            <w:vAlign w:val="center"/>
          </w:tcPr>
          <w:p>
            <w:pPr>
              <w:adjustRightInd w:val="0"/>
              <w:rPr>
                <w:rFonts w:cs="方正仿宋_GBK"/>
                <w:color w:val="auto"/>
                <w:kern w:val="0"/>
                <w:szCs w:val="21"/>
                <w:highlight w:val="none"/>
              </w:rPr>
            </w:pPr>
            <w:r>
              <w:rPr>
                <w:rFonts w:hint="eastAsia" w:cs="方正仿宋_GBK"/>
                <w:color w:val="auto"/>
                <w:kern w:val="0"/>
                <w:szCs w:val="21"/>
                <w:highlight w:val="none"/>
              </w:rPr>
              <w:t>合计</w:t>
            </w:r>
          </w:p>
        </w:tc>
        <w:tc>
          <w:tcPr>
            <w:tcW w:w="68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cs="方正仿宋_GBK"/>
                <w:color w:val="auto"/>
                <w:kern w:val="0"/>
                <w:szCs w:val="21"/>
                <w:highlight w:val="none"/>
              </w:rPr>
            </w:pPr>
            <w:r>
              <w:rPr>
                <w:rFonts w:hint="eastAsia" w:cs="方正仿宋_GBK"/>
                <w:color w:val="auto"/>
                <w:kern w:val="0"/>
                <w:szCs w:val="21"/>
                <w:highlight w:val="none"/>
              </w:rPr>
              <w:t>100</w:t>
            </w:r>
          </w:p>
        </w:tc>
      </w:tr>
    </w:tbl>
    <w:p>
      <w:pPr>
        <w:rPr>
          <w:rFonts w:ascii="宋体" w:hAnsi="宋体"/>
          <w:bCs/>
          <w:color w:val="auto"/>
          <w:szCs w:val="21"/>
          <w:highlight w:val="none"/>
        </w:rPr>
      </w:pPr>
    </w:p>
    <w:p>
      <w:pPr>
        <w:rPr>
          <w:rFonts w:ascii="宋体" w:hAnsi="宋体"/>
          <w:b/>
          <w:color w:val="auto"/>
          <w:szCs w:val="21"/>
          <w:highlight w:val="none"/>
        </w:rPr>
      </w:pPr>
      <w:r>
        <w:rPr>
          <w:rFonts w:hint="eastAsia" w:ascii="宋体" w:hAnsi="宋体"/>
          <w:b/>
          <w:color w:val="auto"/>
          <w:szCs w:val="21"/>
          <w:highlight w:val="none"/>
        </w:rPr>
        <w:t>包</w:t>
      </w:r>
      <w:r>
        <w:rPr>
          <w:rFonts w:ascii="宋体" w:hAnsi="宋体"/>
          <w:b/>
          <w:color w:val="auto"/>
          <w:szCs w:val="21"/>
          <w:highlight w:val="none"/>
        </w:rPr>
        <w:t>5</w:t>
      </w:r>
      <w:r>
        <w:rPr>
          <w:rFonts w:hint="eastAsia" w:ascii="宋体" w:hAnsi="宋体" w:eastAsiaTheme="minorEastAsia" w:cstheme="minorBidi"/>
          <w:b/>
          <w:color w:val="auto"/>
          <w:szCs w:val="21"/>
          <w:highlight w:val="none"/>
        </w:rPr>
        <w:t>大气颗粒物组分及VOCs多元综合分析子系统运维服务</w:t>
      </w:r>
    </w:p>
    <w:tbl>
      <w:tblPr>
        <w:tblStyle w:val="44"/>
        <w:tblW w:w="8659" w:type="dxa"/>
        <w:jc w:val="center"/>
        <w:tblLayout w:type="fixed"/>
        <w:tblCellMar>
          <w:top w:w="0" w:type="dxa"/>
          <w:left w:w="108" w:type="dxa"/>
          <w:bottom w:w="0" w:type="dxa"/>
          <w:right w:w="108" w:type="dxa"/>
        </w:tblCellMar>
      </w:tblPr>
      <w:tblGrid>
        <w:gridCol w:w="1006"/>
        <w:gridCol w:w="6932"/>
        <w:gridCol w:w="721"/>
      </w:tblGrid>
      <w:tr>
        <w:tblPrEx>
          <w:tblCellMar>
            <w:top w:w="0" w:type="dxa"/>
            <w:left w:w="108" w:type="dxa"/>
            <w:bottom w:w="0" w:type="dxa"/>
            <w:right w:w="108" w:type="dxa"/>
          </w:tblCellMar>
        </w:tblPrEx>
        <w:trPr>
          <w:trHeight w:val="614" w:hRule="atLeast"/>
          <w:jc w:val="center"/>
        </w:trPr>
        <w:tc>
          <w:tcPr>
            <w:tcW w:w="7938" w:type="dxa"/>
            <w:gridSpan w:val="2"/>
            <w:tcBorders>
              <w:top w:val="single" w:color="auto" w:sz="4" w:space="0"/>
              <w:left w:val="single" w:color="auto" w:sz="4" w:space="0"/>
              <w:bottom w:val="single" w:color="auto" w:sz="4" w:space="0"/>
              <w:right w:val="single" w:color="auto" w:sz="4" w:space="0"/>
            </w:tcBorders>
            <w:vAlign w:val="center"/>
          </w:tcPr>
          <w:p>
            <w:pPr>
              <w:rPr>
                <w:color w:val="auto"/>
                <w:highlight w:val="none"/>
              </w:rPr>
            </w:pPr>
            <w:r>
              <w:rPr>
                <w:rFonts w:hint="eastAsia"/>
                <w:color w:val="auto"/>
                <w:highlight w:val="none"/>
              </w:rPr>
              <w:t>专家根据投标人投标价格、技术服务、企业资质、信誉、业绩等三个方面，满分100分</w:t>
            </w:r>
          </w:p>
        </w:tc>
        <w:tc>
          <w:tcPr>
            <w:tcW w:w="721" w:type="dxa"/>
            <w:tcBorders>
              <w:top w:val="single" w:color="auto" w:sz="4" w:space="0"/>
              <w:left w:val="nil"/>
              <w:bottom w:val="single" w:color="auto" w:sz="4" w:space="0"/>
              <w:right w:val="single" w:color="auto" w:sz="4" w:space="0"/>
            </w:tcBorders>
            <w:vAlign w:val="center"/>
          </w:tcPr>
          <w:p>
            <w:pPr>
              <w:rPr>
                <w:color w:val="auto"/>
                <w:highlight w:val="none"/>
              </w:rPr>
            </w:pPr>
            <w:r>
              <w:rPr>
                <w:rFonts w:hint="eastAsia"/>
                <w:color w:val="auto"/>
                <w:highlight w:val="none"/>
              </w:rPr>
              <w:t>分值</w:t>
            </w:r>
          </w:p>
        </w:tc>
      </w:tr>
      <w:tr>
        <w:tblPrEx>
          <w:tblCellMar>
            <w:top w:w="0" w:type="dxa"/>
            <w:left w:w="108" w:type="dxa"/>
            <w:bottom w:w="0" w:type="dxa"/>
            <w:right w:w="108" w:type="dxa"/>
          </w:tblCellMar>
        </w:tblPrEx>
        <w:trPr>
          <w:trHeight w:val="917" w:hRule="atLeast"/>
          <w:jc w:val="center"/>
        </w:trPr>
        <w:tc>
          <w:tcPr>
            <w:tcW w:w="7938" w:type="dxa"/>
            <w:gridSpan w:val="2"/>
            <w:tcBorders>
              <w:top w:val="single" w:color="auto" w:sz="4" w:space="0"/>
              <w:left w:val="single" w:color="auto" w:sz="4" w:space="0"/>
              <w:bottom w:val="single" w:color="auto" w:sz="4" w:space="0"/>
              <w:right w:val="single" w:color="auto" w:sz="4" w:space="0"/>
            </w:tcBorders>
            <w:vAlign w:val="center"/>
          </w:tcPr>
          <w:p>
            <w:pPr>
              <w:rPr>
                <w:color w:val="auto"/>
                <w:highlight w:val="none"/>
              </w:rPr>
            </w:pPr>
            <w:r>
              <w:rPr>
                <w:rFonts w:hint="eastAsia"/>
                <w:color w:val="auto"/>
                <w:highlight w:val="none"/>
              </w:rPr>
              <w:t>价格分：满足招标文件要求且投标价格最低的投标报价为评标基准价，其价格分为满分。其他投标人的价格分统一按照下列公式计算：投标报价得分=(评标基准价／投标报价)×15</w:t>
            </w:r>
          </w:p>
        </w:tc>
        <w:tc>
          <w:tcPr>
            <w:tcW w:w="721" w:type="dxa"/>
            <w:tcBorders>
              <w:top w:val="single" w:color="auto" w:sz="4" w:space="0"/>
              <w:left w:val="nil"/>
              <w:bottom w:val="single" w:color="auto" w:sz="4" w:space="0"/>
              <w:right w:val="single" w:color="auto" w:sz="4" w:space="0"/>
            </w:tcBorders>
            <w:vAlign w:val="center"/>
          </w:tcPr>
          <w:p>
            <w:pPr>
              <w:rPr>
                <w:color w:val="auto"/>
                <w:highlight w:val="none"/>
              </w:rPr>
            </w:pPr>
            <w:r>
              <w:rPr>
                <w:color w:val="auto"/>
                <w:highlight w:val="none"/>
              </w:rPr>
              <w:t>15</w:t>
            </w:r>
          </w:p>
        </w:tc>
      </w:tr>
      <w:tr>
        <w:tblPrEx>
          <w:tblCellMar>
            <w:top w:w="0" w:type="dxa"/>
            <w:left w:w="108" w:type="dxa"/>
            <w:bottom w:w="0" w:type="dxa"/>
            <w:right w:w="108" w:type="dxa"/>
          </w:tblCellMar>
        </w:tblPrEx>
        <w:trPr>
          <w:trHeight w:val="1521" w:hRule="atLeast"/>
          <w:jc w:val="center"/>
        </w:trPr>
        <w:tc>
          <w:tcPr>
            <w:tcW w:w="1006" w:type="dxa"/>
            <w:vMerge w:val="restart"/>
            <w:tcBorders>
              <w:top w:val="nil"/>
              <w:left w:val="single" w:color="auto" w:sz="4" w:space="0"/>
              <w:right w:val="single" w:color="auto" w:sz="4" w:space="0"/>
            </w:tcBorders>
            <w:vAlign w:val="center"/>
          </w:tcPr>
          <w:p>
            <w:pPr>
              <w:jc w:val="center"/>
              <w:rPr>
                <w:color w:val="auto"/>
                <w:highlight w:val="none"/>
              </w:rPr>
            </w:pPr>
            <w:r>
              <w:rPr>
                <w:rFonts w:hint="eastAsia"/>
                <w:color w:val="auto"/>
                <w:highlight w:val="none"/>
              </w:rPr>
              <w:t>人员与车辆配置（</w:t>
            </w:r>
            <w:r>
              <w:rPr>
                <w:color w:val="auto"/>
                <w:highlight w:val="none"/>
              </w:rPr>
              <w:t>21</w:t>
            </w:r>
            <w:r>
              <w:rPr>
                <w:rFonts w:hint="eastAsia"/>
                <w:color w:val="auto"/>
                <w:highlight w:val="none"/>
              </w:rPr>
              <w:t>分）</w:t>
            </w:r>
          </w:p>
        </w:tc>
        <w:tc>
          <w:tcPr>
            <w:tcW w:w="6932" w:type="dxa"/>
            <w:tcBorders>
              <w:top w:val="nil"/>
              <w:left w:val="nil"/>
              <w:bottom w:val="single" w:color="auto" w:sz="4" w:space="0"/>
              <w:right w:val="single" w:color="auto" w:sz="4" w:space="0"/>
            </w:tcBorders>
            <w:vAlign w:val="center"/>
          </w:tcPr>
          <w:p>
            <w:pPr>
              <w:rPr>
                <w:color w:val="auto"/>
                <w:highlight w:val="none"/>
              </w:rPr>
            </w:pPr>
            <w:r>
              <w:rPr>
                <w:rFonts w:hint="eastAsia"/>
                <w:color w:val="auto"/>
                <w:highlight w:val="none"/>
              </w:rPr>
              <w:t>投标人需具备本地化运维服务能力，在服务区域3小时车程范围内至少设立</w:t>
            </w:r>
            <w:r>
              <w:rPr>
                <w:color w:val="auto"/>
                <w:highlight w:val="none"/>
              </w:rPr>
              <w:t>1</w:t>
            </w:r>
            <w:r>
              <w:rPr>
                <w:rFonts w:hint="eastAsia"/>
                <w:color w:val="auto"/>
                <w:highlight w:val="none"/>
              </w:rPr>
              <w:t>个技术支持机构，根据投标人提供的本地化服务方案，优于采购文件需求，本地化服务便于高效开展得</w:t>
            </w:r>
            <w:r>
              <w:rPr>
                <w:color w:val="auto"/>
                <w:highlight w:val="none"/>
              </w:rPr>
              <w:t>4</w:t>
            </w:r>
            <w:r>
              <w:rPr>
                <w:rFonts w:hint="eastAsia"/>
                <w:color w:val="auto"/>
                <w:highlight w:val="none"/>
              </w:rPr>
              <w:t>分；基本满足采购文件需求，高效开展本地化服务存在一定不足得</w:t>
            </w:r>
            <w:r>
              <w:rPr>
                <w:color w:val="auto"/>
                <w:highlight w:val="none"/>
              </w:rPr>
              <w:t>1</w:t>
            </w:r>
            <w:r>
              <w:rPr>
                <w:rFonts w:hint="eastAsia"/>
                <w:color w:val="auto"/>
                <w:highlight w:val="none"/>
              </w:rPr>
              <w:t>分；没有不得分。（须提供已有技术支持能力的证明材料）</w:t>
            </w:r>
          </w:p>
        </w:tc>
        <w:tc>
          <w:tcPr>
            <w:tcW w:w="721" w:type="dxa"/>
            <w:tcBorders>
              <w:top w:val="nil"/>
              <w:left w:val="nil"/>
              <w:bottom w:val="single" w:color="auto" w:sz="4" w:space="0"/>
              <w:right w:val="single" w:color="auto" w:sz="4" w:space="0"/>
            </w:tcBorders>
            <w:vAlign w:val="center"/>
          </w:tcPr>
          <w:p>
            <w:pPr>
              <w:jc w:val="center"/>
              <w:rPr>
                <w:color w:val="auto"/>
                <w:highlight w:val="none"/>
              </w:rPr>
            </w:pPr>
            <w:r>
              <w:rPr>
                <w:color w:val="auto"/>
                <w:highlight w:val="none"/>
              </w:rPr>
              <w:t>4</w:t>
            </w:r>
          </w:p>
        </w:tc>
      </w:tr>
      <w:tr>
        <w:tblPrEx>
          <w:tblCellMar>
            <w:top w:w="0" w:type="dxa"/>
            <w:left w:w="108" w:type="dxa"/>
            <w:bottom w:w="0" w:type="dxa"/>
            <w:right w:w="108" w:type="dxa"/>
          </w:tblCellMar>
        </w:tblPrEx>
        <w:trPr>
          <w:trHeight w:val="917" w:hRule="atLeast"/>
          <w:jc w:val="center"/>
        </w:trPr>
        <w:tc>
          <w:tcPr>
            <w:tcW w:w="1006" w:type="dxa"/>
            <w:vMerge w:val="continue"/>
            <w:tcBorders>
              <w:left w:val="single" w:color="auto" w:sz="4" w:space="0"/>
              <w:right w:val="single" w:color="auto" w:sz="4" w:space="0"/>
            </w:tcBorders>
            <w:vAlign w:val="center"/>
          </w:tcPr>
          <w:p>
            <w:pPr>
              <w:rPr>
                <w:color w:val="auto"/>
                <w:highlight w:val="none"/>
              </w:rPr>
            </w:pPr>
          </w:p>
        </w:tc>
        <w:tc>
          <w:tcPr>
            <w:tcW w:w="6932" w:type="dxa"/>
            <w:tcBorders>
              <w:top w:val="nil"/>
              <w:left w:val="nil"/>
              <w:bottom w:val="single" w:color="auto" w:sz="4" w:space="0"/>
              <w:right w:val="single" w:color="auto" w:sz="4" w:space="0"/>
            </w:tcBorders>
            <w:vAlign w:val="center"/>
          </w:tcPr>
          <w:p>
            <w:pPr>
              <w:rPr>
                <w:color w:val="auto"/>
                <w:highlight w:val="none"/>
              </w:rPr>
            </w:pPr>
            <w:r>
              <w:rPr>
                <w:rFonts w:hint="eastAsia"/>
                <w:color w:val="auto"/>
                <w:szCs w:val="21"/>
                <w:highlight w:val="none"/>
              </w:rPr>
              <w:t>为本项目配置的运维人员学历均在本科及以上得基础分</w:t>
            </w:r>
            <w:r>
              <w:rPr>
                <w:color w:val="auto"/>
                <w:szCs w:val="21"/>
                <w:highlight w:val="none"/>
              </w:rPr>
              <w:t>3</w:t>
            </w:r>
            <w:r>
              <w:rPr>
                <w:rFonts w:hint="eastAsia"/>
                <w:color w:val="auto"/>
                <w:szCs w:val="21"/>
                <w:highlight w:val="none"/>
              </w:rPr>
              <w:t>分；运维人员具备环境、电子、自动化或仪器仪表专业背景的每</w:t>
            </w:r>
            <w:r>
              <w:rPr>
                <w:color w:val="auto"/>
                <w:szCs w:val="21"/>
                <w:highlight w:val="none"/>
              </w:rPr>
              <w:t>1</w:t>
            </w:r>
            <w:r>
              <w:rPr>
                <w:rFonts w:hint="eastAsia"/>
                <w:color w:val="auto"/>
                <w:szCs w:val="21"/>
                <w:highlight w:val="none"/>
              </w:rPr>
              <w:t>人加</w:t>
            </w:r>
            <w:r>
              <w:rPr>
                <w:color w:val="auto"/>
                <w:szCs w:val="21"/>
                <w:highlight w:val="none"/>
              </w:rPr>
              <w:t>1</w:t>
            </w:r>
            <w:r>
              <w:rPr>
                <w:rFonts w:hint="eastAsia"/>
                <w:color w:val="auto"/>
                <w:szCs w:val="21"/>
                <w:highlight w:val="none"/>
              </w:rPr>
              <w:t>分，本项最高</w:t>
            </w:r>
            <w:r>
              <w:rPr>
                <w:color w:val="auto"/>
                <w:szCs w:val="21"/>
                <w:highlight w:val="none"/>
              </w:rPr>
              <w:t>5</w:t>
            </w:r>
            <w:r>
              <w:rPr>
                <w:rFonts w:hint="eastAsia"/>
                <w:color w:val="auto"/>
                <w:szCs w:val="21"/>
                <w:highlight w:val="none"/>
              </w:rPr>
              <w:t>分。</w:t>
            </w:r>
          </w:p>
        </w:tc>
        <w:tc>
          <w:tcPr>
            <w:tcW w:w="721" w:type="dxa"/>
            <w:tcBorders>
              <w:top w:val="nil"/>
              <w:left w:val="nil"/>
              <w:bottom w:val="single" w:color="auto" w:sz="4" w:space="0"/>
              <w:right w:val="single" w:color="auto" w:sz="4" w:space="0"/>
            </w:tcBorders>
            <w:vAlign w:val="center"/>
          </w:tcPr>
          <w:p>
            <w:pPr>
              <w:jc w:val="center"/>
              <w:rPr>
                <w:color w:val="auto"/>
                <w:highlight w:val="none"/>
              </w:rPr>
            </w:pPr>
            <w:r>
              <w:rPr>
                <w:color w:val="auto"/>
                <w:highlight w:val="none"/>
              </w:rPr>
              <w:t>5</w:t>
            </w:r>
          </w:p>
        </w:tc>
      </w:tr>
      <w:tr>
        <w:tblPrEx>
          <w:tblCellMar>
            <w:top w:w="0" w:type="dxa"/>
            <w:left w:w="108" w:type="dxa"/>
            <w:bottom w:w="0" w:type="dxa"/>
            <w:right w:w="108" w:type="dxa"/>
          </w:tblCellMar>
        </w:tblPrEx>
        <w:trPr>
          <w:trHeight w:val="740" w:hRule="atLeast"/>
          <w:jc w:val="center"/>
        </w:trPr>
        <w:tc>
          <w:tcPr>
            <w:tcW w:w="1006" w:type="dxa"/>
            <w:vMerge w:val="continue"/>
            <w:tcBorders>
              <w:left w:val="single" w:color="auto" w:sz="4" w:space="0"/>
              <w:right w:val="single" w:color="auto" w:sz="4" w:space="0"/>
            </w:tcBorders>
            <w:vAlign w:val="center"/>
          </w:tcPr>
          <w:p>
            <w:pPr>
              <w:rPr>
                <w:color w:val="auto"/>
                <w:highlight w:val="none"/>
              </w:rPr>
            </w:pPr>
          </w:p>
        </w:tc>
        <w:tc>
          <w:tcPr>
            <w:tcW w:w="6932" w:type="dxa"/>
            <w:tcBorders>
              <w:top w:val="nil"/>
              <w:left w:val="nil"/>
              <w:bottom w:val="single" w:color="auto" w:sz="4" w:space="0"/>
              <w:right w:val="single" w:color="auto" w:sz="4" w:space="0"/>
            </w:tcBorders>
            <w:vAlign w:val="center"/>
          </w:tcPr>
          <w:p>
            <w:pPr>
              <w:rPr>
                <w:color w:val="auto"/>
                <w:highlight w:val="none"/>
              </w:rPr>
            </w:pPr>
            <w:r>
              <w:rPr>
                <w:rFonts w:hint="eastAsia"/>
                <w:color w:val="auto"/>
                <w:szCs w:val="21"/>
                <w:highlight w:val="none"/>
              </w:rPr>
              <w:t>投标人为实施本项目至少配置</w:t>
            </w:r>
            <w:r>
              <w:rPr>
                <w:color w:val="auto"/>
                <w:szCs w:val="21"/>
                <w:highlight w:val="none"/>
              </w:rPr>
              <w:t>1</w:t>
            </w:r>
            <w:r>
              <w:rPr>
                <w:rFonts w:hint="eastAsia"/>
                <w:color w:val="auto"/>
                <w:szCs w:val="21"/>
                <w:highlight w:val="none"/>
              </w:rPr>
              <w:t>辆专用车辆的得基础分</w:t>
            </w:r>
            <w:r>
              <w:rPr>
                <w:color w:val="auto"/>
                <w:szCs w:val="21"/>
                <w:highlight w:val="none"/>
              </w:rPr>
              <w:t>2</w:t>
            </w:r>
            <w:r>
              <w:rPr>
                <w:rFonts w:hint="eastAsia"/>
                <w:color w:val="auto"/>
                <w:szCs w:val="21"/>
                <w:highlight w:val="none"/>
              </w:rPr>
              <w:t>分，不满足得</w:t>
            </w:r>
            <w:r>
              <w:rPr>
                <w:color w:val="auto"/>
                <w:szCs w:val="21"/>
                <w:highlight w:val="none"/>
              </w:rPr>
              <w:t>0</w:t>
            </w:r>
            <w:r>
              <w:rPr>
                <w:rFonts w:hint="eastAsia"/>
                <w:color w:val="auto"/>
                <w:szCs w:val="21"/>
                <w:highlight w:val="none"/>
              </w:rPr>
              <w:t>分（须提供车辆牌照、行驶证信息、车辆采购或租赁等证明材料）；</w:t>
            </w:r>
            <w:r>
              <w:rPr>
                <w:rFonts w:hint="eastAsia"/>
                <w:color w:val="auto"/>
                <w:highlight w:val="none"/>
              </w:rPr>
              <w:t xml:space="preserve"> </w:t>
            </w:r>
          </w:p>
        </w:tc>
        <w:tc>
          <w:tcPr>
            <w:tcW w:w="721" w:type="dxa"/>
            <w:tcBorders>
              <w:top w:val="nil"/>
              <w:left w:val="nil"/>
              <w:bottom w:val="single" w:color="auto" w:sz="4" w:space="0"/>
              <w:right w:val="single" w:color="auto" w:sz="4" w:space="0"/>
            </w:tcBorders>
            <w:vAlign w:val="center"/>
          </w:tcPr>
          <w:p>
            <w:pPr>
              <w:jc w:val="center"/>
              <w:rPr>
                <w:color w:val="auto"/>
                <w:highlight w:val="none"/>
              </w:rPr>
            </w:pPr>
            <w:r>
              <w:rPr>
                <w:color w:val="auto"/>
                <w:highlight w:val="none"/>
              </w:rPr>
              <w:t>2</w:t>
            </w:r>
          </w:p>
        </w:tc>
      </w:tr>
      <w:tr>
        <w:tblPrEx>
          <w:tblCellMar>
            <w:top w:w="0" w:type="dxa"/>
            <w:left w:w="108" w:type="dxa"/>
            <w:bottom w:w="0" w:type="dxa"/>
            <w:right w:w="108" w:type="dxa"/>
          </w:tblCellMar>
        </w:tblPrEx>
        <w:trPr>
          <w:trHeight w:val="917" w:hRule="atLeast"/>
          <w:jc w:val="center"/>
        </w:trPr>
        <w:tc>
          <w:tcPr>
            <w:tcW w:w="1006" w:type="dxa"/>
            <w:vMerge w:val="continue"/>
            <w:tcBorders>
              <w:left w:val="single" w:color="auto" w:sz="4" w:space="0"/>
              <w:right w:val="single" w:color="auto" w:sz="4" w:space="0"/>
            </w:tcBorders>
            <w:vAlign w:val="center"/>
          </w:tcPr>
          <w:p>
            <w:pPr>
              <w:rPr>
                <w:color w:val="auto"/>
                <w:highlight w:val="none"/>
              </w:rPr>
            </w:pPr>
          </w:p>
        </w:tc>
        <w:tc>
          <w:tcPr>
            <w:tcW w:w="6932" w:type="dxa"/>
            <w:tcBorders>
              <w:top w:val="nil"/>
              <w:left w:val="nil"/>
              <w:bottom w:val="single" w:color="auto" w:sz="4" w:space="0"/>
              <w:right w:val="single" w:color="auto" w:sz="4" w:space="0"/>
            </w:tcBorders>
            <w:vAlign w:val="center"/>
          </w:tcPr>
          <w:p>
            <w:pPr>
              <w:rPr>
                <w:color w:val="auto"/>
                <w:highlight w:val="none"/>
              </w:rPr>
            </w:pPr>
            <w:r>
              <w:rPr>
                <w:rFonts w:hint="eastAsia"/>
                <w:color w:val="auto"/>
                <w:highlight w:val="none"/>
              </w:rPr>
              <w:t>投标人在运维期内安排1名驻场人员得</w:t>
            </w:r>
            <w:r>
              <w:rPr>
                <w:color w:val="auto"/>
                <w:highlight w:val="none"/>
              </w:rPr>
              <w:t>2</w:t>
            </w:r>
            <w:r>
              <w:rPr>
                <w:rFonts w:hint="eastAsia"/>
                <w:color w:val="auto"/>
                <w:highlight w:val="none"/>
              </w:rPr>
              <w:t>分，该人员具备质控平台一年以上驻场维护经验的加</w:t>
            </w:r>
            <w:r>
              <w:rPr>
                <w:color w:val="auto"/>
                <w:highlight w:val="none"/>
              </w:rPr>
              <w:t>2</w:t>
            </w:r>
            <w:r>
              <w:rPr>
                <w:rFonts w:hint="eastAsia"/>
                <w:color w:val="auto"/>
                <w:highlight w:val="none"/>
              </w:rPr>
              <w:t>分，如该人员具有三年驻场维护经验的再加</w:t>
            </w:r>
            <w:r>
              <w:rPr>
                <w:color w:val="auto"/>
                <w:highlight w:val="none"/>
              </w:rPr>
              <w:t>1</w:t>
            </w:r>
            <w:r>
              <w:rPr>
                <w:rFonts w:hint="eastAsia"/>
                <w:color w:val="auto"/>
                <w:highlight w:val="none"/>
              </w:rPr>
              <w:t>分（须提供甲方证明材料），没有不得分，本项最高</w:t>
            </w:r>
            <w:r>
              <w:rPr>
                <w:color w:val="auto"/>
                <w:highlight w:val="none"/>
              </w:rPr>
              <w:t>5</w:t>
            </w:r>
            <w:r>
              <w:rPr>
                <w:rFonts w:hint="eastAsia"/>
                <w:color w:val="auto"/>
                <w:highlight w:val="none"/>
              </w:rPr>
              <w:t>分。</w:t>
            </w:r>
          </w:p>
        </w:tc>
        <w:tc>
          <w:tcPr>
            <w:tcW w:w="721" w:type="dxa"/>
            <w:tcBorders>
              <w:top w:val="nil"/>
              <w:left w:val="nil"/>
              <w:bottom w:val="single" w:color="auto" w:sz="4" w:space="0"/>
              <w:right w:val="single" w:color="auto" w:sz="4" w:space="0"/>
            </w:tcBorders>
            <w:vAlign w:val="center"/>
          </w:tcPr>
          <w:p>
            <w:pPr>
              <w:jc w:val="center"/>
              <w:rPr>
                <w:color w:val="auto"/>
                <w:highlight w:val="none"/>
              </w:rPr>
            </w:pPr>
            <w:r>
              <w:rPr>
                <w:color w:val="auto"/>
                <w:highlight w:val="none"/>
              </w:rPr>
              <w:t>5</w:t>
            </w:r>
          </w:p>
        </w:tc>
      </w:tr>
      <w:tr>
        <w:tblPrEx>
          <w:tblCellMar>
            <w:top w:w="0" w:type="dxa"/>
            <w:left w:w="108" w:type="dxa"/>
            <w:bottom w:w="0" w:type="dxa"/>
            <w:right w:w="108" w:type="dxa"/>
          </w:tblCellMar>
        </w:tblPrEx>
        <w:trPr>
          <w:trHeight w:val="917" w:hRule="atLeast"/>
          <w:jc w:val="center"/>
        </w:trPr>
        <w:tc>
          <w:tcPr>
            <w:tcW w:w="1006" w:type="dxa"/>
            <w:vMerge w:val="continue"/>
            <w:tcBorders>
              <w:left w:val="single" w:color="auto" w:sz="4" w:space="0"/>
              <w:bottom w:val="single" w:color="000000" w:sz="4" w:space="0"/>
              <w:right w:val="single" w:color="auto" w:sz="4" w:space="0"/>
            </w:tcBorders>
            <w:vAlign w:val="center"/>
          </w:tcPr>
          <w:p>
            <w:pPr>
              <w:rPr>
                <w:color w:val="auto"/>
                <w:highlight w:val="none"/>
              </w:rPr>
            </w:pPr>
          </w:p>
        </w:tc>
        <w:tc>
          <w:tcPr>
            <w:tcW w:w="6932" w:type="dxa"/>
            <w:tcBorders>
              <w:top w:val="nil"/>
              <w:left w:val="nil"/>
              <w:bottom w:val="single" w:color="auto" w:sz="4" w:space="0"/>
              <w:right w:val="single" w:color="auto" w:sz="4" w:space="0"/>
            </w:tcBorders>
            <w:vAlign w:val="center"/>
          </w:tcPr>
          <w:p>
            <w:pPr>
              <w:rPr>
                <w:color w:val="auto"/>
                <w:highlight w:val="none"/>
              </w:rPr>
            </w:pPr>
            <w:r>
              <w:rPr>
                <w:rFonts w:hint="eastAsia"/>
                <w:color w:val="auto"/>
                <w:highlight w:val="none"/>
              </w:rPr>
              <w:t>能熟练操作平台数据分析仪设备（运维人员具备省级及以上生态环境部门颁发的环境空气自动监测上岗证或培训合格证），具有相关证书</w:t>
            </w:r>
            <w:r>
              <w:rPr>
                <w:color w:val="auto"/>
                <w:highlight w:val="none"/>
              </w:rPr>
              <w:t>2</w:t>
            </w:r>
            <w:r>
              <w:rPr>
                <w:rFonts w:hint="eastAsia"/>
                <w:color w:val="auto"/>
                <w:highlight w:val="none"/>
              </w:rPr>
              <w:t>人的得基础</w:t>
            </w:r>
            <w:r>
              <w:rPr>
                <w:color w:val="auto"/>
                <w:highlight w:val="none"/>
              </w:rPr>
              <w:t>3</w:t>
            </w:r>
            <w:r>
              <w:rPr>
                <w:rFonts w:hint="eastAsia"/>
                <w:color w:val="auto"/>
                <w:highlight w:val="none"/>
              </w:rPr>
              <w:t>分，每多一人加</w:t>
            </w:r>
            <w:r>
              <w:rPr>
                <w:color w:val="auto"/>
                <w:highlight w:val="none"/>
              </w:rPr>
              <w:t>1</w:t>
            </w:r>
            <w:r>
              <w:rPr>
                <w:rFonts w:hint="eastAsia"/>
                <w:color w:val="auto"/>
                <w:highlight w:val="none"/>
              </w:rPr>
              <w:t>分，最高</w:t>
            </w:r>
            <w:r>
              <w:rPr>
                <w:color w:val="auto"/>
                <w:highlight w:val="none"/>
              </w:rPr>
              <w:t>5</w:t>
            </w:r>
            <w:r>
              <w:rPr>
                <w:rFonts w:hint="eastAsia"/>
                <w:color w:val="auto"/>
                <w:highlight w:val="none"/>
              </w:rPr>
              <w:t>分</w:t>
            </w:r>
          </w:p>
        </w:tc>
        <w:tc>
          <w:tcPr>
            <w:tcW w:w="721" w:type="dxa"/>
            <w:tcBorders>
              <w:top w:val="nil"/>
              <w:left w:val="nil"/>
              <w:bottom w:val="single" w:color="auto" w:sz="4" w:space="0"/>
              <w:right w:val="single" w:color="auto" w:sz="4" w:space="0"/>
            </w:tcBorders>
            <w:vAlign w:val="center"/>
          </w:tcPr>
          <w:p>
            <w:pPr>
              <w:jc w:val="center"/>
              <w:rPr>
                <w:color w:val="auto"/>
                <w:highlight w:val="none"/>
              </w:rPr>
            </w:pPr>
            <w:r>
              <w:rPr>
                <w:color w:val="auto"/>
                <w:highlight w:val="none"/>
              </w:rPr>
              <w:t>5</w:t>
            </w:r>
          </w:p>
        </w:tc>
      </w:tr>
      <w:tr>
        <w:tblPrEx>
          <w:tblCellMar>
            <w:top w:w="0" w:type="dxa"/>
            <w:left w:w="108" w:type="dxa"/>
            <w:bottom w:w="0" w:type="dxa"/>
            <w:right w:w="108" w:type="dxa"/>
          </w:tblCellMar>
        </w:tblPrEx>
        <w:trPr>
          <w:trHeight w:val="1219" w:hRule="atLeast"/>
          <w:jc w:val="center"/>
        </w:trPr>
        <w:tc>
          <w:tcPr>
            <w:tcW w:w="1006" w:type="dxa"/>
            <w:vMerge w:val="restart"/>
            <w:tcBorders>
              <w:top w:val="nil"/>
              <w:left w:val="single" w:color="auto" w:sz="4" w:space="0"/>
              <w:right w:val="single" w:color="auto" w:sz="4" w:space="0"/>
            </w:tcBorders>
            <w:vAlign w:val="center"/>
          </w:tcPr>
          <w:p>
            <w:pPr>
              <w:rPr>
                <w:color w:val="auto"/>
                <w:highlight w:val="none"/>
              </w:rPr>
            </w:pPr>
            <w:r>
              <w:rPr>
                <w:rFonts w:hint="eastAsia"/>
                <w:color w:val="auto"/>
                <w:highlight w:val="none"/>
              </w:rPr>
              <w:t>运维服务方案及技术要求响应情况（</w:t>
            </w:r>
            <w:r>
              <w:rPr>
                <w:color w:val="auto"/>
                <w:highlight w:val="none"/>
              </w:rPr>
              <w:t>33</w:t>
            </w:r>
            <w:r>
              <w:rPr>
                <w:rFonts w:hint="eastAsia"/>
                <w:color w:val="auto"/>
                <w:highlight w:val="none"/>
              </w:rPr>
              <w:t>分）</w:t>
            </w:r>
          </w:p>
        </w:tc>
        <w:tc>
          <w:tcPr>
            <w:tcW w:w="6932" w:type="dxa"/>
            <w:tcBorders>
              <w:top w:val="nil"/>
              <w:left w:val="nil"/>
              <w:bottom w:val="single" w:color="auto" w:sz="4" w:space="0"/>
              <w:right w:val="single" w:color="auto" w:sz="4" w:space="0"/>
            </w:tcBorders>
            <w:vAlign w:val="center"/>
          </w:tcPr>
          <w:p>
            <w:pPr>
              <w:rPr>
                <w:color w:val="auto"/>
                <w:highlight w:val="none"/>
              </w:rPr>
            </w:pPr>
            <w:r>
              <w:rPr>
                <w:rFonts w:hint="eastAsia"/>
                <w:color w:val="auto"/>
                <w:highlight w:val="none"/>
              </w:rPr>
              <w:t>投标人对项目需求理解透彻，能够提供针对大气颗粒物组分及</w:t>
            </w:r>
            <w:r>
              <w:rPr>
                <w:color w:val="auto"/>
                <w:highlight w:val="none"/>
              </w:rPr>
              <w:t>VOCs多元综合分析子系统的运维实施方案，对系统的数据集成、质控审核、运维管理、颗粒物与光化学分析</w:t>
            </w:r>
            <w:r>
              <w:rPr>
                <w:rFonts w:hint="eastAsia"/>
                <w:color w:val="auto"/>
                <w:highlight w:val="none"/>
              </w:rPr>
              <w:t>，</w:t>
            </w:r>
            <w:r>
              <w:rPr>
                <w:color w:val="auto"/>
                <w:highlight w:val="none"/>
              </w:rPr>
              <w:t>描述</w:t>
            </w:r>
            <w:r>
              <w:rPr>
                <w:rFonts w:hint="eastAsia"/>
                <w:color w:val="auto"/>
                <w:highlight w:val="none"/>
              </w:rPr>
              <w:t>4</w:t>
            </w:r>
            <w:r>
              <w:rPr>
                <w:color w:val="auto"/>
                <w:highlight w:val="none"/>
              </w:rPr>
              <w:t>个应用的服务内容和实现方法，</w:t>
            </w:r>
            <w:r>
              <w:rPr>
                <w:rFonts w:hint="eastAsia"/>
                <w:color w:val="auto"/>
                <w:highlight w:val="none"/>
              </w:rPr>
              <w:t>每一项</w:t>
            </w:r>
            <w:r>
              <w:rPr>
                <w:color w:val="auto"/>
                <w:highlight w:val="none"/>
              </w:rPr>
              <w:t>2</w:t>
            </w:r>
            <w:r>
              <w:rPr>
                <w:rFonts w:hint="eastAsia"/>
                <w:color w:val="auto"/>
                <w:highlight w:val="none"/>
              </w:rPr>
              <w:t>分，共8分。</w:t>
            </w:r>
          </w:p>
        </w:tc>
        <w:tc>
          <w:tcPr>
            <w:tcW w:w="721" w:type="dxa"/>
            <w:tcBorders>
              <w:top w:val="nil"/>
              <w:left w:val="nil"/>
              <w:bottom w:val="single" w:color="auto" w:sz="4" w:space="0"/>
              <w:right w:val="single" w:color="auto" w:sz="4" w:space="0"/>
            </w:tcBorders>
            <w:vAlign w:val="center"/>
          </w:tcPr>
          <w:p>
            <w:pPr>
              <w:jc w:val="center"/>
              <w:rPr>
                <w:color w:val="auto"/>
                <w:highlight w:val="none"/>
              </w:rPr>
            </w:pPr>
            <w:r>
              <w:rPr>
                <w:color w:val="auto"/>
                <w:highlight w:val="none"/>
              </w:rPr>
              <w:t>8</w:t>
            </w:r>
          </w:p>
        </w:tc>
      </w:tr>
      <w:tr>
        <w:tblPrEx>
          <w:tblCellMar>
            <w:top w:w="0" w:type="dxa"/>
            <w:left w:w="108" w:type="dxa"/>
            <w:bottom w:w="0" w:type="dxa"/>
            <w:right w:w="108" w:type="dxa"/>
          </w:tblCellMar>
        </w:tblPrEx>
        <w:trPr>
          <w:trHeight w:val="1219" w:hRule="atLeast"/>
          <w:jc w:val="center"/>
        </w:trPr>
        <w:tc>
          <w:tcPr>
            <w:tcW w:w="1006" w:type="dxa"/>
            <w:vMerge w:val="continue"/>
            <w:tcBorders>
              <w:left w:val="single" w:color="auto" w:sz="4" w:space="0"/>
              <w:right w:val="single" w:color="auto" w:sz="4" w:space="0"/>
            </w:tcBorders>
            <w:vAlign w:val="center"/>
          </w:tcPr>
          <w:p>
            <w:pPr>
              <w:rPr>
                <w:color w:val="auto"/>
                <w:highlight w:val="none"/>
              </w:rPr>
            </w:pPr>
          </w:p>
        </w:tc>
        <w:tc>
          <w:tcPr>
            <w:tcW w:w="6932" w:type="dxa"/>
            <w:tcBorders>
              <w:top w:val="nil"/>
              <w:left w:val="nil"/>
              <w:bottom w:val="single" w:color="auto" w:sz="4" w:space="0"/>
              <w:right w:val="single" w:color="auto" w:sz="4" w:space="0"/>
            </w:tcBorders>
            <w:vAlign w:val="center"/>
          </w:tcPr>
          <w:p>
            <w:pPr>
              <w:rPr>
                <w:color w:val="auto"/>
                <w:highlight w:val="none"/>
              </w:rPr>
            </w:pPr>
            <w:r>
              <w:rPr>
                <w:rFonts w:hint="eastAsia"/>
                <w:color w:val="auto"/>
                <w:highlight w:val="none"/>
              </w:rPr>
              <w:t>项目应急方案：根据投标人提供的应急方案进行综合评分：应急方案科学合理、可操作性强、完全满足项目需求得</w:t>
            </w:r>
            <w:r>
              <w:rPr>
                <w:color w:val="auto"/>
                <w:highlight w:val="none"/>
              </w:rPr>
              <w:t>10</w:t>
            </w:r>
            <w:r>
              <w:rPr>
                <w:rFonts w:hint="eastAsia"/>
                <w:color w:val="auto"/>
                <w:highlight w:val="none"/>
              </w:rPr>
              <w:t>分；应急方案较为科学合理、可操作性较强、较好满足项目需求得</w:t>
            </w:r>
            <w:r>
              <w:rPr>
                <w:color w:val="auto"/>
                <w:highlight w:val="none"/>
              </w:rPr>
              <w:t>7</w:t>
            </w:r>
            <w:r>
              <w:rPr>
                <w:rFonts w:hint="eastAsia"/>
                <w:color w:val="auto"/>
                <w:highlight w:val="none"/>
              </w:rPr>
              <w:t>分；应急方案基本科学合理、可操作性一般、基本满足项目需求得</w:t>
            </w:r>
            <w:r>
              <w:rPr>
                <w:color w:val="auto"/>
                <w:highlight w:val="none"/>
              </w:rPr>
              <w:t>4</w:t>
            </w:r>
            <w:r>
              <w:rPr>
                <w:rFonts w:hint="eastAsia"/>
                <w:color w:val="auto"/>
                <w:highlight w:val="none"/>
              </w:rPr>
              <w:t>分；不提供不得分。</w:t>
            </w:r>
          </w:p>
        </w:tc>
        <w:tc>
          <w:tcPr>
            <w:tcW w:w="721" w:type="dxa"/>
            <w:tcBorders>
              <w:top w:val="nil"/>
              <w:left w:val="nil"/>
              <w:bottom w:val="single" w:color="auto" w:sz="4" w:space="0"/>
              <w:right w:val="single" w:color="auto" w:sz="4" w:space="0"/>
            </w:tcBorders>
            <w:vAlign w:val="center"/>
          </w:tcPr>
          <w:p>
            <w:pPr>
              <w:adjustRightInd w:val="0"/>
              <w:snapToGrid w:val="0"/>
              <w:jc w:val="center"/>
              <w:textAlignment w:val="baseline"/>
              <w:rPr>
                <w:color w:val="auto"/>
                <w:highlight w:val="none"/>
              </w:rPr>
            </w:pPr>
            <w:r>
              <w:rPr>
                <w:bCs/>
                <w:color w:val="auto"/>
                <w:spacing w:val="-10"/>
                <w:szCs w:val="21"/>
                <w:highlight w:val="none"/>
              </w:rPr>
              <w:t>10</w:t>
            </w:r>
          </w:p>
        </w:tc>
      </w:tr>
      <w:tr>
        <w:tblPrEx>
          <w:tblCellMar>
            <w:top w:w="0" w:type="dxa"/>
            <w:left w:w="108" w:type="dxa"/>
            <w:bottom w:w="0" w:type="dxa"/>
            <w:right w:w="108" w:type="dxa"/>
          </w:tblCellMar>
        </w:tblPrEx>
        <w:trPr>
          <w:trHeight w:val="917" w:hRule="atLeast"/>
          <w:jc w:val="center"/>
        </w:trPr>
        <w:tc>
          <w:tcPr>
            <w:tcW w:w="1006" w:type="dxa"/>
            <w:vMerge w:val="continue"/>
            <w:tcBorders>
              <w:left w:val="single" w:color="auto" w:sz="4" w:space="0"/>
              <w:right w:val="single" w:color="auto" w:sz="4" w:space="0"/>
            </w:tcBorders>
            <w:vAlign w:val="center"/>
          </w:tcPr>
          <w:p>
            <w:pPr>
              <w:rPr>
                <w:color w:val="auto"/>
                <w:highlight w:val="none"/>
              </w:rPr>
            </w:pPr>
          </w:p>
        </w:tc>
        <w:tc>
          <w:tcPr>
            <w:tcW w:w="6932" w:type="dxa"/>
            <w:tcBorders>
              <w:top w:val="single" w:color="auto" w:sz="4" w:space="0"/>
              <w:left w:val="nil"/>
              <w:bottom w:val="single" w:color="auto" w:sz="4" w:space="0"/>
              <w:right w:val="single" w:color="auto" w:sz="4" w:space="0"/>
            </w:tcBorders>
            <w:vAlign w:val="center"/>
          </w:tcPr>
          <w:p>
            <w:pPr>
              <w:rPr>
                <w:color w:val="auto"/>
                <w:highlight w:val="none"/>
              </w:rPr>
            </w:pPr>
            <w:r>
              <w:rPr>
                <w:rFonts w:hint="eastAsia" w:ascii="宋体" w:hAnsi="宋体" w:cs="宋体"/>
                <w:color w:val="auto"/>
                <w:szCs w:val="21"/>
                <w:highlight w:val="none"/>
              </w:rPr>
              <w:t>项目运维方案：</w:t>
            </w:r>
            <w:r>
              <w:rPr>
                <w:rFonts w:hint="eastAsia"/>
                <w:color w:val="auto"/>
                <w:highlight w:val="none"/>
              </w:rPr>
              <w:t>根据投标人提供的平台运维方案的完整性、可行性等情况评分。提供的运维服务方案优于需求得</w:t>
            </w:r>
            <w:r>
              <w:rPr>
                <w:color w:val="auto"/>
                <w:highlight w:val="none"/>
              </w:rPr>
              <w:t>10</w:t>
            </w:r>
            <w:r>
              <w:rPr>
                <w:rFonts w:hint="eastAsia"/>
                <w:color w:val="auto"/>
                <w:highlight w:val="none"/>
              </w:rPr>
              <w:t>分；符合需求得</w:t>
            </w:r>
            <w:r>
              <w:rPr>
                <w:color w:val="auto"/>
                <w:highlight w:val="none"/>
              </w:rPr>
              <w:t>7</w:t>
            </w:r>
            <w:r>
              <w:rPr>
                <w:rFonts w:hint="eastAsia"/>
                <w:color w:val="auto"/>
                <w:highlight w:val="none"/>
              </w:rPr>
              <w:t>分；方案欠佳得</w:t>
            </w:r>
            <w:r>
              <w:rPr>
                <w:color w:val="auto"/>
                <w:highlight w:val="none"/>
              </w:rPr>
              <w:t>4</w:t>
            </w:r>
            <w:r>
              <w:rPr>
                <w:rFonts w:hint="eastAsia"/>
                <w:color w:val="auto"/>
                <w:highlight w:val="none"/>
              </w:rPr>
              <w:t>分；未提供相关内容得0分。</w:t>
            </w:r>
          </w:p>
        </w:tc>
        <w:tc>
          <w:tcPr>
            <w:tcW w:w="721" w:type="dxa"/>
            <w:tcBorders>
              <w:top w:val="single" w:color="auto" w:sz="4" w:space="0"/>
              <w:left w:val="nil"/>
              <w:bottom w:val="single" w:color="auto" w:sz="4" w:space="0"/>
              <w:right w:val="single" w:color="auto" w:sz="4" w:space="0"/>
            </w:tcBorders>
            <w:vAlign w:val="center"/>
          </w:tcPr>
          <w:p>
            <w:pPr>
              <w:jc w:val="center"/>
              <w:rPr>
                <w:color w:val="auto"/>
                <w:highlight w:val="none"/>
              </w:rPr>
            </w:pPr>
            <w:r>
              <w:rPr>
                <w:color w:val="auto"/>
                <w:highlight w:val="none"/>
              </w:rPr>
              <w:t>10</w:t>
            </w:r>
          </w:p>
        </w:tc>
      </w:tr>
      <w:tr>
        <w:tblPrEx>
          <w:tblCellMar>
            <w:top w:w="0" w:type="dxa"/>
            <w:left w:w="108" w:type="dxa"/>
            <w:bottom w:w="0" w:type="dxa"/>
            <w:right w:w="108" w:type="dxa"/>
          </w:tblCellMar>
        </w:tblPrEx>
        <w:trPr>
          <w:trHeight w:val="1219" w:hRule="atLeast"/>
          <w:jc w:val="center"/>
        </w:trPr>
        <w:tc>
          <w:tcPr>
            <w:tcW w:w="1006" w:type="dxa"/>
            <w:vMerge w:val="continue"/>
            <w:tcBorders>
              <w:left w:val="single" w:color="auto" w:sz="4" w:space="0"/>
              <w:bottom w:val="single" w:color="000000" w:sz="4" w:space="0"/>
              <w:right w:val="single" w:color="auto" w:sz="4" w:space="0"/>
            </w:tcBorders>
            <w:vAlign w:val="center"/>
          </w:tcPr>
          <w:p>
            <w:pPr>
              <w:rPr>
                <w:color w:val="auto"/>
                <w:highlight w:val="none"/>
              </w:rPr>
            </w:pPr>
          </w:p>
        </w:tc>
        <w:tc>
          <w:tcPr>
            <w:tcW w:w="6932" w:type="dxa"/>
            <w:tcBorders>
              <w:top w:val="single" w:color="auto" w:sz="4" w:space="0"/>
              <w:left w:val="nil"/>
              <w:bottom w:val="single" w:color="auto" w:sz="4" w:space="0"/>
              <w:right w:val="single" w:color="auto" w:sz="4" w:space="0"/>
            </w:tcBorders>
          </w:tcPr>
          <w:p>
            <w:pPr>
              <w:rPr>
                <w:rFonts w:ascii="宋体" w:hAnsi="宋体" w:cs="宋体"/>
                <w:color w:val="auto"/>
                <w:szCs w:val="21"/>
                <w:highlight w:val="none"/>
              </w:rPr>
            </w:pPr>
            <w:r>
              <w:rPr>
                <w:rFonts w:hint="eastAsia" w:ascii="宋体" w:hAnsi="宋体" w:cs="宋体"/>
                <w:color w:val="auto"/>
                <w:szCs w:val="21"/>
                <w:highlight w:val="none"/>
              </w:rPr>
              <w:t>平台培训方案：</w:t>
            </w:r>
            <w:r>
              <w:rPr>
                <w:rFonts w:hint="eastAsia"/>
                <w:color w:val="auto"/>
                <w:highlight w:val="none"/>
              </w:rPr>
              <w:t>投标人</w:t>
            </w:r>
            <w:r>
              <w:rPr>
                <w:rFonts w:hint="eastAsia" w:ascii="宋体" w:hAnsi="宋体" w:cs="宋体"/>
                <w:color w:val="auto"/>
                <w:szCs w:val="21"/>
                <w:highlight w:val="none"/>
              </w:rPr>
              <w:t>负责对使用单位管理员和操作人员进行平台操作培训，提供培训方案。方案细致全面、合理，完全响应采购人需求，可行性强得</w:t>
            </w:r>
            <w:r>
              <w:rPr>
                <w:rFonts w:ascii="宋体" w:hAnsi="宋体" w:cs="宋体"/>
                <w:color w:val="auto"/>
                <w:szCs w:val="21"/>
                <w:highlight w:val="none"/>
              </w:rPr>
              <w:t>6</w:t>
            </w:r>
            <w:r>
              <w:rPr>
                <w:rFonts w:hint="eastAsia" w:ascii="宋体" w:hAnsi="宋体" w:cs="宋体"/>
                <w:color w:val="auto"/>
                <w:szCs w:val="21"/>
                <w:highlight w:val="none"/>
              </w:rPr>
              <w:t>分；方案较为完整，基本响应采购人需求得</w:t>
            </w:r>
            <w:r>
              <w:rPr>
                <w:rFonts w:ascii="宋体" w:hAnsi="宋体" w:cs="宋体"/>
                <w:color w:val="auto"/>
                <w:szCs w:val="21"/>
                <w:highlight w:val="none"/>
              </w:rPr>
              <w:t>3</w:t>
            </w:r>
            <w:r>
              <w:rPr>
                <w:rFonts w:hint="eastAsia" w:ascii="宋体" w:hAnsi="宋体" w:cs="宋体"/>
                <w:color w:val="auto"/>
                <w:szCs w:val="21"/>
                <w:highlight w:val="none"/>
              </w:rPr>
              <w:t>分；方案不完整、响应度低、技术可行性较低得0分。</w:t>
            </w:r>
          </w:p>
        </w:tc>
        <w:tc>
          <w:tcPr>
            <w:tcW w:w="721" w:type="dxa"/>
            <w:tcBorders>
              <w:top w:val="single" w:color="auto" w:sz="4" w:space="0"/>
              <w:left w:val="nil"/>
              <w:bottom w:val="single" w:color="auto" w:sz="4" w:space="0"/>
              <w:right w:val="single" w:color="auto" w:sz="4" w:space="0"/>
            </w:tcBorders>
            <w:vAlign w:val="center"/>
          </w:tcPr>
          <w:p>
            <w:pPr>
              <w:snapToGrid w:val="0"/>
              <w:spacing w:line="360" w:lineRule="exact"/>
              <w:jc w:val="center"/>
              <w:rPr>
                <w:color w:val="auto"/>
                <w:highlight w:val="none"/>
              </w:rPr>
            </w:pPr>
            <w:r>
              <w:rPr>
                <w:rFonts w:ascii="仿宋" w:hAnsi="仿宋" w:eastAsia="仿宋" w:cs="仿宋"/>
                <w:color w:val="auto"/>
                <w:szCs w:val="21"/>
                <w:highlight w:val="none"/>
              </w:rPr>
              <w:t>6</w:t>
            </w:r>
          </w:p>
        </w:tc>
      </w:tr>
      <w:tr>
        <w:tblPrEx>
          <w:tblCellMar>
            <w:top w:w="0" w:type="dxa"/>
            <w:left w:w="108" w:type="dxa"/>
            <w:bottom w:w="0" w:type="dxa"/>
            <w:right w:w="108" w:type="dxa"/>
          </w:tblCellMar>
        </w:tblPrEx>
        <w:trPr>
          <w:trHeight w:val="1219" w:hRule="atLeast"/>
          <w:jc w:val="center"/>
        </w:trPr>
        <w:tc>
          <w:tcPr>
            <w:tcW w:w="1006" w:type="dxa"/>
            <w:vMerge w:val="restart"/>
            <w:tcBorders>
              <w:top w:val="single" w:color="auto" w:sz="4" w:space="0"/>
              <w:left w:val="single" w:color="auto" w:sz="4" w:space="0"/>
              <w:right w:val="single" w:color="auto" w:sz="4" w:space="0"/>
            </w:tcBorders>
            <w:vAlign w:val="center"/>
          </w:tcPr>
          <w:p>
            <w:pPr>
              <w:rPr>
                <w:color w:val="auto"/>
                <w:highlight w:val="none"/>
              </w:rPr>
            </w:pPr>
            <w:r>
              <w:rPr>
                <w:rFonts w:hint="eastAsia"/>
                <w:color w:val="auto"/>
                <w:highlight w:val="none"/>
              </w:rPr>
              <w:t>企业资质、信誉、业绩（</w:t>
            </w:r>
            <w:r>
              <w:rPr>
                <w:color w:val="auto"/>
                <w:highlight w:val="none"/>
              </w:rPr>
              <w:t>31</w:t>
            </w:r>
            <w:r>
              <w:rPr>
                <w:rFonts w:hint="eastAsia"/>
                <w:color w:val="auto"/>
                <w:highlight w:val="none"/>
              </w:rPr>
              <w:t>分）</w:t>
            </w:r>
          </w:p>
        </w:tc>
        <w:tc>
          <w:tcPr>
            <w:tcW w:w="6932" w:type="dxa"/>
            <w:tcBorders>
              <w:top w:val="single" w:color="auto" w:sz="4" w:space="0"/>
              <w:left w:val="single" w:color="auto" w:sz="4" w:space="0"/>
              <w:bottom w:val="single" w:color="auto" w:sz="4" w:space="0"/>
              <w:right w:val="single" w:color="auto" w:sz="4" w:space="0"/>
            </w:tcBorders>
            <w:vAlign w:val="center"/>
          </w:tcPr>
          <w:p>
            <w:pPr>
              <w:rPr>
                <w:color w:val="auto"/>
                <w:highlight w:val="none"/>
              </w:rPr>
            </w:pPr>
            <w:r>
              <w:rPr>
                <w:color w:val="auto"/>
                <w:highlight w:val="none"/>
              </w:rPr>
              <w:t>1、根据投标人提供的环境管理体系认证证书、质量管理体系认证证书、职业健康安全体系认证证书、ISO27001信息安全管理体系（环境监测系统）、ISO10012测量管理体系证书的每个得2分，最高得10分。（提供有效期内证书复印件加盖公章）</w:t>
            </w:r>
          </w:p>
        </w:tc>
        <w:tc>
          <w:tcPr>
            <w:tcW w:w="721" w:type="dxa"/>
            <w:tcBorders>
              <w:top w:val="nil"/>
              <w:left w:val="nil"/>
              <w:bottom w:val="single" w:color="auto" w:sz="4" w:space="0"/>
              <w:right w:val="single" w:color="auto" w:sz="4" w:space="0"/>
            </w:tcBorders>
            <w:vAlign w:val="center"/>
          </w:tcPr>
          <w:p>
            <w:pPr>
              <w:jc w:val="center"/>
              <w:rPr>
                <w:color w:val="auto"/>
                <w:highlight w:val="none"/>
              </w:rPr>
            </w:pPr>
            <w:r>
              <w:rPr>
                <w:color w:val="auto"/>
                <w:highlight w:val="none"/>
              </w:rPr>
              <w:t>10</w:t>
            </w:r>
          </w:p>
        </w:tc>
      </w:tr>
      <w:tr>
        <w:tblPrEx>
          <w:tblCellMar>
            <w:top w:w="0" w:type="dxa"/>
            <w:left w:w="108" w:type="dxa"/>
            <w:bottom w:w="0" w:type="dxa"/>
            <w:right w:w="108" w:type="dxa"/>
          </w:tblCellMar>
        </w:tblPrEx>
        <w:trPr>
          <w:trHeight w:val="1823" w:hRule="atLeast"/>
          <w:jc w:val="center"/>
        </w:trPr>
        <w:tc>
          <w:tcPr>
            <w:tcW w:w="1006" w:type="dxa"/>
            <w:vMerge w:val="continue"/>
            <w:tcBorders>
              <w:left w:val="single" w:color="auto" w:sz="4" w:space="0"/>
              <w:right w:val="single" w:color="auto" w:sz="4" w:space="0"/>
            </w:tcBorders>
            <w:vAlign w:val="center"/>
          </w:tcPr>
          <w:p>
            <w:pPr>
              <w:rPr>
                <w:color w:val="auto"/>
                <w:highlight w:val="none"/>
              </w:rPr>
            </w:pPr>
          </w:p>
        </w:tc>
        <w:tc>
          <w:tcPr>
            <w:tcW w:w="6932" w:type="dxa"/>
            <w:tcBorders>
              <w:top w:val="nil"/>
              <w:left w:val="nil"/>
              <w:bottom w:val="single" w:color="auto" w:sz="4" w:space="0"/>
              <w:right w:val="single" w:color="auto" w:sz="4" w:space="0"/>
            </w:tcBorders>
            <w:vAlign w:val="center"/>
          </w:tcPr>
          <w:p>
            <w:pPr>
              <w:rPr>
                <w:color w:val="auto"/>
                <w:highlight w:val="none"/>
              </w:rPr>
            </w:pPr>
            <w:r>
              <w:rPr>
                <w:color w:val="auto"/>
                <w:highlight w:val="none"/>
              </w:rPr>
              <w:t>1、投标人具有较高软件成熟度及系统交付能力，提供</w:t>
            </w:r>
            <w:r>
              <w:rPr>
                <w:rFonts w:hint="eastAsia"/>
                <w:color w:val="auto"/>
                <w:highlight w:val="none"/>
              </w:rPr>
              <w:t>相关机构</w:t>
            </w:r>
            <w:r>
              <w:rPr>
                <w:color w:val="auto"/>
                <w:highlight w:val="none"/>
              </w:rPr>
              <w:t>认证、信息系统服务商交付能力评估认证资质文件，每提供1项得2分，本项满分4分。（提供有效期内证书复印件加盖公章）</w:t>
            </w:r>
          </w:p>
          <w:p>
            <w:pPr>
              <w:rPr>
                <w:color w:val="auto"/>
                <w:highlight w:val="none"/>
              </w:rPr>
            </w:pPr>
            <w:r>
              <w:rPr>
                <w:color w:val="auto"/>
                <w:highlight w:val="none"/>
              </w:rPr>
              <w:t>2、投标人具备完善的服务体系、不断强化的服务管理水平和服务能力，具有GB/T27922商品售后服务评价五星认证，认证范围涵盖超站平台，满足得2分。（提供有效期内证书复印件加盖公章）</w:t>
            </w:r>
          </w:p>
        </w:tc>
        <w:tc>
          <w:tcPr>
            <w:tcW w:w="721" w:type="dxa"/>
            <w:tcBorders>
              <w:top w:val="nil"/>
              <w:left w:val="nil"/>
              <w:bottom w:val="single" w:color="auto" w:sz="4" w:space="0"/>
              <w:right w:val="single" w:color="auto" w:sz="4" w:space="0"/>
            </w:tcBorders>
            <w:vAlign w:val="center"/>
          </w:tcPr>
          <w:p>
            <w:pPr>
              <w:jc w:val="center"/>
              <w:rPr>
                <w:color w:val="auto"/>
                <w:highlight w:val="none"/>
              </w:rPr>
            </w:pPr>
            <w:r>
              <w:rPr>
                <w:color w:val="auto"/>
                <w:highlight w:val="none"/>
              </w:rPr>
              <w:t>6</w:t>
            </w:r>
          </w:p>
        </w:tc>
      </w:tr>
      <w:tr>
        <w:tblPrEx>
          <w:tblCellMar>
            <w:top w:w="0" w:type="dxa"/>
            <w:left w:w="108" w:type="dxa"/>
            <w:bottom w:w="0" w:type="dxa"/>
            <w:right w:w="108" w:type="dxa"/>
          </w:tblCellMar>
        </w:tblPrEx>
        <w:trPr>
          <w:trHeight w:val="614" w:hRule="atLeast"/>
          <w:jc w:val="center"/>
        </w:trPr>
        <w:tc>
          <w:tcPr>
            <w:tcW w:w="1006" w:type="dxa"/>
            <w:vMerge w:val="continue"/>
            <w:tcBorders>
              <w:left w:val="single" w:color="auto" w:sz="4" w:space="0"/>
              <w:right w:val="single" w:color="auto" w:sz="4" w:space="0"/>
            </w:tcBorders>
            <w:vAlign w:val="center"/>
          </w:tcPr>
          <w:p>
            <w:pPr>
              <w:rPr>
                <w:color w:val="auto"/>
                <w:highlight w:val="none"/>
              </w:rPr>
            </w:pPr>
          </w:p>
        </w:tc>
        <w:tc>
          <w:tcPr>
            <w:tcW w:w="6932" w:type="dxa"/>
            <w:tcBorders>
              <w:top w:val="nil"/>
              <w:left w:val="nil"/>
              <w:bottom w:val="single" w:color="auto" w:sz="4" w:space="0"/>
              <w:right w:val="single" w:color="auto" w:sz="4" w:space="0"/>
            </w:tcBorders>
            <w:vAlign w:val="center"/>
          </w:tcPr>
          <w:p>
            <w:pPr>
              <w:rPr>
                <w:rFonts w:ascii="宋体" w:hAnsi="宋体" w:cs="方正仿宋_GBK"/>
                <w:color w:val="auto"/>
                <w:szCs w:val="21"/>
                <w:highlight w:val="none"/>
              </w:rPr>
            </w:pPr>
            <w:r>
              <w:rPr>
                <w:rFonts w:hint="eastAsia" w:ascii="宋体" w:hAnsi="宋体" w:cs="方正仿宋_GBK"/>
                <w:color w:val="auto"/>
                <w:szCs w:val="21"/>
                <w:highlight w:val="none"/>
              </w:rPr>
              <w:t>投标人具有2</w:t>
            </w:r>
            <w:r>
              <w:rPr>
                <w:rFonts w:ascii="宋体" w:hAnsi="宋体" w:cs="方正仿宋_GBK"/>
                <w:color w:val="auto"/>
                <w:szCs w:val="21"/>
                <w:highlight w:val="none"/>
              </w:rPr>
              <w:t>020</w:t>
            </w:r>
            <w:r>
              <w:rPr>
                <w:rFonts w:hint="eastAsia" w:ascii="宋体" w:hAnsi="宋体" w:cs="方正仿宋_GBK"/>
                <w:color w:val="auto"/>
                <w:szCs w:val="21"/>
                <w:highlight w:val="none"/>
              </w:rPr>
              <w:t>年以来颗粒物组分平台建设或运维相关业绩的，每提供一份合同得1分，本项满分8分。（提供合同复印件</w:t>
            </w:r>
            <w:r>
              <w:rPr>
                <w:color w:val="auto"/>
                <w:highlight w:val="none"/>
              </w:rPr>
              <w:t>加盖公章</w:t>
            </w:r>
            <w:r>
              <w:rPr>
                <w:rFonts w:hint="eastAsia" w:ascii="宋体" w:hAnsi="宋体" w:cs="方正仿宋_GBK"/>
                <w:color w:val="auto"/>
                <w:szCs w:val="21"/>
                <w:highlight w:val="none"/>
              </w:rPr>
              <w:t>）</w:t>
            </w:r>
          </w:p>
        </w:tc>
        <w:tc>
          <w:tcPr>
            <w:tcW w:w="721" w:type="dxa"/>
            <w:tcBorders>
              <w:top w:val="nil"/>
              <w:left w:val="nil"/>
              <w:bottom w:val="single" w:color="auto" w:sz="4" w:space="0"/>
              <w:right w:val="single" w:color="auto" w:sz="4" w:space="0"/>
            </w:tcBorders>
            <w:vAlign w:val="center"/>
          </w:tcPr>
          <w:p>
            <w:pPr>
              <w:jc w:val="center"/>
              <w:rPr>
                <w:color w:val="auto"/>
                <w:highlight w:val="none"/>
              </w:rPr>
            </w:pPr>
            <w:r>
              <w:rPr>
                <w:color w:val="auto"/>
                <w:highlight w:val="none"/>
              </w:rPr>
              <w:t>8</w:t>
            </w:r>
          </w:p>
        </w:tc>
      </w:tr>
      <w:tr>
        <w:tblPrEx>
          <w:tblCellMar>
            <w:top w:w="0" w:type="dxa"/>
            <w:left w:w="108" w:type="dxa"/>
            <w:bottom w:w="0" w:type="dxa"/>
            <w:right w:w="108" w:type="dxa"/>
          </w:tblCellMar>
        </w:tblPrEx>
        <w:trPr>
          <w:trHeight w:val="917" w:hRule="atLeast"/>
          <w:jc w:val="center"/>
        </w:trPr>
        <w:tc>
          <w:tcPr>
            <w:tcW w:w="1006" w:type="dxa"/>
            <w:vMerge w:val="continue"/>
            <w:tcBorders>
              <w:left w:val="single" w:color="auto" w:sz="4" w:space="0"/>
              <w:bottom w:val="single" w:color="auto" w:sz="4" w:space="0"/>
              <w:right w:val="single" w:color="auto" w:sz="4" w:space="0"/>
            </w:tcBorders>
            <w:vAlign w:val="center"/>
          </w:tcPr>
          <w:p>
            <w:pPr>
              <w:rPr>
                <w:color w:val="auto"/>
                <w:highlight w:val="none"/>
              </w:rPr>
            </w:pPr>
          </w:p>
        </w:tc>
        <w:tc>
          <w:tcPr>
            <w:tcW w:w="6932" w:type="dxa"/>
            <w:tcBorders>
              <w:top w:val="nil"/>
              <w:left w:val="nil"/>
              <w:bottom w:val="single" w:color="auto" w:sz="4" w:space="0"/>
              <w:right w:val="single" w:color="auto" w:sz="4" w:space="0"/>
            </w:tcBorders>
            <w:vAlign w:val="center"/>
          </w:tcPr>
          <w:p>
            <w:pPr>
              <w:rPr>
                <w:color w:val="auto"/>
                <w:highlight w:val="none"/>
              </w:rPr>
            </w:pPr>
            <w:r>
              <w:rPr>
                <w:color w:val="auto"/>
                <w:highlight w:val="none"/>
              </w:rPr>
              <w:t>1、投标人具有与本项目相关的颗粒物组分及光化学分析类软件自主研发能力并获得软件著作权的，每提供1个，得2分，本项满分6分。（提供有效期内相关软件著作权证书复印件加盖公章）</w:t>
            </w:r>
          </w:p>
        </w:tc>
        <w:tc>
          <w:tcPr>
            <w:tcW w:w="721" w:type="dxa"/>
            <w:tcBorders>
              <w:top w:val="nil"/>
              <w:left w:val="nil"/>
              <w:bottom w:val="single" w:color="auto" w:sz="4" w:space="0"/>
              <w:right w:val="single" w:color="auto" w:sz="4" w:space="0"/>
            </w:tcBorders>
            <w:vAlign w:val="center"/>
          </w:tcPr>
          <w:p>
            <w:pPr>
              <w:jc w:val="center"/>
              <w:rPr>
                <w:color w:val="auto"/>
                <w:highlight w:val="none"/>
              </w:rPr>
            </w:pPr>
            <w:r>
              <w:rPr>
                <w:color w:val="auto"/>
                <w:highlight w:val="none"/>
              </w:rPr>
              <w:t>6</w:t>
            </w:r>
          </w:p>
        </w:tc>
      </w:tr>
      <w:tr>
        <w:tblPrEx>
          <w:tblCellMar>
            <w:top w:w="0" w:type="dxa"/>
            <w:left w:w="108" w:type="dxa"/>
            <w:bottom w:w="0" w:type="dxa"/>
            <w:right w:w="108" w:type="dxa"/>
          </w:tblCellMar>
        </w:tblPrEx>
        <w:trPr>
          <w:trHeight w:val="557" w:hRule="atLeast"/>
          <w:jc w:val="center"/>
        </w:trPr>
        <w:tc>
          <w:tcPr>
            <w:tcW w:w="1006" w:type="dxa"/>
            <w:tcBorders>
              <w:top w:val="single" w:color="auto" w:sz="4" w:space="0"/>
              <w:left w:val="single" w:color="auto" w:sz="4" w:space="0"/>
              <w:bottom w:val="single" w:color="auto" w:sz="4" w:space="0"/>
              <w:right w:val="single" w:color="auto" w:sz="4" w:space="0"/>
            </w:tcBorders>
            <w:vAlign w:val="center"/>
          </w:tcPr>
          <w:p>
            <w:pPr>
              <w:rPr>
                <w:color w:val="auto"/>
                <w:highlight w:val="none"/>
              </w:rPr>
            </w:pPr>
          </w:p>
        </w:tc>
        <w:tc>
          <w:tcPr>
            <w:tcW w:w="6932" w:type="dxa"/>
            <w:tcBorders>
              <w:top w:val="single" w:color="auto" w:sz="4" w:space="0"/>
              <w:left w:val="single" w:color="auto" w:sz="4" w:space="0"/>
              <w:bottom w:val="single" w:color="auto" w:sz="4" w:space="0"/>
              <w:right w:val="single" w:color="auto" w:sz="4" w:space="0"/>
            </w:tcBorders>
            <w:vAlign w:val="center"/>
          </w:tcPr>
          <w:p>
            <w:pPr>
              <w:rPr>
                <w:color w:val="auto"/>
                <w:szCs w:val="21"/>
                <w:highlight w:val="none"/>
              </w:rPr>
            </w:pPr>
            <w:r>
              <w:rPr>
                <w:rFonts w:hint="eastAsia"/>
                <w:color w:val="auto"/>
                <w:szCs w:val="21"/>
                <w:highlight w:val="none"/>
              </w:rPr>
              <w:t>合计</w:t>
            </w:r>
          </w:p>
        </w:tc>
        <w:tc>
          <w:tcPr>
            <w:tcW w:w="721" w:type="dxa"/>
            <w:tcBorders>
              <w:top w:val="single" w:color="auto" w:sz="4" w:space="0"/>
              <w:left w:val="single" w:color="auto" w:sz="4" w:space="0"/>
              <w:bottom w:val="single" w:color="auto" w:sz="4" w:space="0"/>
              <w:right w:val="single" w:color="auto" w:sz="4" w:space="0"/>
            </w:tcBorders>
            <w:vAlign w:val="center"/>
          </w:tcPr>
          <w:p>
            <w:pPr>
              <w:jc w:val="center"/>
              <w:rPr>
                <w:color w:val="auto"/>
                <w:highlight w:val="none"/>
              </w:rPr>
            </w:pPr>
            <w:r>
              <w:rPr>
                <w:rFonts w:hint="eastAsia"/>
                <w:color w:val="auto"/>
                <w:highlight w:val="none"/>
              </w:rPr>
              <w:t>100</w:t>
            </w:r>
          </w:p>
        </w:tc>
      </w:tr>
    </w:tbl>
    <w:p>
      <w:pPr>
        <w:snapToGrid w:val="0"/>
        <w:rPr>
          <w:rFonts w:ascii="Arial" w:hAnsi="Arial" w:cs="Arial"/>
          <w:b/>
          <w:color w:val="auto"/>
          <w:sz w:val="22"/>
          <w:szCs w:val="28"/>
          <w:highlight w:val="none"/>
        </w:rPr>
      </w:pPr>
    </w:p>
    <w:p>
      <w:pPr>
        <w:snapToGrid w:val="0"/>
        <w:rPr>
          <w:rFonts w:ascii="Arial" w:hAnsi="Arial" w:cs="Arial"/>
          <w:bCs/>
          <w:color w:val="auto"/>
          <w:sz w:val="22"/>
          <w:szCs w:val="28"/>
          <w:highlight w:val="none"/>
        </w:rPr>
      </w:pPr>
      <w:r>
        <w:rPr>
          <w:rFonts w:ascii="Arial" w:hAnsi="Arial" w:cs="Arial"/>
          <w:b/>
          <w:color w:val="auto"/>
          <w:sz w:val="22"/>
          <w:szCs w:val="28"/>
          <w:highlight w:val="none"/>
        </w:rPr>
        <w:t>说明：</w:t>
      </w:r>
    </w:p>
    <w:p>
      <w:pPr>
        <w:snapToGrid w:val="0"/>
        <w:rPr>
          <w:rFonts w:hint="eastAsia" w:ascii="宋体" w:hAnsi="宋体" w:eastAsia="宋体" w:cs="宋体"/>
          <w:bCs/>
          <w:color w:val="auto"/>
          <w:sz w:val="22"/>
          <w:szCs w:val="28"/>
          <w:highlight w:val="none"/>
        </w:rPr>
      </w:pPr>
      <w:r>
        <w:rPr>
          <w:rFonts w:hint="eastAsia" w:ascii="宋体" w:hAnsi="宋体" w:eastAsia="宋体" w:cs="宋体"/>
          <w:bCs/>
          <w:color w:val="auto"/>
          <w:sz w:val="22"/>
          <w:szCs w:val="28"/>
          <w:highlight w:val="none"/>
        </w:rPr>
        <w:t>1.所有认证、证明和业绩均以有效清晰的证明文件的复印件为依据，原件备查。</w:t>
      </w:r>
    </w:p>
    <w:p>
      <w:pPr>
        <w:snapToGrid w:val="0"/>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2.小微企业价格扣除</w:t>
      </w:r>
    </w:p>
    <w:p>
      <w:pPr>
        <w:snapToGrid w:val="0"/>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2.1对于专门面向中小企业或小型、微型企业的项目，只面向中小企业或小型、微型企业采购。对于非专门面向中小企业的项目，对小型和微型企业的价格给予10%的扣除，用扣除后的价格参与评审。</w:t>
      </w:r>
    </w:p>
    <w:p>
      <w:pPr>
        <w:snapToGrid w:val="0"/>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pPr>
        <w:snapToGrid w:val="0"/>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3.监狱和戒毒企业的价格扣除</w:t>
      </w:r>
    </w:p>
    <w:p>
      <w:pPr>
        <w:snapToGrid w:val="0"/>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3.1 本项目对监狱和戒毒企业，给予10%的价格扣除，用扣除后的价格参与评审。</w:t>
      </w:r>
    </w:p>
    <w:p>
      <w:pPr>
        <w:snapToGrid w:val="0"/>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3.2 监狱企业需提供由省级以上监狱管理局、戒毒管理局（含新疆生产建设兵团）出具的属于监狱企业的证明文件。</w:t>
      </w:r>
    </w:p>
    <w:p>
      <w:pPr>
        <w:snapToGrid w:val="0"/>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3.3 监狱企业标准请参照《关于政府采购支持监狱企业发展有关问题的通知》（财库〔2014〕68号）。</w:t>
      </w:r>
    </w:p>
    <w:p>
      <w:pPr>
        <w:snapToGrid w:val="0"/>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4.残疾人福利性单位的价格扣除</w:t>
      </w:r>
    </w:p>
    <w:p>
      <w:pPr>
        <w:snapToGrid w:val="0"/>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4.1 本项目对残疾人福利性单位，给予10%的价格扣除，用扣除后的价格参与评审。</w:t>
      </w:r>
    </w:p>
    <w:p>
      <w:pPr>
        <w:snapToGrid w:val="0"/>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4.2 残疾人福利性单位需提供《残疾人福利性单位声明函》。</w:t>
      </w:r>
    </w:p>
    <w:p>
      <w:pPr>
        <w:snapToGrid w:val="0"/>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4.3 残疾人福利性单位标准请参照《关于促进残疾人就业政府采购政策的通知》（财库〔2017〕141号）。</w:t>
      </w:r>
    </w:p>
    <w:p>
      <w:pPr>
        <w:snapToGrid w:val="0"/>
        <w:rPr>
          <w:rFonts w:ascii="Arial" w:hAnsi="Arial" w:cs="Arial"/>
          <w:bCs/>
          <w:color w:val="auto"/>
          <w:kern w:val="0"/>
          <w:sz w:val="32"/>
          <w:szCs w:val="44"/>
          <w:highlight w:val="none"/>
        </w:rPr>
      </w:pPr>
      <w:r>
        <w:rPr>
          <w:rFonts w:hint="eastAsia" w:ascii="宋体" w:hAnsi="宋体" w:eastAsia="宋体" w:cs="宋体"/>
          <w:bCs/>
          <w:color w:val="auto"/>
          <w:kern w:val="0"/>
          <w:highlight w:val="none"/>
        </w:rPr>
        <w:t>5. 监狱企业、残疾人福利性单位属于小型、微型企业的，不重复享受政策。</w:t>
      </w:r>
      <w:r>
        <w:rPr>
          <w:rFonts w:ascii="Arial" w:hAnsi="Arial" w:cs="Arial"/>
          <w:bCs/>
          <w:color w:val="auto"/>
          <w:kern w:val="0"/>
          <w:highlight w:val="none"/>
        </w:rPr>
        <w:br w:type="page"/>
      </w:r>
    </w:p>
    <w:p>
      <w:pPr>
        <w:pStyle w:val="3"/>
        <w:numPr>
          <w:ilvl w:val="0"/>
          <w:numId w:val="0"/>
        </w:numPr>
        <w:rPr>
          <w:rFonts w:ascii="Arial" w:hAnsi="Arial" w:cs="Arial"/>
          <w:color w:val="auto"/>
          <w:kern w:val="0"/>
          <w:highlight w:val="none"/>
        </w:rPr>
      </w:pPr>
      <w:bookmarkStart w:id="10" w:name="_Toc23380"/>
      <w:r>
        <w:rPr>
          <w:rFonts w:ascii="Arial" w:hAnsi="Arial" w:cs="Arial"/>
          <w:color w:val="auto"/>
          <w:kern w:val="0"/>
          <w:highlight w:val="none"/>
        </w:rPr>
        <w:t>第四章 采购需求</w:t>
      </w:r>
      <w:bookmarkEnd w:id="10"/>
      <w:bookmarkStart w:id="11" w:name="_Toc481057147"/>
    </w:p>
    <w:tbl>
      <w:tblPr>
        <w:tblStyle w:val="44"/>
        <w:tblW w:w="8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9"/>
        <w:gridCol w:w="3731"/>
        <w:gridCol w:w="2401"/>
        <w:gridCol w:w="1139"/>
        <w:gridCol w:w="1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包号</w:t>
            </w:r>
          </w:p>
        </w:tc>
        <w:tc>
          <w:tcPr>
            <w:tcW w:w="373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项目名称</w:t>
            </w:r>
          </w:p>
        </w:tc>
        <w:tc>
          <w:tcPr>
            <w:tcW w:w="24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运维期限</w:t>
            </w:r>
          </w:p>
        </w:tc>
        <w:tc>
          <w:tcPr>
            <w:tcW w:w="113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单年度预算（万元）</w:t>
            </w:r>
          </w:p>
        </w:tc>
        <w:tc>
          <w:tcPr>
            <w:tcW w:w="1032"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总预算</w:t>
            </w:r>
          </w:p>
          <w:p>
            <w:pPr>
              <w:jc w:val="center"/>
              <w:rPr>
                <w:rFonts w:ascii="宋体" w:hAnsi="宋体" w:cs="宋体"/>
                <w:color w:val="auto"/>
                <w:szCs w:val="21"/>
                <w:highlight w:val="none"/>
              </w:rPr>
            </w:pPr>
            <w:r>
              <w:rPr>
                <w:rFonts w:hint="eastAsia" w:ascii="宋体" w:hAnsi="宋体" w:cs="宋体"/>
                <w:color w:val="auto"/>
                <w:szCs w:val="21"/>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包1</w:t>
            </w:r>
          </w:p>
        </w:tc>
        <w:tc>
          <w:tcPr>
            <w:tcW w:w="3731" w:type="dxa"/>
            <w:vAlign w:val="center"/>
          </w:tcPr>
          <w:p>
            <w:pPr>
              <w:rPr>
                <w:rFonts w:ascii="宋体" w:hAnsi="宋体" w:cs="宋体"/>
                <w:color w:val="auto"/>
                <w:szCs w:val="21"/>
                <w:highlight w:val="none"/>
              </w:rPr>
            </w:pPr>
            <w:r>
              <w:rPr>
                <w:rFonts w:hint="eastAsia" w:ascii="宋体" w:hAnsi="宋体" w:cs="宋体"/>
                <w:color w:val="auto"/>
                <w:szCs w:val="21"/>
                <w:highlight w:val="none"/>
              </w:rPr>
              <w:t>汾湖超级站及省级大气多参数站常规监测设备运维服务</w:t>
            </w:r>
          </w:p>
        </w:tc>
        <w:tc>
          <w:tcPr>
            <w:tcW w:w="2401" w:type="dxa"/>
            <w:vAlign w:val="center"/>
          </w:tcPr>
          <w:p>
            <w:pPr>
              <w:rPr>
                <w:rFonts w:ascii="宋体" w:hAnsi="宋体" w:cs="宋体"/>
                <w:color w:val="auto"/>
                <w:szCs w:val="21"/>
                <w:highlight w:val="none"/>
              </w:rPr>
            </w:pPr>
            <w:r>
              <w:rPr>
                <w:rFonts w:hint="eastAsia" w:ascii="宋体" w:hAnsi="宋体" w:cs="宋体"/>
                <w:color w:val="auto"/>
                <w:szCs w:val="21"/>
                <w:highlight w:val="none"/>
              </w:rPr>
              <w:t>2024年1月1日至2025年12月31日</w:t>
            </w:r>
          </w:p>
        </w:tc>
        <w:tc>
          <w:tcPr>
            <w:tcW w:w="1139" w:type="dxa"/>
            <w:vAlign w:val="center"/>
          </w:tcPr>
          <w:p>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66</w:t>
            </w:r>
          </w:p>
        </w:tc>
        <w:tc>
          <w:tcPr>
            <w:tcW w:w="1032" w:type="dxa"/>
            <w:vAlign w:val="center"/>
          </w:tcPr>
          <w:p>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包2</w:t>
            </w:r>
          </w:p>
        </w:tc>
        <w:tc>
          <w:tcPr>
            <w:tcW w:w="3731" w:type="dxa"/>
            <w:vAlign w:val="center"/>
          </w:tcPr>
          <w:p>
            <w:pPr>
              <w:widowControl/>
              <w:rPr>
                <w:rFonts w:ascii="宋体" w:hAnsi="宋体" w:cs="宋体"/>
                <w:color w:val="auto"/>
                <w:szCs w:val="21"/>
                <w:highlight w:val="none"/>
              </w:rPr>
            </w:pPr>
            <w:r>
              <w:rPr>
                <w:rFonts w:hint="eastAsia" w:ascii="宋体" w:hAnsi="宋体" w:cs="宋体"/>
                <w:color w:val="auto"/>
                <w:szCs w:val="21"/>
                <w:highlight w:val="none"/>
              </w:rPr>
              <w:t>省中心及汾湖超站新增颗粒物组分特征仪器运维服务，包含水溶性离子在线分析仪、气溶胶质谱仪</w:t>
            </w:r>
          </w:p>
        </w:tc>
        <w:tc>
          <w:tcPr>
            <w:tcW w:w="24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2024年1月1日至2025年12月31日</w:t>
            </w:r>
          </w:p>
        </w:tc>
        <w:tc>
          <w:tcPr>
            <w:tcW w:w="1139"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45</w:t>
            </w:r>
          </w:p>
        </w:tc>
        <w:tc>
          <w:tcPr>
            <w:tcW w:w="1032"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65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包3</w:t>
            </w:r>
          </w:p>
        </w:tc>
        <w:tc>
          <w:tcPr>
            <w:tcW w:w="3731" w:type="dxa"/>
            <w:vAlign w:val="center"/>
          </w:tcPr>
          <w:p>
            <w:pPr>
              <w:widowControl/>
              <w:rPr>
                <w:rFonts w:ascii="宋体" w:hAnsi="宋体" w:cs="宋体"/>
                <w:color w:val="auto"/>
                <w:szCs w:val="21"/>
                <w:highlight w:val="none"/>
              </w:rPr>
            </w:pPr>
            <w:r>
              <w:rPr>
                <w:rFonts w:hint="eastAsia" w:ascii="宋体" w:hAnsi="宋体" w:cs="宋体"/>
                <w:color w:val="auto"/>
                <w:szCs w:val="21"/>
                <w:highlight w:val="none"/>
              </w:rPr>
              <w:t>省中心及汾湖超站新增光化学及雷达仪器运维服务，包含挥发性有机物监测仪、HNO2、甲醛在线监测仪、臭氧激光雷达、颗粒物激光雷达</w:t>
            </w:r>
          </w:p>
        </w:tc>
        <w:tc>
          <w:tcPr>
            <w:tcW w:w="24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2024年1月1日至2025年12月31日</w:t>
            </w:r>
          </w:p>
        </w:tc>
        <w:tc>
          <w:tcPr>
            <w:tcW w:w="1139"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78</w:t>
            </w:r>
          </w:p>
        </w:tc>
        <w:tc>
          <w:tcPr>
            <w:tcW w:w="1032"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包4</w:t>
            </w:r>
          </w:p>
        </w:tc>
        <w:tc>
          <w:tcPr>
            <w:tcW w:w="3731" w:type="dxa"/>
            <w:vAlign w:val="center"/>
          </w:tcPr>
          <w:p>
            <w:pPr>
              <w:rPr>
                <w:rFonts w:ascii="宋体" w:hAnsi="宋体" w:cs="宋体"/>
                <w:color w:val="auto"/>
                <w:szCs w:val="21"/>
                <w:highlight w:val="none"/>
              </w:rPr>
            </w:pPr>
            <w:r>
              <w:rPr>
                <w:rFonts w:hint="eastAsia" w:ascii="宋体" w:hAnsi="宋体" w:cs="宋体"/>
                <w:color w:val="auto"/>
                <w:szCs w:val="21"/>
                <w:highlight w:val="none"/>
              </w:rPr>
              <w:t>大气走航监测车及相关设备运维服务</w:t>
            </w:r>
          </w:p>
        </w:tc>
        <w:tc>
          <w:tcPr>
            <w:tcW w:w="24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2024年1月1日至2025年12月31日</w:t>
            </w:r>
          </w:p>
        </w:tc>
        <w:tc>
          <w:tcPr>
            <w:tcW w:w="1139"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90</w:t>
            </w:r>
          </w:p>
        </w:tc>
        <w:tc>
          <w:tcPr>
            <w:tcW w:w="1032"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包5</w:t>
            </w:r>
          </w:p>
        </w:tc>
        <w:tc>
          <w:tcPr>
            <w:tcW w:w="3731" w:type="dxa"/>
            <w:vAlign w:val="center"/>
          </w:tcPr>
          <w:p>
            <w:pPr>
              <w:rPr>
                <w:rFonts w:ascii="宋体" w:hAnsi="宋体" w:cs="宋体"/>
                <w:color w:val="auto"/>
                <w:szCs w:val="21"/>
                <w:highlight w:val="none"/>
              </w:rPr>
            </w:pPr>
            <w:r>
              <w:rPr>
                <w:rFonts w:hint="eastAsia" w:ascii="宋体" w:hAnsi="宋体" w:cs="宋体"/>
                <w:color w:val="auto"/>
                <w:szCs w:val="21"/>
                <w:highlight w:val="none"/>
              </w:rPr>
              <w:t>大气颗粒物组分及VOCs多元综合分析子系统运维服务</w:t>
            </w:r>
          </w:p>
        </w:tc>
        <w:tc>
          <w:tcPr>
            <w:tcW w:w="24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2024年1月1日至2025年12月31日</w:t>
            </w:r>
          </w:p>
        </w:tc>
        <w:tc>
          <w:tcPr>
            <w:tcW w:w="1139"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40</w:t>
            </w:r>
          </w:p>
        </w:tc>
        <w:tc>
          <w:tcPr>
            <w:tcW w:w="1032"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91" w:type="dxa"/>
            <w:gridSpan w:val="3"/>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合计</w:t>
            </w:r>
          </w:p>
        </w:tc>
        <w:tc>
          <w:tcPr>
            <w:tcW w:w="1139"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319</w:t>
            </w:r>
          </w:p>
        </w:tc>
        <w:tc>
          <w:tcPr>
            <w:tcW w:w="1032" w:type="dxa"/>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638</w:t>
            </w:r>
          </w:p>
        </w:tc>
      </w:tr>
    </w:tbl>
    <w:p>
      <w:pPr>
        <w:pStyle w:val="2"/>
        <w:ind w:left="1260"/>
        <w:rPr>
          <w:color w:val="auto"/>
          <w:highlight w:val="none"/>
        </w:rPr>
      </w:pPr>
    </w:p>
    <w:p>
      <w:pPr>
        <w:rPr>
          <w:b/>
          <w:color w:val="auto"/>
          <w:szCs w:val="21"/>
          <w:highlight w:val="none"/>
        </w:rPr>
      </w:pPr>
      <w:r>
        <w:rPr>
          <w:b/>
          <w:color w:val="auto"/>
          <w:szCs w:val="21"/>
          <w:highlight w:val="none"/>
        </w:rPr>
        <w:t>包1</w:t>
      </w:r>
      <w:r>
        <w:rPr>
          <w:rFonts w:hint="eastAsia"/>
          <w:b/>
          <w:color w:val="auto"/>
          <w:szCs w:val="21"/>
          <w:highlight w:val="none"/>
        </w:rPr>
        <w:t>：</w:t>
      </w:r>
      <w:r>
        <w:rPr>
          <w:b/>
          <w:color w:val="auto"/>
          <w:szCs w:val="21"/>
          <w:highlight w:val="none"/>
        </w:rPr>
        <w:t>汾湖超级站及省级大气多参数站</w:t>
      </w:r>
      <w:r>
        <w:rPr>
          <w:rFonts w:hint="eastAsia"/>
          <w:b/>
          <w:color w:val="auto"/>
          <w:szCs w:val="21"/>
          <w:highlight w:val="none"/>
        </w:rPr>
        <w:t>常规监测</w:t>
      </w:r>
      <w:r>
        <w:rPr>
          <w:b/>
          <w:color w:val="auto"/>
          <w:szCs w:val="21"/>
          <w:highlight w:val="none"/>
        </w:rPr>
        <w:t>设备运维服务</w:t>
      </w:r>
    </w:p>
    <w:p>
      <w:pPr>
        <w:rPr>
          <w:color w:val="auto"/>
          <w:szCs w:val="21"/>
          <w:highlight w:val="none"/>
        </w:rPr>
      </w:pPr>
      <w:r>
        <w:rPr>
          <w:b/>
          <w:color w:val="auto"/>
          <w:szCs w:val="21"/>
          <w:highlight w:val="none"/>
        </w:rPr>
        <w:t>一、项目概况</w:t>
      </w:r>
    </w:p>
    <w:p>
      <w:pPr>
        <w:spacing w:before="120" w:after="120" w:line="264" w:lineRule="auto"/>
        <w:ind w:firstLine="420" w:firstLineChars="200"/>
        <w:rPr>
          <w:color w:val="auto"/>
          <w:szCs w:val="21"/>
          <w:highlight w:val="none"/>
        </w:rPr>
      </w:pPr>
      <w:r>
        <w:rPr>
          <w:color w:val="auto"/>
          <w:szCs w:val="21"/>
          <w:highlight w:val="none"/>
        </w:rPr>
        <w:t>本项目包含汾湖大气超级站常规监测仪器、太阳辐射强度计、颗粒物重金属分析仪、颗粒物OC/EC分析仪及省中心大气多参数站新增的颗粒物OC/EC分析仪、非甲烷总烃分析仪等相关仪器设备的运维服务</w:t>
      </w:r>
      <w:r>
        <w:rPr>
          <w:rFonts w:hint="eastAsia"/>
          <w:color w:val="auto"/>
          <w:szCs w:val="21"/>
          <w:highlight w:val="none"/>
        </w:rPr>
        <w:t>，</w:t>
      </w:r>
      <w:r>
        <w:rPr>
          <w:color w:val="auto"/>
          <w:szCs w:val="21"/>
          <w:highlight w:val="none"/>
        </w:rPr>
        <w:t>其中汾湖超级站位于苏州市芦墟大渠荡生态公园</w:t>
      </w:r>
      <w:r>
        <w:rPr>
          <w:rFonts w:hint="eastAsia"/>
          <w:color w:val="auto"/>
          <w:szCs w:val="21"/>
          <w:highlight w:val="none"/>
        </w:rPr>
        <w:t>、</w:t>
      </w:r>
      <w:r>
        <w:rPr>
          <w:color w:val="auto"/>
          <w:szCs w:val="21"/>
          <w:highlight w:val="none"/>
        </w:rPr>
        <w:t>省级大气多参数站位于南京市建邺区中和路</w:t>
      </w:r>
      <w:r>
        <w:rPr>
          <w:rFonts w:hint="eastAsia"/>
          <w:color w:val="auto"/>
          <w:szCs w:val="21"/>
          <w:highlight w:val="none"/>
        </w:rPr>
        <w:t>1</w:t>
      </w:r>
      <w:r>
        <w:rPr>
          <w:color w:val="auto"/>
          <w:szCs w:val="21"/>
          <w:highlight w:val="none"/>
        </w:rPr>
        <w:t>00号江苏省环境监测中心。（详见表1</w:t>
      </w:r>
      <w:r>
        <w:rPr>
          <w:rFonts w:hint="eastAsia"/>
          <w:color w:val="auto"/>
          <w:szCs w:val="21"/>
          <w:highlight w:val="none"/>
        </w:rPr>
        <w:t>-</w:t>
      </w:r>
      <w:r>
        <w:rPr>
          <w:color w:val="auto"/>
          <w:szCs w:val="21"/>
          <w:highlight w:val="none"/>
        </w:rPr>
        <w:t>1）</w:t>
      </w:r>
    </w:p>
    <w:p>
      <w:pPr>
        <w:jc w:val="center"/>
        <w:rPr>
          <w:bCs/>
          <w:color w:val="auto"/>
          <w:szCs w:val="21"/>
          <w:highlight w:val="none"/>
        </w:rPr>
      </w:pPr>
      <w:bookmarkStart w:id="12" w:name="_Toc455152374"/>
      <w:bookmarkStart w:id="13" w:name="_Toc455153178"/>
      <w:bookmarkStart w:id="14" w:name="_Toc420511647"/>
      <w:r>
        <w:rPr>
          <w:bCs/>
          <w:color w:val="auto"/>
          <w:szCs w:val="21"/>
          <w:highlight w:val="none"/>
        </w:rPr>
        <w:t>表1</w:t>
      </w:r>
      <w:r>
        <w:rPr>
          <w:rFonts w:hint="eastAsia"/>
          <w:bCs/>
          <w:color w:val="auto"/>
          <w:szCs w:val="21"/>
          <w:highlight w:val="none"/>
        </w:rPr>
        <w:t>-</w:t>
      </w:r>
      <w:r>
        <w:rPr>
          <w:bCs/>
          <w:color w:val="auto"/>
          <w:szCs w:val="21"/>
          <w:highlight w:val="none"/>
        </w:rPr>
        <w:t>1</w:t>
      </w:r>
      <w:r>
        <w:rPr>
          <w:rFonts w:hint="eastAsia"/>
          <w:bCs/>
          <w:color w:val="auto"/>
          <w:szCs w:val="21"/>
          <w:highlight w:val="none"/>
        </w:rPr>
        <w:t>汾湖超级站及省级大气多参数站仪器设备运维服务</w:t>
      </w:r>
      <w:r>
        <w:rPr>
          <w:bCs/>
          <w:color w:val="auto"/>
          <w:szCs w:val="21"/>
          <w:highlight w:val="none"/>
        </w:rPr>
        <w:t>设备清单</w:t>
      </w:r>
      <w:bookmarkEnd w:id="12"/>
      <w:bookmarkEnd w:id="13"/>
      <w:bookmarkEnd w:id="14"/>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9"/>
        <w:gridCol w:w="791"/>
        <w:gridCol w:w="1582"/>
        <w:gridCol w:w="1418"/>
        <w:gridCol w:w="1366"/>
        <w:gridCol w:w="1498"/>
        <w:gridCol w:w="1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99" w:type="dxa"/>
            <w:vAlign w:val="center"/>
          </w:tcPr>
          <w:p>
            <w:pPr>
              <w:jc w:val="center"/>
              <w:rPr>
                <w:color w:val="auto"/>
                <w:kern w:val="0"/>
                <w:szCs w:val="21"/>
                <w:highlight w:val="none"/>
              </w:rPr>
            </w:pPr>
            <w:r>
              <w:rPr>
                <w:color w:val="auto"/>
                <w:kern w:val="0"/>
                <w:szCs w:val="21"/>
                <w:highlight w:val="none"/>
              </w:rPr>
              <w:t>序号</w:t>
            </w:r>
          </w:p>
        </w:tc>
        <w:tc>
          <w:tcPr>
            <w:tcW w:w="791" w:type="dxa"/>
            <w:vAlign w:val="center"/>
          </w:tcPr>
          <w:p>
            <w:pPr>
              <w:jc w:val="center"/>
              <w:rPr>
                <w:color w:val="auto"/>
                <w:kern w:val="0"/>
                <w:szCs w:val="21"/>
                <w:highlight w:val="none"/>
              </w:rPr>
            </w:pPr>
            <w:r>
              <w:rPr>
                <w:color w:val="auto"/>
                <w:kern w:val="0"/>
                <w:szCs w:val="21"/>
                <w:highlight w:val="none"/>
              </w:rPr>
              <w:t>仪器类型</w:t>
            </w:r>
          </w:p>
        </w:tc>
        <w:tc>
          <w:tcPr>
            <w:tcW w:w="1582" w:type="dxa"/>
            <w:vAlign w:val="center"/>
          </w:tcPr>
          <w:p>
            <w:pPr>
              <w:jc w:val="center"/>
              <w:rPr>
                <w:color w:val="auto"/>
                <w:kern w:val="0"/>
                <w:szCs w:val="21"/>
                <w:highlight w:val="none"/>
              </w:rPr>
            </w:pPr>
            <w:r>
              <w:rPr>
                <w:color w:val="auto"/>
                <w:kern w:val="0"/>
                <w:szCs w:val="21"/>
                <w:highlight w:val="none"/>
              </w:rPr>
              <w:t>仪器名称</w:t>
            </w:r>
          </w:p>
        </w:tc>
        <w:tc>
          <w:tcPr>
            <w:tcW w:w="1418" w:type="dxa"/>
            <w:vAlign w:val="center"/>
          </w:tcPr>
          <w:p>
            <w:pPr>
              <w:jc w:val="center"/>
              <w:rPr>
                <w:color w:val="auto"/>
                <w:kern w:val="0"/>
                <w:szCs w:val="21"/>
                <w:highlight w:val="none"/>
              </w:rPr>
            </w:pPr>
            <w:r>
              <w:rPr>
                <w:color w:val="auto"/>
                <w:kern w:val="0"/>
                <w:szCs w:val="21"/>
                <w:highlight w:val="none"/>
              </w:rPr>
              <w:t>品牌</w:t>
            </w:r>
          </w:p>
        </w:tc>
        <w:tc>
          <w:tcPr>
            <w:tcW w:w="1366" w:type="dxa"/>
            <w:vAlign w:val="center"/>
          </w:tcPr>
          <w:p>
            <w:pPr>
              <w:jc w:val="center"/>
              <w:rPr>
                <w:color w:val="auto"/>
                <w:kern w:val="0"/>
                <w:szCs w:val="21"/>
                <w:highlight w:val="none"/>
              </w:rPr>
            </w:pPr>
            <w:r>
              <w:rPr>
                <w:color w:val="auto"/>
                <w:kern w:val="0"/>
                <w:szCs w:val="21"/>
                <w:highlight w:val="none"/>
              </w:rPr>
              <w:t>型号</w:t>
            </w:r>
          </w:p>
        </w:tc>
        <w:tc>
          <w:tcPr>
            <w:tcW w:w="1498" w:type="dxa"/>
            <w:vAlign w:val="center"/>
          </w:tcPr>
          <w:p>
            <w:pPr>
              <w:jc w:val="center"/>
              <w:rPr>
                <w:color w:val="auto"/>
                <w:kern w:val="0"/>
                <w:szCs w:val="21"/>
                <w:highlight w:val="none"/>
              </w:rPr>
            </w:pPr>
            <w:r>
              <w:rPr>
                <w:color w:val="auto"/>
                <w:kern w:val="0"/>
                <w:szCs w:val="21"/>
                <w:highlight w:val="none"/>
              </w:rPr>
              <w:t>位置</w:t>
            </w:r>
          </w:p>
        </w:tc>
        <w:tc>
          <w:tcPr>
            <w:tcW w:w="1246" w:type="dxa"/>
            <w:vAlign w:val="center"/>
          </w:tcPr>
          <w:p>
            <w:pPr>
              <w:jc w:val="center"/>
              <w:rPr>
                <w:color w:val="auto"/>
                <w:kern w:val="0"/>
                <w:szCs w:val="21"/>
                <w:highlight w:val="none"/>
              </w:rPr>
            </w:pPr>
            <w:r>
              <w:rPr>
                <w:color w:val="auto"/>
                <w:kern w:val="0"/>
                <w:szCs w:val="21"/>
                <w:highlight w:val="none"/>
              </w:rPr>
              <w:t>分项预算</w:t>
            </w:r>
          </w:p>
          <w:p>
            <w:pPr>
              <w:rPr>
                <w:color w:val="auto"/>
                <w:kern w:val="0"/>
                <w:szCs w:val="21"/>
                <w:highlight w:val="none"/>
              </w:rPr>
            </w:pPr>
            <w:r>
              <w:rPr>
                <w:rFonts w:hint="eastAsia"/>
                <w:color w:val="auto"/>
                <w:kern w:val="0"/>
                <w:szCs w:val="21"/>
                <w:highlight w:val="none"/>
              </w:rPr>
              <w:t>（万元/年）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599" w:type="dxa"/>
            <w:vAlign w:val="center"/>
          </w:tcPr>
          <w:p>
            <w:pPr>
              <w:widowControl/>
              <w:jc w:val="center"/>
              <w:rPr>
                <w:color w:val="auto"/>
                <w:kern w:val="0"/>
                <w:szCs w:val="21"/>
                <w:highlight w:val="none"/>
              </w:rPr>
            </w:pPr>
            <w:r>
              <w:rPr>
                <w:color w:val="auto"/>
                <w:kern w:val="0"/>
                <w:szCs w:val="21"/>
                <w:highlight w:val="none"/>
              </w:rPr>
              <w:t>1</w:t>
            </w:r>
          </w:p>
        </w:tc>
        <w:tc>
          <w:tcPr>
            <w:tcW w:w="791" w:type="dxa"/>
            <w:vMerge w:val="restart"/>
            <w:vAlign w:val="center"/>
          </w:tcPr>
          <w:p>
            <w:pPr>
              <w:widowControl/>
              <w:jc w:val="center"/>
              <w:rPr>
                <w:color w:val="auto"/>
                <w:kern w:val="0"/>
                <w:szCs w:val="21"/>
                <w:highlight w:val="none"/>
              </w:rPr>
            </w:pPr>
            <w:r>
              <w:rPr>
                <w:color w:val="auto"/>
                <w:kern w:val="0"/>
                <w:szCs w:val="21"/>
                <w:highlight w:val="none"/>
              </w:rPr>
              <w:t>汾湖超站常规监测设备</w:t>
            </w:r>
          </w:p>
        </w:tc>
        <w:tc>
          <w:tcPr>
            <w:tcW w:w="1582" w:type="dxa"/>
            <w:vAlign w:val="center"/>
          </w:tcPr>
          <w:p>
            <w:pPr>
              <w:widowControl/>
              <w:jc w:val="center"/>
              <w:rPr>
                <w:color w:val="auto"/>
                <w:kern w:val="0"/>
                <w:szCs w:val="21"/>
                <w:highlight w:val="none"/>
              </w:rPr>
            </w:pPr>
            <w:r>
              <w:rPr>
                <w:color w:val="auto"/>
                <w:kern w:val="0"/>
                <w:szCs w:val="21"/>
                <w:highlight w:val="none"/>
              </w:rPr>
              <w:t>PM2.5监测仪</w:t>
            </w:r>
            <w:r>
              <w:rPr>
                <w:color w:val="auto"/>
                <w:kern w:val="0"/>
                <w:szCs w:val="22"/>
                <w:highlight w:val="none"/>
              </w:rPr>
              <w:t>*</w:t>
            </w:r>
          </w:p>
        </w:tc>
        <w:tc>
          <w:tcPr>
            <w:tcW w:w="1418" w:type="dxa"/>
            <w:vAlign w:val="center"/>
          </w:tcPr>
          <w:p>
            <w:pPr>
              <w:jc w:val="center"/>
              <w:rPr>
                <w:color w:val="auto"/>
                <w:kern w:val="0"/>
                <w:szCs w:val="21"/>
                <w:highlight w:val="none"/>
              </w:rPr>
            </w:pPr>
            <w:r>
              <w:rPr>
                <w:color w:val="auto"/>
                <w:kern w:val="0"/>
                <w:szCs w:val="21"/>
                <w:highlight w:val="none"/>
              </w:rPr>
              <w:t>赛默飞</w:t>
            </w:r>
          </w:p>
        </w:tc>
        <w:tc>
          <w:tcPr>
            <w:tcW w:w="1366" w:type="dxa"/>
            <w:vAlign w:val="center"/>
          </w:tcPr>
          <w:p>
            <w:pPr>
              <w:jc w:val="center"/>
              <w:rPr>
                <w:color w:val="auto"/>
                <w:kern w:val="0"/>
                <w:szCs w:val="21"/>
                <w:highlight w:val="none"/>
              </w:rPr>
            </w:pPr>
            <w:r>
              <w:rPr>
                <w:color w:val="auto"/>
                <w:kern w:val="0"/>
                <w:szCs w:val="21"/>
                <w:highlight w:val="none"/>
              </w:rPr>
              <w:t>5030i</w:t>
            </w:r>
          </w:p>
        </w:tc>
        <w:tc>
          <w:tcPr>
            <w:tcW w:w="1498" w:type="dxa"/>
            <w:vAlign w:val="center"/>
          </w:tcPr>
          <w:p>
            <w:pPr>
              <w:jc w:val="center"/>
              <w:rPr>
                <w:color w:val="auto"/>
                <w:kern w:val="0"/>
                <w:szCs w:val="21"/>
                <w:highlight w:val="none"/>
              </w:rPr>
            </w:pPr>
            <w:r>
              <w:rPr>
                <w:color w:val="auto"/>
                <w:kern w:val="0"/>
                <w:szCs w:val="21"/>
                <w:highlight w:val="none"/>
              </w:rPr>
              <w:t>汾湖超级站</w:t>
            </w:r>
          </w:p>
        </w:tc>
        <w:tc>
          <w:tcPr>
            <w:tcW w:w="1246" w:type="dxa"/>
            <w:vMerge w:val="restart"/>
            <w:vAlign w:val="center"/>
          </w:tcPr>
          <w:p>
            <w:pPr>
              <w:jc w:val="center"/>
              <w:rPr>
                <w:color w:val="auto"/>
                <w:kern w:val="0"/>
                <w:szCs w:val="21"/>
                <w:highlight w:val="none"/>
              </w:rPr>
            </w:pPr>
            <w:r>
              <w:rPr>
                <w:rFonts w:hint="eastAsia"/>
                <w:color w:val="auto"/>
                <w:kern w:val="0"/>
                <w:szCs w:val="21"/>
                <w:highlight w:val="none"/>
              </w:rPr>
              <w:t>1</w:t>
            </w:r>
            <w:r>
              <w:rPr>
                <w:color w:val="auto"/>
                <w:kern w:val="0"/>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99" w:type="dxa"/>
            <w:vAlign w:val="center"/>
          </w:tcPr>
          <w:p>
            <w:pPr>
              <w:jc w:val="center"/>
              <w:rPr>
                <w:color w:val="auto"/>
                <w:kern w:val="0"/>
                <w:szCs w:val="21"/>
                <w:highlight w:val="none"/>
              </w:rPr>
            </w:pPr>
            <w:r>
              <w:rPr>
                <w:color w:val="auto"/>
                <w:kern w:val="0"/>
                <w:szCs w:val="21"/>
                <w:highlight w:val="none"/>
              </w:rPr>
              <w:t>2</w:t>
            </w:r>
          </w:p>
        </w:tc>
        <w:tc>
          <w:tcPr>
            <w:tcW w:w="791" w:type="dxa"/>
            <w:vMerge w:val="continue"/>
            <w:vAlign w:val="center"/>
          </w:tcPr>
          <w:p>
            <w:pPr>
              <w:jc w:val="center"/>
              <w:rPr>
                <w:color w:val="auto"/>
                <w:kern w:val="0"/>
                <w:szCs w:val="21"/>
                <w:highlight w:val="none"/>
              </w:rPr>
            </w:pPr>
          </w:p>
        </w:tc>
        <w:tc>
          <w:tcPr>
            <w:tcW w:w="1582" w:type="dxa"/>
            <w:vAlign w:val="center"/>
          </w:tcPr>
          <w:p>
            <w:pPr>
              <w:jc w:val="center"/>
              <w:rPr>
                <w:color w:val="auto"/>
                <w:kern w:val="0"/>
                <w:szCs w:val="21"/>
                <w:highlight w:val="none"/>
              </w:rPr>
            </w:pPr>
            <w:r>
              <w:rPr>
                <w:color w:val="auto"/>
                <w:kern w:val="0"/>
                <w:szCs w:val="21"/>
                <w:highlight w:val="none"/>
              </w:rPr>
              <w:t>PM10监测仪</w:t>
            </w:r>
            <w:r>
              <w:rPr>
                <w:color w:val="auto"/>
                <w:kern w:val="0"/>
                <w:szCs w:val="22"/>
                <w:highlight w:val="none"/>
              </w:rPr>
              <w:t>*</w:t>
            </w:r>
          </w:p>
        </w:tc>
        <w:tc>
          <w:tcPr>
            <w:tcW w:w="1418" w:type="dxa"/>
            <w:vAlign w:val="center"/>
          </w:tcPr>
          <w:p>
            <w:pPr>
              <w:jc w:val="center"/>
              <w:rPr>
                <w:color w:val="auto"/>
                <w:kern w:val="0"/>
                <w:szCs w:val="21"/>
                <w:highlight w:val="none"/>
              </w:rPr>
            </w:pPr>
            <w:r>
              <w:rPr>
                <w:color w:val="auto"/>
                <w:kern w:val="0"/>
                <w:szCs w:val="21"/>
                <w:highlight w:val="none"/>
              </w:rPr>
              <w:t>赛默飞</w:t>
            </w:r>
          </w:p>
        </w:tc>
        <w:tc>
          <w:tcPr>
            <w:tcW w:w="1366" w:type="dxa"/>
            <w:vAlign w:val="center"/>
          </w:tcPr>
          <w:p>
            <w:pPr>
              <w:jc w:val="center"/>
              <w:rPr>
                <w:color w:val="auto"/>
                <w:kern w:val="0"/>
                <w:szCs w:val="21"/>
                <w:highlight w:val="none"/>
              </w:rPr>
            </w:pPr>
            <w:r>
              <w:rPr>
                <w:color w:val="auto"/>
                <w:kern w:val="0"/>
                <w:szCs w:val="21"/>
                <w:highlight w:val="none"/>
              </w:rPr>
              <w:t>5030i</w:t>
            </w:r>
          </w:p>
        </w:tc>
        <w:tc>
          <w:tcPr>
            <w:tcW w:w="1498" w:type="dxa"/>
            <w:vAlign w:val="center"/>
          </w:tcPr>
          <w:p>
            <w:pPr>
              <w:jc w:val="center"/>
              <w:rPr>
                <w:color w:val="auto"/>
                <w:kern w:val="0"/>
                <w:szCs w:val="21"/>
                <w:highlight w:val="none"/>
              </w:rPr>
            </w:pPr>
            <w:r>
              <w:rPr>
                <w:color w:val="auto"/>
                <w:kern w:val="0"/>
                <w:szCs w:val="21"/>
                <w:highlight w:val="none"/>
              </w:rPr>
              <w:t>汾湖超级站</w:t>
            </w:r>
          </w:p>
        </w:tc>
        <w:tc>
          <w:tcPr>
            <w:tcW w:w="1246" w:type="dxa"/>
            <w:vMerge w:val="continue"/>
            <w:vAlign w:val="center"/>
          </w:tcPr>
          <w:p>
            <w:pPr>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599" w:type="dxa"/>
            <w:vAlign w:val="center"/>
          </w:tcPr>
          <w:p>
            <w:pPr>
              <w:jc w:val="center"/>
              <w:rPr>
                <w:color w:val="auto"/>
                <w:kern w:val="0"/>
                <w:szCs w:val="21"/>
                <w:highlight w:val="none"/>
              </w:rPr>
            </w:pPr>
            <w:r>
              <w:rPr>
                <w:color w:val="auto"/>
                <w:kern w:val="0"/>
                <w:szCs w:val="21"/>
                <w:highlight w:val="none"/>
              </w:rPr>
              <w:t>3</w:t>
            </w:r>
          </w:p>
        </w:tc>
        <w:tc>
          <w:tcPr>
            <w:tcW w:w="791" w:type="dxa"/>
            <w:vMerge w:val="continue"/>
            <w:vAlign w:val="center"/>
          </w:tcPr>
          <w:p>
            <w:pPr>
              <w:jc w:val="center"/>
              <w:rPr>
                <w:color w:val="auto"/>
                <w:kern w:val="0"/>
                <w:szCs w:val="21"/>
                <w:highlight w:val="none"/>
              </w:rPr>
            </w:pPr>
          </w:p>
        </w:tc>
        <w:tc>
          <w:tcPr>
            <w:tcW w:w="1582" w:type="dxa"/>
            <w:vAlign w:val="center"/>
          </w:tcPr>
          <w:p>
            <w:pPr>
              <w:jc w:val="center"/>
              <w:rPr>
                <w:color w:val="auto"/>
                <w:kern w:val="0"/>
                <w:szCs w:val="21"/>
                <w:highlight w:val="none"/>
              </w:rPr>
            </w:pPr>
            <w:r>
              <w:rPr>
                <w:color w:val="auto"/>
                <w:kern w:val="0"/>
                <w:szCs w:val="21"/>
                <w:highlight w:val="none"/>
              </w:rPr>
              <w:t>NO2监测仪</w:t>
            </w:r>
            <w:r>
              <w:rPr>
                <w:color w:val="auto"/>
                <w:kern w:val="0"/>
                <w:szCs w:val="22"/>
                <w:highlight w:val="none"/>
              </w:rPr>
              <w:t>*</w:t>
            </w:r>
          </w:p>
        </w:tc>
        <w:tc>
          <w:tcPr>
            <w:tcW w:w="1418" w:type="dxa"/>
            <w:vAlign w:val="center"/>
          </w:tcPr>
          <w:p>
            <w:pPr>
              <w:jc w:val="center"/>
              <w:rPr>
                <w:color w:val="auto"/>
                <w:kern w:val="0"/>
                <w:szCs w:val="21"/>
                <w:highlight w:val="none"/>
              </w:rPr>
            </w:pPr>
            <w:r>
              <w:rPr>
                <w:color w:val="auto"/>
                <w:kern w:val="0"/>
                <w:szCs w:val="21"/>
                <w:highlight w:val="none"/>
              </w:rPr>
              <w:t>赛默飞</w:t>
            </w:r>
          </w:p>
        </w:tc>
        <w:tc>
          <w:tcPr>
            <w:tcW w:w="1366" w:type="dxa"/>
            <w:vAlign w:val="center"/>
          </w:tcPr>
          <w:p>
            <w:pPr>
              <w:jc w:val="center"/>
              <w:rPr>
                <w:color w:val="auto"/>
                <w:kern w:val="0"/>
                <w:szCs w:val="21"/>
                <w:highlight w:val="none"/>
              </w:rPr>
            </w:pPr>
            <w:r>
              <w:rPr>
                <w:color w:val="auto"/>
                <w:kern w:val="0"/>
                <w:szCs w:val="21"/>
                <w:highlight w:val="none"/>
              </w:rPr>
              <w:t>42i</w:t>
            </w:r>
          </w:p>
        </w:tc>
        <w:tc>
          <w:tcPr>
            <w:tcW w:w="1498" w:type="dxa"/>
            <w:vAlign w:val="center"/>
          </w:tcPr>
          <w:p>
            <w:pPr>
              <w:jc w:val="center"/>
              <w:rPr>
                <w:color w:val="auto"/>
                <w:kern w:val="0"/>
                <w:szCs w:val="21"/>
                <w:highlight w:val="none"/>
              </w:rPr>
            </w:pPr>
            <w:r>
              <w:rPr>
                <w:color w:val="auto"/>
                <w:kern w:val="0"/>
                <w:szCs w:val="21"/>
                <w:highlight w:val="none"/>
              </w:rPr>
              <w:t>汾湖超级站</w:t>
            </w:r>
          </w:p>
        </w:tc>
        <w:tc>
          <w:tcPr>
            <w:tcW w:w="1246" w:type="dxa"/>
            <w:vMerge w:val="continue"/>
            <w:vAlign w:val="center"/>
          </w:tcPr>
          <w:p>
            <w:pPr>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99" w:type="dxa"/>
            <w:vAlign w:val="center"/>
          </w:tcPr>
          <w:p>
            <w:pPr>
              <w:jc w:val="center"/>
              <w:rPr>
                <w:color w:val="auto"/>
                <w:kern w:val="0"/>
                <w:szCs w:val="21"/>
                <w:highlight w:val="none"/>
              </w:rPr>
            </w:pPr>
            <w:r>
              <w:rPr>
                <w:color w:val="auto"/>
                <w:kern w:val="0"/>
                <w:szCs w:val="21"/>
                <w:highlight w:val="none"/>
              </w:rPr>
              <w:t>4</w:t>
            </w:r>
          </w:p>
        </w:tc>
        <w:tc>
          <w:tcPr>
            <w:tcW w:w="791" w:type="dxa"/>
            <w:vMerge w:val="continue"/>
            <w:vAlign w:val="center"/>
          </w:tcPr>
          <w:p>
            <w:pPr>
              <w:jc w:val="center"/>
              <w:rPr>
                <w:color w:val="auto"/>
                <w:kern w:val="0"/>
                <w:szCs w:val="21"/>
                <w:highlight w:val="none"/>
              </w:rPr>
            </w:pPr>
          </w:p>
        </w:tc>
        <w:tc>
          <w:tcPr>
            <w:tcW w:w="1582" w:type="dxa"/>
            <w:vAlign w:val="center"/>
          </w:tcPr>
          <w:p>
            <w:pPr>
              <w:jc w:val="center"/>
              <w:rPr>
                <w:color w:val="auto"/>
                <w:kern w:val="0"/>
                <w:szCs w:val="21"/>
                <w:highlight w:val="none"/>
              </w:rPr>
            </w:pPr>
            <w:r>
              <w:rPr>
                <w:color w:val="auto"/>
                <w:kern w:val="0"/>
                <w:szCs w:val="21"/>
                <w:highlight w:val="none"/>
              </w:rPr>
              <w:t>O3监测仪</w:t>
            </w:r>
            <w:r>
              <w:rPr>
                <w:color w:val="auto"/>
                <w:kern w:val="0"/>
                <w:szCs w:val="22"/>
                <w:highlight w:val="none"/>
              </w:rPr>
              <w:t>*</w:t>
            </w:r>
          </w:p>
        </w:tc>
        <w:tc>
          <w:tcPr>
            <w:tcW w:w="1418" w:type="dxa"/>
            <w:vAlign w:val="center"/>
          </w:tcPr>
          <w:p>
            <w:pPr>
              <w:jc w:val="center"/>
              <w:rPr>
                <w:color w:val="auto"/>
                <w:kern w:val="0"/>
                <w:szCs w:val="21"/>
                <w:highlight w:val="none"/>
              </w:rPr>
            </w:pPr>
            <w:r>
              <w:rPr>
                <w:color w:val="auto"/>
                <w:kern w:val="0"/>
                <w:szCs w:val="21"/>
                <w:highlight w:val="none"/>
              </w:rPr>
              <w:t>赛默飞</w:t>
            </w:r>
          </w:p>
        </w:tc>
        <w:tc>
          <w:tcPr>
            <w:tcW w:w="1366" w:type="dxa"/>
            <w:vAlign w:val="center"/>
          </w:tcPr>
          <w:p>
            <w:pPr>
              <w:jc w:val="center"/>
              <w:rPr>
                <w:color w:val="auto"/>
                <w:kern w:val="0"/>
                <w:szCs w:val="21"/>
                <w:highlight w:val="none"/>
              </w:rPr>
            </w:pPr>
            <w:r>
              <w:rPr>
                <w:color w:val="auto"/>
                <w:kern w:val="0"/>
                <w:szCs w:val="21"/>
                <w:highlight w:val="none"/>
              </w:rPr>
              <w:t>49i</w:t>
            </w:r>
          </w:p>
        </w:tc>
        <w:tc>
          <w:tcPr>
            <w:tcW w:w="1498" w:type="dxa"/>
            <w:vAlign w:val="center"/>
          </w:tcPr>
          <w:p>
            <w:pPr>
              <w:jc w:val="center"/>
              <w:rPr>
                <w:color w:val="auto"/>
                <w:kern w:val="0"/>
                <w:szCs w:val="21"/>
                <w:highlight w:val="none"/>
              </w:rPr>
            </w:pPr>
            <w:r>
              <w:rPr>
                <w:color w:val="auto"/>
                <w:kern w:val="0"/>
                <w:szCs w:val="21"/>
                <w:highlight w:val="none"/>
              </w:rPr>
              <w:t>汾湖超级站</w:t>
            </w:r>
          </w:p>
        </w:tc>
        <w:tc>
          <w:tcPr>
            <w:tcW w:w="1246" w:type="dxa"/>
            <w:vMerge w:val="continue"/>
            <w:vAlign w:val="center"/>
          </w:tcPr>
          <w:p>
            <w:pPr>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599" w:type="dxa"/>
            <w:vAlign w:val="center"/>
          </w:tcPr>
          <w:p>
            <w:pPr>
              <w:jc w:val="center"/>
              <w:rPr>
                <w:color w:val="auto"/>
                <w:kern w:val="0"/>
                <w:szCs w:val="21"/>
                <w:highlight w:val="none"/>
              </w:rPr>
            </w:pPr>
            <w:r>
              <w:rPr>
                <w:color w:val="auto"/>
                <w:kern w:val="0"/>
                <w:szCs w:val="21"/>
                <w:highlight w:val="none"/>
              </w:rPr>
              <w:t>5</w:t>
            </w:r>
          </w:p>
        </w:tc>
        <w:tc>
          <w:tcPr>
            <w:tcW w:w="791" w:type="dxa"/>
            <w:vMerge w:val="continue"/>
            <w:vAlign w:val="center"/>
          </w:tcPr>
          <w:p>
            <w:pPr>
              <w:jc w:val="center"/>
              <w:rPr>
                <w:color w:val="auto"/>
                <w:kern w:val="0"/>
                <w:szCs w:val="21"/>
                <w:highlight w:val="none"/>
              </w:rPr>
            </w:pPr>
          </w:p>
        </w:tc>
        <w:tc>
          <w:tcPr>
            <w:tcW w:w="1582" w:type="dxa"/>
            <w:vAlign w:val="center"/>
          </w:tcPr>
          <w:p>
            <w:pPr>
              <w:jc w:val="center"/>
              <w:rPr>
                <w:color w:val="auto"/>
                <w:kern w:val="0"/>
                <w:szCs w:val="21"/>
                <w:highlight w:val="none"/>
              </w:rPr>
            </w:pPr>
            <w:r>
              <w:rPr>
                <w:color w:val="auto"/>
                <w:kern w:val="0"/>
                <w:szCs w:val="21"/>
                <w:highlight w:val="none"/>
              </w:rPr>
              <w:t>SO2监测仪</w:t>
            </w:r>
            <w:r>
              <w:rPr>
                <w:color w:val="auto"/>
                <w:kern w:val="0"/>
                <w:szCs w:val="22"/>
                <w:highlight w:val="none"/>
              </w:rPr>
              <w:t>*</w:t>
            </w:r>
          </w:p>
        </w:tc>
        <w:tc>
          <w:tcPr>
            <w:tcW w:w="1418" w:type="dxa"/>
            <w:vAlign w:val="center"/>
          </w:tcPr>
          <w:p>
            <w:pPr>
              <w:jc w:val="center"/>
              <w:rPr>
                <w:color w:val="auto"/>
                <w:kern w:val="0"/>
                <w:szCs w:val="21"/>
                <w:highlight w:val="none"/>
              </w:rPr>
            </w:pPr>
            <w:r>
              <w:rPr>
                <w:color w:val="auto"/>
                <w:kern w:val="0"/>
                <w:szCs w:val="21"/>
                <w:highlight w:val="none"/>
              </w:rPr>
              <w:t>赛默飞</w:t>
            </w:r>
          </w:p>
        </w:tc>
        <w:tc>
          <w:tcPr>
            <w:tcW w:w="1366" w:type="dxa"/>
            <w:vAlign w:val="center"/>
          </w:tcPr>
          <w:p>
            <w:pPr>
              <w:jc w:val="center"/>
              <w:rPr>
                <w:color w:val="auto"/>
                <w:kern w:val="0"/>
                <w:szCs w:val="21"/>
                <w:highlight w:val="none"/>
              </w:rPr>
            </w:pPr>
            <w:r>
              <w:rPr>
                <w:color w:val="auto"/>
                <w:kern w:val="0"/>
                <w:szCs w:val="21"/>
                <w:highlight w:val="none"/>
              </w:rPr>
              <w:t>43i</w:t>
            </w:r>
          </w:p>
        </w:tc>
        <w:tc>
          <w:tcPr>
            <w:tcW w:w="1498" w:type="dxa"/>
            <w:vAlign w:val="center"/>
          </w:tcPr>
          <w:p>
            <w:pPr>
              <w:jc w:val="center"/>
              <w:rPr>
                <w:color w:val="auto"/>
                <w:kern w:val="0"/>
                <w:szCs w:val="21"/>
                <w:highlight w:val="none"/>
              </w:rPr>
            </w:pPr>
            <w:r>
              <w:rPr>
                <w:color w:val="auto"/>
                <w:kern w:val="0"/>
                <w:szCs w:val="21"/>
                <w:highlight w:val="none"/>
              </w:rPr>
              <w:t>汾湖超级站</w:t>
            </w:r>
          </w:p>
        </w:tc>
        <w:tc>
          <w:tcPr>
            <w:tcW w:w="1246" w:type="dxa"/>
            <w:vMerge w:val="continue"/>
            <w:vAlign w:val="center"/>
          </w:tcPr>
          <w:p>
            <w:pPr>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99" w:type="dxa"/>
            <w:vAlign w:val="center"/>
          </w:tcPr>
          <w:p>
            <w:pPr>
              <w:jc w:val="center"/>
              <w:rPr>
                <w:color w:val="auto"/>
                <w:kern w:val="0"/>
                <w:szCs w:val="21"/>
                <w:highlight w:val="none"/>
              </w:rPr>
            </w:pPr>
            <w:r>
              <w:rPr>
                <w:color w:val="auto"/>
                <w:kern w:val="0"/>
                <w:szCs w:val="21"/>
                <w:highlight w:val="none"/>
              </w:rPr>
              <w:t>6</w:t>
            </w:r>
          </w:p>
        </w:tc>
        <w:tc>
          <w:tcPr>
            <w:tcW w:w="791" w:type="dxa"/>
            <w:vMerge w:val="continue"/>
            <w:vAlign w:val="center"/>
          </w:tcPr>
          <w:p>
            <w:pPr>
              <w:jc w:val="center"/>
              <w:rPr>
                <w:color w:val="auto"/>
                <w:kern w:val="0"/>
                <w:szCs w:val="21"/>
                <w:highlight w:val="none"/>
              </w:rPr>
            </w:pPr>
          </w:p>
        </w:tc>
        <w:tc>
          <w:tcPr>
            <w:tcW w:w="1582" w:type="dxa"/>
            <w:vAlign w:val="center"/>
          </w:tcPr>
          <w:p>
            <w:pPr>
              <w:jc w:val="center"/>
              <w:rPr>
                <w:color w:val="auto"/>
                <w:kern w:val="0"/>
                <w:szCs w:val="21"/>
                <w:highlight w:val="none"/>
              </w:rPr>
            </w:pPr>
            <w:r>
              <w:rPr>
                <w:color w:val="auto"/>
                <w:kern w:val="0"/>
                <w:szCs w:val="21"/>
                <w:highlight w:val="none"/>
              </w:rPr>
              <w:t>CO监测仪</w:t>
            </w:r>
            <w:r>
              <w:rPr>
                <w:color w:val="auto"/>
                <w:kern w:val="0"/>
                <w:szCs w:val="22"/>
                <w:highlight w:val="none"/>
              </w:rPr>
              <w:t>*</w:t>
            </w:r>
          </w:p>
        </w:tc>
        <w:tc>
          <w:tcPr>
            <w:tcW w:w="1418" w:type="dxa"/>
            <w:vAlign w:val="center"/>
          </w:tcPr>
          <w:p>
            <w:pPr>
              <w:jc w:val="center"/>
              <w:rPr>
                <w:color w:val="auto"/>
                <w:kern w:val="0"/>
                <w:szCs w:val="21"/>
                <w:highlight w:val="none"/>
              </w:rPr>
            </w:pPr>
            <w:r>
              <w:rPr>
                <w:color w:val="auto"/>
                <w:kern w:val="0"/>
                <w:szCs w:val="21"/>
                <w:highlight w:val="none"/>
              </w:rPr>
              <w:t>赛默飞</w:t>
            </w:r>
          </w:p>
        </w:tc>
        <w:tc>
          <w:tcPr>
            <w:tcW w:w="1366" w:type="dxa"/>
            <w:vAlign w:val="center"/>
          </w:tcPr>
          <w:p>
            <w:pPr>
              <w:jc w:val="center"/>
              <w:rPr>
                <w:color w:val="auto"/>
                <w:kern w:val="0"/>
                <w:szCs w:val="21"/>
                <w:highlight w:val="none"/>
              </w:rPr>
            </w:pPr>
            <w:r>
              <w:rPr>
                <w:color w:val="auto"/>
                <w:kern w:val="0"/>
                <w:szCs w:val="21"/>
                <w:highlight w:val="none"/>
              </w:rPr>
              <w:t>48i</w:t>
            </w:r>
          </w:p>
        </w:tc>
        <w:tc>
          <w:tcPr>
            <w:tcW w:w="1498" w:type="dxa"/>
            <w:vAlign w:val="center"/>
          </w:tcPr>
          <w:p>
            <w:pPr>
              <w:jc w:val="center"/>
              <w:rPr>
                <w:color w:val="auto"/>
                <w:kern w:val="0"/>
                <w:szCs w:val="21"/>
                <w:highlight w:val="none"/>
              </w:rPr>
            </w:pPr>
            <w:r>
              <w:rPr>
                <w:color w:val="auto"/>
                <w:kern w:val="0"/>
                <w:szCs w:val="21"/>
                <w:highlight w:val="none"/>
              </w:rPr>
              <w:t>汾湖超级站</w:t>
            </w:r>
          </w:p>
        </w:tc>
        <w:tc>
          <w:tcPr>
            <w:tcW w:w="1246" w:type="dxa"/>
            <w:vMerge w:val="continue"/>
            <w:vAlign w:val="center"/>
          </w:tcPr>
          <w:p>
            <w:pPr>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99" w:type="dxa"/>
            <w:vAlign w:val="center"/>
          </w:tcPr>
          <w:p>
            <w:pPr>
              <w:jc w:val="center"/>
              <w:rPr>
                <w:color w:val="auto"/>
                <w:kern w:val="0"/>
                <w:szCs w:val="21"/>
                <w:highlight w:val="none"/>
              </w:rPr>
            </w:pPr>
            <w:r>
              <w:rPr>
                <w:color w:val="auto"/>
                <w:kern w:val="0"/>
                <w:szCs w:val="21"/>
                <w:highlight w:val="none"/>
              </w:rPr>
              <w:t>7</w:t>
            </w:r>
          </w:p>
        </w:tc>
        <w:tc>
          <w:tcPr>
            <w:tcW w:w="791" w:type="dxa"/>
            <w:vMerge w:val="continue"/>
            <w:vAlign w:val="center"/>
          </w:tcPr>
          <w:p>
            <w:pPr>
              <w:jc w:val="center"/>
              <w:rPr>
                <w:color w:val="auto"/>
                <w:kern w:val="0"/>
                <w:szCs w:val="21"/>
                <w:highlight w:val="none"/>
              </w:rPr>
            </w:pPr>
          </w:p>
        </w:tc>
        <w:tc>
          <w:tcPr>
            <w:tcW w:w="1582" w:type="dxa"/>
            <w:vAlign w:val="center"/>
          </w:tcPr>
          <w:p>
            <w:pPr>
              <w:jc w:val="center"/>
              <w:rPr>
                <w:color w:val="auto"/>
                <w:kern w:val="0"/>
                <w:szCs w:val="21"/>
                <w:highlight w:val="none"/>
              </w:rPr>
            </w:pPr>
            <w:r>
              <w:rPr>
                <w:color w:val="auto"/>
                <w:kern w:val="0"/>
                <w:szCs w:val="21"/>
                <w:highlight w:val="none"/>
              </w:rPr>
              <w:t>动态校准仪</w:t>
            </w:r>
            <w:r>
              <w:rPr>
                <w:color w:val="auto"/>
                <w:kern w:val="0"/>
                <w:szCs w:val="22"/>
                <w:highlight w:val="none"/>
              </w:rPr>
              <w:t>*</w:t>
            </w:r>
          </w:p>
        </w:tc>
        <w:tc>
          <w:tcPr>
            <w:tcW w:w="1418" w:type="dxa"/>
            <w:vAlign w:val="center"/>
          </w:tcPr>
          <w:p>
            <w:pPr>
              <w:jc w:val="center"/>
              <w:rPr>
                <w:color w:val="auto"/>
                <w:kern w:val="0"/>
                <w:szCs w:val="21"/>
                <w:highlight w:val="none"/>
              </w:rPr>
            </w:pPr>
            <w:r>
              <w:rPr>
                <w:color w:val="auto"/>
                <w:kern w:val="0"/>
                <w:szCs w:val="21"/>
                <w:highlight w:val="none"/>
              </w:rPr>
              <w:t>赛默飞</w:t>
            </w:r>
          </w:p>
        </w:tc>
        <w:tc>
          <w:tcPr>
            <w:tcW w:w="1366" w:type="dxa"/>
            <w:vAlign w:val="center"/>
          </w:tcPr>
          <w:p>
            <w:pPr>
              <w:jc w:val="center"/>
              <w:rPr>
                <w:color w:val="auto"/>
                <w:kern w:val="0"/>
                <w:szCs w:val="21"/>
                <w:highlight w:val="none"/>
              </w:rPr>
            </w:pPr>
            <w:r>
              <w:rPr>
                <w:color w:val="auto"/>
                <w:kern w:val="0"/>
                <w:szCs w:val="21"/>
                <w:highlight w:val="none"/>
              </w:rPr>
              <w:t>146i</w:t>
            </w:r>
          </w:p>
        </w:tc>
        <w:tc>
          <w:tcPr>
            <w:tcW w:w="1498" w:type="dxa"/>
            <w:vAlign w:val="center"/>
          </w:tcPr>
          <w:p>
            <w:pPr>
              <w:jc w:val="center"/>
              <w:rPr>
                <w:color w:val="auto"/>
                <w:kern w:val="0"/>
                <w:szCs w:val="21"/>
                <w:highlight w:val="none"/>
              </w:rPr>
            </w:pPr>
            <w:r>
              <w:rPr>
                <w:color w:val="auto"/>
                <w:kern w:val="0"/>
                <w:szCs w:val="21"/>
                <w:highlight w:val="none"/>
              </w:rPr>
              <w:t>汾湖超级站</w:t>
            </w:r>
          </w:p>
        </w:tc>
        <w:tc>
          <w:tcPr>
            <w:tcW w:w="1246" w:type="dxa"/>
            <w:vMerge w:val="continue"/>
            <w:vAlign w:val="center"/>
          </w:tcPr>
          <w:p>
            <w:pPr>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99" w:type="dxa"/>
            <w:vAlign w:val="center"/>
          </w:tcPr>
          <w:p>
            <w:pPr>
              <w:jc w:val="center"/>
              <w:rPr>
                <w:color w:val="auto"/>
                <w:kern w:val="0"/>
                <w:szCs w:val="21"/>
                <w:highlight w:val="none"/>
              </w:rPr>
            </w:pPr>
            <w:r>
              <w:rPr>
                <w:color w:val="auto"/>
                <w:kern w:val="0"/>
                <w:szCs w:val="21"/>
                <w:highlight w:val="none"/>
              </w:rPr>
              <w:t>8</w:t>
            </w:r>
          </w:p>
        </w:tc>
        <w:tc>
          <w:tcPr>
            <w:tcW w:w="791" w:type="dxa"/>
            <w:vMerge w:val="continue"/>
            <w:vAlign w:val="center"/>
          </w:tcPr>
          <w:p>
            <w:pPr>
              <w:jc w:val="center"/>
              <w:rPr>
                <w:color w:val="auto"/>
                <w:kern w:val="0"/>
                <w:szCs w:val="21"/>
                <w:highlight w:val="none"/>
              </w:rPr>
            </w:pPr>
          </w:p>
        </w:tc>
        <w:tc>
          <w:tcPr>
            <w:tcW w:w="1582" w:type="dxa"/>
            <w:vAlign w:val="center"/>
          </w:tcPr>
          <w:p>
            <w:pPr>
              <w:jc w:val="center"/>
              <w:rPr>
                <w:color w:val="auto"/>
                <w:kern w:val="0"/>
                <w:szCs w:val="21"/>
                <w:highlight w:val="none"/>
              </w:rPr>
            </w:pPr>
            <w:r>
              <w:rPr>
                <w:color w:val="auto"/>
                <w:kern w:val="0"/>
                <w:szCs w:val="21"/>
                <w:highlight w:val="none"/>
              </w:rPr>
              <w:t>零气发生器</w:t>
            </w:r>
            <w:r>
              <w:rPr>
                <w:color w:val="auto"/>
                <w:kern w:val="0"/>
                <w:szCs w:val="22"/>
                <w:highlight w:val="none"/>
              </w:rPr>
              <w:t>*</w:t>
            </w:r>
          </w:p>
        </w:tc>
        <w:tc>
          <w:tcPr>
            <w:tcW w:w="1418" w:type="dxa"/>
            <w:vAlign w:val="center"/>
          </w:tcPr>
          <w:p>
            <w:pPr>
              <w:jc w:val="center"/>
              <w:rPr>
                <w:color w:val="auto"/>
                <w:kern w:val="0"/>
                <w:szCs w:val="21"/>
                <w:highlight w:val="none"/>
              </w:rPr>
            </w:pPr>
            <w:r>
              <w:rPr>
                <w:color w:val="auto"/>
                <w:kern w:val="0"/>
                <w:szCs w:val="21"/>
                <w:highlight w:val="none"/>
              </w:rPr>
              <w:t>赛默飞</w:t>
            </w:r>
          </w:p>
        </w:tc>
        <w:tc>
          <w:tcPr>
            <w:tcW w:w="1366" w:type="dxa"/>
            <w:vAlign w:val="center"/>
          </w:tcPr>
          <w:p>
            <w:pPr>
              <w:jc w:val="center"/>
              <w:rPr>
                <w:color w:val="auto"/>
                <w:kern w:val="0"/>
                <w:szCs w:val="21"/>
                <w:highlight w:val="none"/>
              </w:rPr>
            </w:pPr>
            <w:r>
              <w:rPr>
                <w:color w:val="auto"/>
                <w:kern w:val="0"/>
                <w:szCs w:val="21"/>
                <w:highlight w:val="none"/>
              </w:rPr>
              <w:t>111</w:t>
            </w:r>
          </w:p>
        </w:tc>
        <w:tc>
          <w:tcPr>
            <w:tcW w:w="1498" w:type="dxa"/>
            <w:vAlign w:val="center"/>
          </w:tcPr>
          <w:p>
            <w:pPr>
              <w:jc w:val="center"/>
              <w:rPr>
                <w:color w:val="auto"/>
                <w:kern w:val="0"/>
                <w:szCs w:val="21"/>
                <w:highlight w:val="none"/>
              </w:rPr>
            </w:pPr>
            <w:r>
              <w:rPr>
                <w:color w:val="auto"/>
                <w:kern w:val="0"/>
                <w:szCs w:val="21"/>
                <w:highlight w:val="none"/>
              </w:rPr>
              <w:t>汾湖超级站</w:t>
            </w:r>
          </w:p>
        </w:tc>
        <w:tc>
          <w:tcPr>
            <w:tcW w:w="1246" w:type="dxa"/>
            <w:vMerge w:val="continue"/>
            <w:vAlign w:val="center"/>
          </w:tcPr>
          <w:p>
            <w:pPr>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99" w:type="dxa"/>
            <w:vAlign w:val="center"/>
          </w:tcPr>
          <w:p>
            <w:pPr>
              <w:jc w:val="center"/>
              <w:rPr>
                <w:color w:val="auto"/>
                <w:kern w:val="0"/>
                <w:szCs w:val="21"/>
                <w:highlight w:val="none"/>
              </w:rPr>
            </w:pPr>
            <w:r>
              <w:rPr>
                <w:color w:val="auto"/>
                <w:kern w:val="0"/>
                <w:szCs w:val="21"/>
                <w:highlight w:val="none"/>
              </w:rPr>
              <w:t>9</w:t>
            </w:r>
          </w:p>
        </w:tc>
        <w:tc>
          <w:tcPr>
            <w:tcW w:w="791" w:type="dxa"/>
            <w:vMerge w:val="continue"/>
            <w:vAlign w:val="center"/>
          </w:tcPr>
          <w:p>
            <w:pPr>
              <w:jc w:val="center"/>
              <w:rPr>
                <w:color w:val="auto"/>
                <w:kern w:val="0"/>
                <w:szCs w:val="21"/>
                <w:highlight w:val="none"/>
              </w:rPr>
            </w:pPr>
          </w:p>
        </w:tc>
        <w:tc>
          <w:tcPr>
            <w:tcW w:w="1582" w:type="dxa"/>
            <w:vAlign w:val="center"/>
          </w:tcPr>
          <w:p>
            <w:pPr>
              <w:jc w:val="center"/>
              <w:rPr>
                <w:color w:val="auto"/>
                <w:kern w:val="0"/>
                <w:szCs w:val="21"/>
                <w:highlight w:val="none"/>
              </w:rPr>
            </w:pPr>
            <w:r>
              <w:rPr>
                <w:color w:val="auto"/>
                <w:kern w:val="0"/>
                <w:szCs w:val="21"/>
                <w:highlight w:val="none"/>
              </w:rPr>
              <w:t>气象五参数</w:t>
            </w:r>
          </w:p>
        </w:tc>
        <w:tc>
          <w:tcPr>
            <w:tcW w:w="1418" w:type="dxa"/>
            <w:vAlign w:val="center"/>
          </w:tcPr>
          <w:p>
            <w:pPr>
              <w:jc w:val="center"/>
              <w:rPr>
                <w:color w:val="auto"/>
                <w:kern w:val="0"/>
                <w:szCs w:val="21"/>
                <w:highlight w:val="none"/>
              </w:rPr>
            </w:pPr>
            <w:r>
              <w:rPr>
                <w:color w:val="auto"/>
                <w:kern w:val="0"/>
                <w:szCs w:val="21"/>
                <w:highlight w:val="none"/>
              </w:rPr>
              <w:t>智翔宇</w:t>
            </w:r>
          </w:p>
        </w:tc>
        <w:tc>
          <w:tcPr>
            <w:tcW w:w="1366" w:type="dxa"/>
            <w:vAlign w:val="center"/>
          </w:tcPr>
          <w:p>
            <w:pPr>
              <w:jc w:val="center"/>
              <w:rPr>
                <w:color w:val="auto"/>
                <w:kern w:val="0"/>
                <w:szCs w:val="21"/>
                <w:highlight w:val="none"/>
              </w:rPr>
            </w:pPr>
            <w:r>
              <w:rPr>
                <w:color w:val="auto"/>
                <w:kern w:val="0"/>
                <w:szCs w:val="21"/>
                <w:highlight w:val="none"/>
              </w:rPr>
              <w:t>MULTI-5P</w:t>
            </w:r>
          </w:p>
        </w:tc>
        <w:tc>
          <w:tcPr>
            <w:tcW w:w="1498" w:type="dxa"/>
            <w:vAlign w:val="center"/>
          </w:tcPr>
          <w:p>
            <w:pPr>
              <w:jc w:val="center"/>
              <w:rPr>
                <w:color w:val="auto"/>
                <w:kern w:val="0"/>
                <w:szCs w:val="21"/>
                <w:highlight w:val="none"/>
              </w:rPr>
            </w:pPr>
            <w:r>
              <w:rPr>
                <w:color w:val="auto"/>
                <w:kern w:val="0"/>
                <w:szCs w:val="21"/>
                <w:highlight w:val="none"/>
              </w:rPr>
              <w:t>汾湖超级站</w:t>
            </w:r>
          </w:p>
        </w:tc>
        <w:tc>
          <w:tcPr>
            <w:tcW w:w="1246" w:type="dxa"/>
            <w:vMerge w:val="continue"/>
            <w:vAlign w:val="center"/>
          </w:tcPr>
          <w:p>
            <w:pPr>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99" w:type="dxa"/>
            <w:vAlign w:val="center"/>
          </w:tcPr>
          <w:p>
            <w:pPr>
              <w:jc w:val="center"/>
              <w:rPr>
                <w:color w:val="auto"/>
                <w:kern w:val="0"/>
                <w:szCs w:val="21"/>
                <w:highlight w:val="none"/>
              </w:rPr>
            </w:pPr>
            <w:r>
              <w:rPr>
                <w:rFonts w:hint="eastAsia"/>
                <w:color w:val="auto"/>
                <w:kern w:val="0"/>
                <w:szCs w:val="21"/>
                <w:highlight w:val="none"/>
              </w:rPr>
              <w:t>1</w:t>
            </w:r>
            <w:r>
              <w:rPr>
                <w:color w:val="auto"/>
                <w:kern w:val="0"/>
                <w:szCs w:val="21"/>
                <w:highlight w:val="none"/>
              </w:rPr>
              <w:t>0</w:t>
            </w:r>
          </w:p>
        </w:tc>
        <w:tc>
          <w:tcPr>
            <w:tcW w:w="791" w:type="dxa"/>
            <w:vMerge w:val="continue"/>
            <w:vAlign w:val="center"/>
          </w:tcPr>
          <w:p>
            <w:pPr>
              <w:jc w:val="center"/>
              <w:rPr>
                <w:color w:val="auto"/>
                <w:kern w:val="0"/>
                <w:szCs w:val="21"/>
                <w:highlight w:val="none"/>
              </w:rPr>
            </w:pPr>
          </w:p>
        </w:tc>
        <w:tc>
          <w:tcPr>
            <w:tcW w:w="1582" w:type="dxa"/>
            <w:vAlign w:val="center"/>
          </w:tcPr>
          <w:p>
            <w:pPr>
              <w:widowControl/>
              <w:jc w:val="center"/>
              <w:rPr>
                <w:color w:val="auto"/>
                <w:kern w:val="0"/>
                <w:szCs w:val="21"/>
                <w:highlight w:val="none"/>
              </w:rPr>
            </w:pPr>
            <w:r>
              <w:rPr>
                <w:color w:val="auto"/>
                <w:kern w:val="0"/>
                <w:szCs w:val="21"/>
                <w:highlight w:val="none"/>
              </w:rPr>
              <w:t>太阳</w:t>
            </w:r>
            <w:r>
              <w:rPr>
                <w:rFonts w:hint="eastAsia"/>
                <w:color w:val="auto"/>
                <w:kern w:val="0"/>
                <w:szCs w:val="21"/>
                <w:highlight w:val="none"/>
              </w:rPr>
              <w:t>光度计</w:t>
            </w:r>
          </w:p>
        </w:tc>
        <w:tc>
          <w:tcPr>
            <w:tcW w:w="1418" w:type="dxa"/>
            <w:vAlign w:val="center"/>
          </w:tcPr>
          <w:p>
            <w:pPr>
              <w:jc w:val="center"/>
              <w:rPr>
                <w:color w:val="auto"/>
                <w:kern w:val="0"/>
                <w:szCs w:val="21"/>
                <w:highlight w:val="none"/>
              </w:rPr>
            </w:pPr>
            <w:r>
              <w:rPr>
                <w:color w:val="auto"/>
                <w:kern w:val="0"/>
                <w:szCs w:val="21"/>
                <w:highlight w:val="none"/>
              </w:rPr>
              <w:t>KIPPZONEN</w:t>
            </w:r>
          </w:p>
        </w:tc>
        <w:tc>
          <w:tcPr>
            <w:tcW w:w="1366" w:type="dxa"/>
            <w:vAlign w:val="center"/>
          </w:tcPr>
          <w:p>
            <w:pPr>
              <w:jc w:val="center"/>
              <w:rPr>
                <w:color w:val="auto"/>
                <w:kern w:val="0"/>
                <w:szCs w:val="21"/>
                <w:highlight w:val="none"/>
              </w:rPr>
            </w:pPr>
            <w:r>
              <w:rPr>
                <w:color w:val="auto"/>
                <w:kern w:val="0"/>
                <w:szCs w:val="21"/>
                <w:highlight w:val="none"/>
              </w:rPr>
              <w:t>CUV5、CMP6</w:t>
            </w:r>
          </w:p>
        </w:tc>
        <w:tc>
          <w:tcPr>
            <w:tcW w:w="1498" w:type="dxa"/>
            <w:vAlign w:val="center"/>
          </w:tcPr>
          <w:p>
            <w:pPr>
              <w:jc w:val="center"/>
              <w:rPr>
                <w:color w:val="auto"/>
                <w:kern w:val="0"/>
                <w:szCs w:val="21"/>
                <w:highlight w:val="none"/>
              </w:rPr>
            </w:pPr>
            <w:r>
              <w:rPr>
                <w:color w:val="auto"/>
                <w:kern w:val="0"/>
                <w:szCs w:val="21"/>
                <w:highlight w:val="none"/>
              </w:rPr>
              <w:t>汾湖超级站</w:t>
            </w:r>
          </w:p>
        </w:tc>
        <w:tc>
          <w:tcPr>
            <w:tcW w:w="1246" w:type="dxa"/>
            <w:vAlign w:val="center"/>
          </w:tcPr>
          <w:p>
            <w:pPr>
              <w:jc w:val="center"/>
              <w:rPr>
                <w:color w:val="auto"/>
                <w:kern w:val="0"/>
                <w:szCs w:val="21"/>
                <w:highlight w:val="none"/>
              </w:rPr>
            </w:pPr>
            <w:r>
              <w:rPr>
                <w:rFonts w:hint="eastAsia"/>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99" w:type="dxa"/>
            <w:vAlign w:val="center"/>
          </w:tcPr>
          <w:p>
            <w:pPr>
              <w:widowControl/>
              <w:jc w:val="center"/>
              <w:rPr>
                <w:color w:val="auto"/>
                <w:kern w:val="0"/>
                <w:szCs w:val="21"/>
                <w:highlight w:val="none"/>
              </w:rPr>
            </w:pPr>
            <w:r>
              <w:rPr>
                <w:color w:val="auto"/>
                <w:kern w:val="0"/>
                <w:szCs w:val="21"/>
                <w:highlight w:val="none"/>
              </w:rPr>
              <w:t>11</w:t>
            </w:r>
          </w:p>
        </w:tc>
        <w:tc>
          <w:tcPr>
            <w:tcW w:w="791" w:type="dxa"/>
            <w:vAlign w:val="center"/>
          </w:tcPr>
          <w:p>
            <w:pPr>
              <w:widowControl/>
              <w:jc w:val="center"/>
              <w:rPr>
                <w:color w:val="auto"/>
                <w:kern w:val="0"/>
                <w:szCs w:val="21"/>
                <w:highlight w:val="none"/>
              </w:rPr>
            </w:pPr>
          </w:p>
        </w:tc>
        <w:tc>
          <w:tcPr>
            <w:tcW w:w="1582" w:type="dxa"/>
            <w:vAlign w:val="center"/>
          </w:tcPr>
          <w:p>
            <w:pPr>
              <w:widowControl/>
              <w:jc w:val="center"/>
              <w:rPr>
                <w:color w:val="auto"/>
                <w:kern w:val="0"/>
                <w:szCs w:val="21"/>
                <w:highlight w:val="none"/>
              </w:rPr>
            </w:pPr>
            <w:r>
              <w:rPr>
                <w:color w:val="auto"/>
                <w:kern w:val="0"/>
                <w:szCs w:val="21"/>
                <w:highlight w:val="none"/>
              </w:rPr>
              <w:t>颗粒物OC/EC分析仪</w:t>
            </w:r>
          </w:p>
        </w:tc>
        <w:tc>
          <w:tcPr>
            <w:tcW w:w="1418" w:type="dxa"/>
            <w:vAlign w:val="center"/>
          </w:tcPr>
          <w:p>
            <w:pPr>
              <w:jc w:val="center"/>
              <w:rPr>
                <w:color w:val="auto"/>
                <w:kern w:val="0"/>
                <w:szCs w:val="21"/>
                <w:highlight w:val="none"/>
              </w:rPr>
            </w:pPr>
            <w:r>
              <w:rPr>
                <w:color w:val="auto"/>
                <w:kern w:val="0"/>
                <w:szCs w:val="21"/>
                <w:highlight w:val="none"/>
              </w:rPr>
              <w:t>SUNSET</w:t>
            </w:r>
          </w:p>
        </w:tc>
        <w:tc>
          <w:tcPr>
            <w:tcW w:w="1366" w:type="dxa"/>
            <w:vAlign w:val="center"/>
          </w:tcPr>
          <w:p>
            <w:pPr>
              <w:jc w:val="center"/>
              <w:rPr>
                <w:color w:val="auto"/>
                <w:kern w:val="0"/>
                <w:szCs w:val="21"/>
                <w:highlight w:val="none"/>
              </w:rPr>
            </w:pPr>
            <w:r>
              <w:rPr>
                <w:color w:val="auto"/>
                <w:kern w:val="0"/>
                <w:szCs w:val="21"/>
                <w:highlight w:val="none"/>
              </w:rPr>
              <w:t>RT-4</w:t>
            </w:r>
          </w:p>
        </w:tc>
        <w:tc>
          <w:tcPr>
            <w:tcW w:w="1498" w:type="dxa"/>
            <w:vAlign w:val="center"/>
          </w:tcPr>
          <w:p>
            <w:pPr>
              <w:jc w:val="center"/>
              <w:rPr>
                <w:color w:val="auto"/>
                <w:kern w:val="0"/>
                <w:szCs w:val="21"/>
                <w:highlight w:val="none"/>
              </w:rPr>
            </w:pPr>
            <w:r>
              <w:rPr>
                <w:color w:val="auto"/>
                <w:kern w:val="0"/>
                <w:szCs w:val="21"/>
                <w:highlight w:val="none"/>
              </w:rPr>
              <w:t>汾湖超级站</w:t>
            </w:r>
          </w:p>
        </w:tc>
        <w:tc>
          <w:tcPr>
            <w:tcW w:w="1246" w:type="dxa"/>
            <w:vAlign w:val="center"/>
          </w:tcPr>
          <w:p>
            <w:pPr>
              <w:jc w:val="center"/>
              <w:rPr>
                <w:color w:val="auto"/>
                <w:kern w:val="0"/>
                <w:szCs w:val="21"/>
                <w:highlight w:val="none"/>
              </w:rPr>
            </w:pPr>
            <w:r>
              <w:rPr>
                <w:rFonts w:hint="eastAsia"/>
                <w:color w:val="auto"/>
                <w:kern w:val="0"/>
                <w:szCs w:val="21"/>
                <w:highlight w:val="none"/>
              </w:rPr>
              <w:t>1</w:t>
            </w:r>
            <w:r>
              <w:rPr>
                <w:color w:val="auto"/>
                <w:kern w:val="0"/>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99" w:type="dxa"/>
            <w:vAlign w:val="center"/>
          </w:tcPr>
          <w:p>
            <w:pPr>
              <w:widowControl/>
              <w:jc w:val="center"/>
              <w:rPr>
                <w:color w:val="auto"/>
                <w:kern w:val="0"/>
                <w:szCs w:val="21"/>
                <w:highlight w:val="none"/>
              </w:rPr>
            </w:pPr>
            <w:r>
              <w:rPr>
                <w:color w:val="auto"/>
                <w:kern w:val="0"/>
                <w:szCs w:val="21"/>
                <w:highlight w:val="none"/>
              </w:rPr>
              <w:t>12</w:t>
            </w:r>
          </w:p>
        </w:tc>
        <w:tc>
          <w:tcPr>
            <w:tcW w:w="791" w:type="dxa"/>
            <w:vAlign w:val="center"/>
          </w:tcPr>
          <w:p>
            <w:pPr>
              <w:widowControl/>
              <w:jc w:val="center"/>
              <w:rPr>
                <w:color w:val="auto"/>
                <w:kern w:val="0"/>
                <w:szCs w:val="21"/>
                <w:highlight w:val="none"/>
              </w:rPr>
            </w:pPr>
          </w:p>
        </w:tc>
        <w:tc>
          <w:tcPr>
            <w:tcW w:w="1582" w:type="dxa"/>
            <w:vAlign w:val="center"/>
          </w:tcPr>
          <w:p>
            <w:pPr>
              <w:jc w:val="center"/>
              <w:rPr>
                <w:color w:val="auto"/>
                <w:kern w:val="0"/>
                <w:szCs w:val="21"/>
                <w:highlight w:val="none"/>
              </w:rPr>
            </w:pPr>
            <w:r>
              <w:rPr>
                <w:color w:val="auto"/>
                <w:kern w:val="0"/>
                <w:szCs w:val="21"/>
                <w:highlight w:val="none"/>
              </w:rPr>
              <w:t>颗粒物重金属分析仪</w:t>
            </w:r>
          </w:p>
        </w:tc>
        <w:tc>
          <w:tcPr>
            <w:tcW w:w="1418" w:type="dxa"/>
            <w:vAlign w:val="center"/>
          </w:tcPr>
          <w:p>
            <w:pPr>
              <w:jc w:val="center"/>
              <w:rPr>
                <w:color w:val="auto"/>
                <w:kern w:val="0"/>
                <w:szCs w:val="21"/>
                <w:highlight w:val="none"/>
              </w:rPr>
            </w:pPr>
            <w:r>
              <w:rPr>
                <w:color w:val="auto"/>
                <w:kern w:val="0"/>
                <w:szCs w:val="21"/>
                <w:highlight w:val="none"/>
              </w:rPr>
              <w:t>Cooper</w:t>
            </w:r>
          </w:p>
        </w:tc>
        <w:tc>
          <w:tcPr>
            <w:tcW w:w="1366" w:type="dxa"/>
            <w:vAlign w:val="center"/>
          </w:tcPr>
          <w:p>
            <w:pPr>
              <w:jc w:val="center"/>
              <w:rPr>
                <w:color w:val="auto"/>
                <w:kern w:val="0"/>
                <w:szCs w:val="21"/>
                <w:highlight w:val="none"/>
              </w:rPr>
            </w:pPr>
            <w:r>
              <w:rPr>
                <w:color w:val="auto"/>
                <w:kern w:val="0"/>
                <w:szCs w:val="21"/>
                <w:highlight w:val="none"/>
              </w:rPr>
              <w:t>Xact 625</w:t>
            </w:r>
          </w:p>
        </w:tc>
        <w:tc>
          <w:tcPr>
            <w:tcW w:w="1498" w:type="dxa"/>
            <w:vAlign w:val="center"/>
          </w:tcPr>
          <w:p>
            <w:pPr>
              <w:jc w:val="center"/>
              <w:rPr>
                <w:color w:val="auto"/>
                <w:kern w:val="0"/>
                <w:szCs w:val="21"/>
                <w:highlight w:val="none"/>
              </w:rPr>
            </w:pPr>
            <w:r>
              <w:rPr>
                <w:color w:val="auto"/>
                <w:kern w:val="0"/>
                <w:szCs w:val="21"/>
                <w:highlight w:val="none"/>
              </w:rPr>
              <w:t>汾湖超级站</w:t>
            </w:r>
          </w:p>
        </w:tc>
        <w:tc>
          <w:tcPr>
            <w:tcW w:w="1246" w:type="dxa"/>
            <w:vAlign w:val="center"/>
          </w:tcPr>
          <w:p>
            <w:pPr>
              <w:jc w:val="center"/>
              <w:rPr>
                <w:color w:val="auto"/>
                <w:kern w:val="0"/>
                <w:szCs w:val="21"/>
                <w:highlight w:val="none"/>
              </w:rPr>
            </w:pPr>
            <w:r>
              <w:rPr>
                <w:rFonts w:hint="eastAsia"/>
                <w:color w:val="auto"/>
                <w:kern w:val="0"/>
                <w:szCs w:val="21"/>
                <w:highlight w:val="none"/>
              </w:rPr>
              <w:t>1</w:t>
            </w:r>
            <w:r>
              <w:rPr>
                <w:color w:val="auto"/>
                <w:kern w:val="0"/>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99" w:type="dxa"/>
            <w:vAlign w:val="center"/>
          </w:tcPr>
          <w:p>
            <w:pPr>
              <w:jc w:val="center"/>
              <w:rPr>
                <w:color w:val="auto"/>
                <w:kern w:val="0"/>
                <w:szCs w:val="21"/>
                <w:highlight w:val="none"/>
              </w:rPr>
            </w:pPr>
            <w:r>
              <w:rPr>
                <w:color w:val="auto"/>
                <w:kern w:val="0"/>
                <w:szCs w:val="21"/>
                <w:highlight w:val="none"/>
              </w:rPr>
              <w:t>13</w:t>
            </w:r>
          </w:p>
        </w:tc>
        <w:tc>
          <w:tcPr>
            <w:tcW w:w="791" w:type="dxa"/>
            <w:vAlign w:val="center"/>
          </w:tcPr>
          <w:p>
            <w:pPr>
              <w:jc w:val="center"/>
              <w:rPr>
                <w:color w:val="auto"/>
                <w:kern w:val="0"/>
                <w:szCs w:val="21"/>
                <w:highlight w:val="none"/>
              </w:rPr>
            </w:pPr>
          </w:p>
        </w:tc>
        <w:tc>
          <w:tcPr>
            <w:tcW w:w="1582" w:type="dxa"/>
            <w:vAlign w:val="center"/>
          </w:tcPr>
          <w:p>
            <w:pPr>
              <w:widowControl/>
              <w:jc w:val="center"/>
              <w:rPr>
                <w:color w:val="auto"/>
                <w:kern w:val="0"/>
                <w:szCs w:val="21"/>
                <w:highlight w:val="none"/>
              </w:rPr>
            </w:pPr>
            <w:r>
              <w:rPr>
                <w:color w:val="auto"/>
                <w:kern w:val="0"/>
                <w:szCs w:val="21"/>
                <w:highlight w:val="none"/>
              </w:rPr>
              <w:t>颗粒物OC/EC分析仪</w:t>
            </w:r>
          </w:p>
        </w:tc>
        <w:tc>
          <w:tcPr>
            <w:tcW w:w="1418" w:type="dxa"/>
            <w:vAlign w:val="center"/>
          </w:tcPr>
          <w:p>
            <w:pPr>
              <w:jc w:val="center"/>
              <w:rPr>
                <w:color w:val="auto"/>
                <w:kern w:val="0"/>
                <w:szCs w:val="21"/>
                <w:highlight w:val="none"/>
              </w:rPr>
            </w:pPr>
            <w:r>
              <w:rPr>
                <w:color w:val="auto"/>
                <w:kern w:val="0"/>
                <w:szCs w:val="21"/>
                <w:highlight w:val="none"/>
              </w:rPr>
              <w:t>SUNSET</w:t>
            </w:r>
          </w:p>
        </w:tc>
        <w:tc>
          <w:tcPr>
            <w:tcW w:w="1366" w:type="dxa"/>
            <w:vAlign w:val="center"/>
          </w:tcPr>
          <w:p>
            <w:pPr>
              <w:jc w:val="center"/>
              <w:rPr>
                <w:color w:val="auto"/>
                <w:kern w:val="0"/>
                <w:szCs w:val="21"/>
                <w:highlight w:val="none"/>
              </w:rPr>
            </w:pPr>
            <w:r>
              <w:rPr>
                <w:color w:val="auto"/>
                <w:kern w:val="0"/>
                <w:szCs w:val="21"/>
                <w:highlight w:val="none"/>
              </w:rPr>
              <w:t>RT-4</w:t>
            </w:r>
          </w:p>
        </w:tc>
        <w:tc>
          <w:tcPr>
            <w:tcW w:w="1498" w:type="dxa"/>
            <w:vAlign w:val="center"/>
          </w:tcPr>
          <w:p>
            <w:pPr>
              <w:jc w:val="center"/>
              <w:rPr>
                <w:color w:val="auto"/>
                <w:kern w:val="0"/>
                <w:szCs w:val="21"/>
                <w:highlight w:val="none"/>
              </w:rPr>
            </w:pPr>
            <w:r>
              <w:rPr>
                <w:color w:val="auto"/>
                <w:kern w:val="0"/>
                <w:szCs w:val="21"/>
                <w:highlight w:val="none"/>
              </w:rPr>
              <w:t>大气多参数站</w:t>
            </w:r>
          </w:p>
        </w:tc>
        <w:tc>
          <w:tcPr>
            <w:tcW w:w="1246" w:type="dxa"/>
            <w:vAlign w:val="center"/>
          </w:tcPr>
          <w:p>
            <w:pPr>
              <w:jc w:val="center"/>
              <w:rPr>
                <w:color w:val="auto"/>
                <w:kern w:val="0"/>
                <w:szCs w:val="21"/>
                <w:highlight w:val="none"/>
              </w:rPr>
            </w:pPr>
            <w:r>
              <w:rPr>
                <w:rFonts w:hint="eastAsia"/>
                <w:color w:val="auto"/>
                <w:kern w:val="0"/>
                <w:szCs w:val="21"/>
                <w:highlight w:val="none"/>
              </w:rPr>
              <w:t>1</w:t>
            </w:r>
            <w:r>
              <w:rPr>
                <w:color w:val="auto"/>
                <w:kern w:val="0"/>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99" w:type="dxa"/>
            <w:vAlign w:val="center"/>
          </w:tcPr>
          <w:p>
            <w:pPr>
              <w:jc w:val="center"/>
              <w:rPr>
                <w:color w:val="auto"/>
                <w:kern w:val="0"/>
                <w:szCs w:val="21"/>
                <w:highlight w:val="none"/>
              </w:rPr>
            </w:pPr>
            <w:r>
              <w:rPr>
                <w:color w:val="auto"/>
                <w:kern w:val="0"/>
                <w:szCs w:val="21"/>
                <w:highlight w:val="none"/>
              </w:rPr>
              <w:t>14</w:t>
            </w:r>
          </w:p>
        </w:tc>
        <w:tc>
          <w:tcPr>
            <w:tcW w:w="791" w:type="dxa"/>
            <w:vAlign w:val="center"/>
          </w:tcPr>
          <w:p>
            <w:pPr>
              <w:jc w:val="center"/>
              <w:rPr>
                <w:color w:val="auto"/>
                <w:kern w:val="0"/>
                <w:szCs w:val="21"/>
                <w:highlight w:val="none"/>
              </w:rPr>
            </w:pPr>
          </w:p>
        </w:tc>
        <w:tc>
          <w:tcPr>
            <w:tcW w:w="1582" w:type="dxa"/>
            <w:vAlign w:val="center"/>
          </w:tcPr>
          <w:p>
            <w:pPr>
              <w:jc w:val="center"/>
              <w:rPr>
                <w:color w:val="auto"/>
                <w:kern w:val="0"/>
                <w:szCs w:val="21"/>
                <w:highlight w:val="none"/>
              </w:rPr>
            </w:pPr>
            <w:r>
              <w:rPr>
                <w:color w:val="auto"/>
                <w:kern w:val="0"/>
                <w:szCs w:val="21"/>
                <w:highlight w:val="none"/>
              </w:rPr>
              <w:t>甲烷-非甲烷总烃分析仪</w:t>
            </w:r>
          </w:p>
        </w:tc>
        <w:tc>
          <w:tcPr>
            <w:tcW w:w="1418" w:type="dxa"/>
            <w:vAlign w:val="center"/>
          </w:tcPr>
          <w:p>
            <w:pPr>
              <w:jc w:val="center"/>
              <w:rPr>
                <w:color w:val="auto"/>
                <w:kern w:val="0"/>
                <w:szCs w:val="21"/>
                <w:highlight w:val="none"/>
              </w:rPr>
            </w:pPr>
            <w:r>
              <w:rPr>
                <w:color w:val="auto"/>
                <w:kern w:val="0"/>
                <w:szCs w:val="21"/>
                <w:highlight w:val="none"/>
              </w:rPr>
              <w:t>谱育科技</w:t>
            </w:r>
          </w:p>
        </w:tc>
        <w:tc>
          <w:tcPr>
            <w:tcW w:w="1366" w:type="dxa"/>
            <w:vAlign w:val="center"/>
          </w:tcPr>
          <w:p>
            <w:pPr>
              <w:jc w:val="center"/>
              <w:rPr>
                <w:color w:val="auto"/>
                <w:kern w:val="0"/>
                <w:szCs w:val="21"/>
                <w:highlight w:val="none"/>
              </w:rPr>
            </w:pPr>
            <w:r>
              <w:rPr>
                <w:color w:val="auto"/>
                <w:kern w:val="0"/>
                <w:szCs w:val="21"/>
                <w:highlight w:val="none"/>
              </w:rPr>
              <w:t>EXPEC 2000</w:t>
            </w:r>
          </w:p>
        </w:tc>
        <w:tc>
          <w:tcPr>
            <w:tcW w:w="1498" w:type="dxa"/>
            <w:vAlign w:val="center"/>
          </w:tcPr>
          <w:p>
            <w:pPr>
              <w:jc w:val="center"/>
              <w:rPr>
                <w:color w:val="auto"/>
                <w:kern w:val="0"/>
                <w:szCs w:val="21"/>
                <w:highlight w:val="none"/>
              </w:rPr>
            </w:pPr>
            <w:r>
              <w:rPr>
                <w:color w:val="auto"/>
                <w:kern w:val="0"/>
                <w:szCs w:val="21"/>
                <w:highlight w:val="none"/>
              </w:rPr>
              <w:t>大气多参数站</w:t>
            </w:r>
          </w:p>
        </w:tc>
        <w:tc>
          <w:tcPr>
            <w:tcW w:w="1246" w:type="dxa"/>
            <w:vAlign w:val="center"/>
          </w:tcPr>
          <w:p>
            <w:pPr>
              <w:jc w:val="center"/>
              <w:rPr>
                <w:color w:val="auto"/>
                <w:kern w:val="0"/>
                <w:szCs w:val="21"/>
                <w:highlight w:val="none"/>
              </w:rPr>
            </w:pPr>
            <w:r>
              <w:rPr>
                <w:rFonts w:hint="eastAsia"/>
                <w:color w:val="auto"/>
                <w:kern w:val="0"/>
                <w:szCs w:val="21"/>
                <w:highlight w:val="none"/>
              </w:rPr>
              <w:t>6</w:t>
            </w:r>
          </w:p>
        </w:tc>
      </w:tr>
    </w:tbl>
    <w:p>
      <w:pPr>
        <w:rPr>
          <w:color w:val="auto"/>
          <w:highlight w:val="none"/>
        </w:rPr>
      </w:pPr>
    </w:p>
    <w:p>
      <w:pPr>
        <w:spacing w:before="120" w:after="120"/>
        <w:rPr>
          <w:b/>
          <w:color w:val="auto"/>
          <w:szCs w:val="21"/>
          <w:highlight w:val="none"/>
        </w:rPr>
      </w:pPr>
      <w:r>
        <w:rPr>
          <w:b/>
          <w:color w:val="auto"/>
          <w:szCs w:val="21"/>
          <w:highlight w:val="none"/>
        </w:rPr>
        <w:t>二、项目总体需求</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2.1投标单位应提供详细的运维管理服务方案。</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2.2投标单位应至少配备如下数量的质量控制设备，包括配套的流量计（须具备计量检定部门的校准报告）、各种标气、臭氧校准仪等。</w:t>
      </w:r>
    </w:p>
    <w:p>
      <w:pPr>
        <w:ind w:left="420" w:leftChars="200"/>
        <w:jc w:val="center"/>
        <w:rPr>
          <w:bCs/>
          <w:color w:val="auto"/>
          <w:szCs w:val="21"/>
          <w:highlight w:val="none"/>
        </w:rPr>
      </w:pPr>
      <w:r>
        <w:rPr>
          <w:bCs/>
          <w:color w:val="auto"/>
          <w:szCs w:val="21"/>
          <w:highlight w:val="none"/>
        </w:rPr>
        <w:t>表1</w:t>
      </w:r>
      <w:r>
        <w:rPr>
          <w:rFonts w:hint="eastAsia"/>
          <w:bCs/>
          <w:color w:val="auto"/>
          <w:szCs w:val="21"/>
          <w:highlight w:val="none"/>
        </w:rPr>
        <w:t>-</w:t>
      </w:r>
      <w:r>
        <w:rPr>
          <w:bCs/>
          <w:color w:val="auto"/>
          <w:szCs w:val="21"/>
          <w:highlight w:val="none"/>
        </w:rPr>
        <w:t>2</w:t>
      </w:r>
      <w:r>
        <w:rPr>
          <w:color w:val="auto"/>
          <w:szCs w:val="21"/>
          <w:highlight w:val="none"/>
        </w:rPr>
        <w:t>投标单位配备质量控制设备</w:t>
      </w:r>
      <w:r>
        <w:rPr>
          <w:bCs/>
          <w:color w:val="auto"/>
          <w:szCs w:val="21"/>
          <w:highlight w:val="none"/>
        </w:rPr>
        <w:t>清单</w:t>
      </w:r>
    </w:p>
    <w:tbl>
      <w:tblPr>
        <w:tblStyle w:val="44"/>
        <w:tblW w:w="7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50"/>
        <w:gridCol w:w="4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exact"/>
          <w:jc w:val="center"/>
        </w:trPr>
        <w:tc>
          <w:tcPr>
            <w:tcW w:w="3250" w:type="dxa"/>
            <w:shd w:val="clear" w:color="auto" w:fill="BFBFBF"/>
            <w:vAlign w:val="center"/>
          </w:tcPr>
          <w:p>
            <w:pPr>
              <w:jc w:val="center"/>
              <w:rPr>
                <w:color w:val="auto"/>
                <w:szCs w:val="21"/>
                <w:highlight w:val="none"/>
              </w:rPr>
            </w:pPr>
            <w:r>
              <w:rPr>
                <w:color w:val="auto"/>
                <w:szCs w:val="21"/>
                <w:highlight w:val="none"/>
              </w:rPr>
              <w:t>质控设备名称</w:t>
            </w:r>
          </w:p>
        </w:tc>
        <w:tc>
          <w:tcPr>
            <w:tcW w:w="4708" w:type="dxa"/>
            <w:shd w:val="clear" w:color="auto" w:fill="BFBFBF"/>
            <w:vAlign w:val="center"/>
          </w:tcPr>
          <w:p>
            <w:pPr>
              <w:jc w:val="center"/>
              <w:rPr>
                <w:color w:val="auto"/>
                <w:szCs w:val="21"/>
                <w:highlight w:val="none"/>
              </w:rPr>
            </w:pPr>
            <w:r>
              <w:rPr>
                <w:color w:val="auto"/>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exact"/>
          <w:jc w:val="center"/>
        </w:trPr>
        <w:tc>
          <w:tcPr>
            <w:tcW w:w="3250" w:type="dxa"/>
            <w:vAlign w:val="center"/>
          </w:tcPr>
          <w:p>
            <w:pPr>
              <w:jc w:val="center"/>
              <w:rPr>
                <w:color w:val="auto"/>
                <w:szCs w:val="21"/>
                <w:highlight w:val="none"/>
              </w:rPr>
            </w:pPr>
            <w:r>
              <w:rPr>
                <w:color w:val="auto"/>
                <w:szCs w:val="21"/>
                <w:highlight w:val="none"/>
              </w:rPr>
              <w:t>标准流量计</w:t>
            </w:r>
          </w:p>
          <w:p>
            <w:pPr>
              <w:jc w:val="center"/>
              <w:rPr>
                <w:color w:val="auto"/>
                <w:szCs w:val="21"/>
                <w:highlight w:val="none"/>
              </w:rPr>
            </w:pPr>
          </w:p>
        </w:tc>
        <w:tc>
          <w:tcPr>
            <w:tcW w:w="4708" w:type="dxa"/>
            <w:vAlign w:val="center"/>
          </w:tcPr>
          <w:p>
            <w:pPr>
              <w:jc w:val="center"/>
              <w:rPr>
                <w:color w:val="auto"/>
                <w:szCs w:val="21"/>
                <w:highlight w:val="none"/>
              </w:rPr>
            </w:pPr>
            <w:r>
              <w:rPr>
                <w:color w:val="auto"/>
                <w:szCs w:val="21"/>
                <w:highlight w:val="none"/>
              </w:rPr>
              <w:t>大、小流量各1套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8" w:hRule="exact"/>
          <w:jc w:val="center"/>
        </w:trPr>
        <w:tc>
          <w:tcPr>
            <w:tcW w:w="3250" w:type="dxa"/>
            <w:vAlign w:val="center"/>
          </w:tcPr>
          <w:p>
            <w:pPr>
              <w:jc w:val="center"/>
              <w:rPr>
                <w:color w:val="auto"/>
                <w:szCs w:val="21"/>
                <w:highlight w:val="none"/>
              </w:rPr>
            </w:pPr>
            <w:r>
              <w:rPr>
                <w:color w:val="auto"/>
                <w:szCs w:val="21"/>
                <w:highlight w:val="none"/>
              </w:rPr>
              <w:t>标准气压计</w:t>
            </w:r>
          </w:p>
        </w:tc>
        <w:tc>
          <w:tcPr>
            <w:tcW w:w="4708" w:type="dxa"/>
            <w:vAlign w:val="center"/>
          </w:tcPr>
          <w:p>
            <w:pPr>
              <w:jc w:val="center"/>
              <w:rPr>
                <w:color w:val="auto"/>
                <w:szCs w:val="21"/>
                <w:highlight w:val="none"/>
              </w:rPr>
            </w:pPr>
            <w:r>
              <w:rPr>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exact"/>
          <w:jc w:val="center"/>
        </w:trPr>
        <w:tc>
          <w:tcPr>
            <w:tcW w:w="3250" w:type="dxa"/>
            <w:vAlign w:val="center"/>
          </w:tcPr>
          <w:p>
            <w:pPr>
              <w:jc w:val="center"/>
              <w:rPr>
                <w:color w:val="auto"/>
                <w:szCs w:val="21"/>
                <w:highlight w:val="none"/>
              </w:rPr>
            </w:pPr>
            <w:r>
              <w:rPr>
                <w:color w:val="auto"/>
                <w:szCs w:val="21"/>
                <w:highlight w:val="none"/>
              </w:rPr>
              <w:t>标准温度计</w:t>
            </w:r>
          </w:p>
        </w:tc>
        <w:tc>
          <w:tcPr>
            <w:tcW w:w="4708" w:type="dxa"/>
            <w:vAlign w:val="center"/>
          </w:tcPr>
          <w:p>
            <w:pPr>
              <w:jc w:val="center"/>
              <w:rPr>
                <w:color w:val="auto"/>
                <w:szCs w:val="21"/>
                <w:highlight w:val="none"/>
              </w:rPr>
            </w:pPr>
            <w:r>
              <w:rPr>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3" w:hRule="exact"/>
          <w:jc w:val="center"/>
        </w:trPr>
        <w:tc>
          <w:tcPr>
            <w:tcW w:w="3250" w:type="dxa"/>
            <w:vAlign w:val="center"/>
          </w:tcPr>
          <w:p>
            <w:pPr>
              <w:jc w:val="center"/>
              <w:rPr>
                <w:color w:val="auto"/>
                <w:szCs w:val="21"/>
                <w:highlight w:val="none"/>
              </w:rPr>
            </w:pPr>
            <w:r>
              <w:rPr>
                <w:color w:val="auto"/>
                <w:szCs w:val="21"/>
                <w:highlight w:val="none"/>
              </w:rPr>
              <w:t>各种标准气体</w:t>
            </w:r>
          </w:p>
        </w:tc>
        <w:tc>
          <w:tcPr>
            <w:tcW w:w="4708" w:type="dxa"/>
            <w:vAlign w:val="center"/>
          </w:tcPr>
          <w:p>
            <w:pPr>
              <w:jc w:val="center"/>
              <w:rPr>
                <w:color w:val="auto"/>
                <w:szCs w:val="21"/>
                <w:highlight w:val="none"/>
              </w:rPr>
            </w:pPr>
            <w:r>
              <w:rPr>
                <w:color w:val="auto"/>
                <w:szCs w:val="21"/>
                <w:highlight w:val="none"/>
              </w:rPr>
              <w:t>根据使用情况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exact"/>
          <w:jc w:val="center"/>
        </w:trPr>
        <w:tc>
          <w:tcPr>
            <w:tcW w:w="3250" w:type="dxa"/>
            <w:vAlign w:val="center"/>
          </w:tcPr>
          <w:p>
            <w:pPr>
              <w:jc w:val="center"/>
              <w:rPr>
                <w:color w:val="auto"/>
                <w:szCs w:val="21"/>
                <w:highlight w:val="none"/>
              </w:rPr>
            </w:pPr>
            <w:r>
              <w:rPr>
                <w:color w:val="auto"/>
                <w:szCs w:val="21"/>
                <w:highlight w:val="none"/>
              </w:rPr>
              <w:t>零气发生器</w:t>
            </w:r>
          </w:p>
        </w:tc>
        <w:tc>
          <w:tcPr>
            <w:tcW w:w="4708" w:type="dxa"/>
            <w:vAlign w:val="center"/>
          </w:tcPr>
          <w:p>
            <w:pPr>
              <w:jc w:val="center"/>
              <w:rPr>
                <w:color w:val="auto"/>
                <w:szCs w:val="21"/>
                <w:highlight w:val="none"/>
              </w:rPr>
            </w:pPr>
            <w:r>
              <w:rPr>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exact"/>
          <w:jc w:val="center"/>
        </w:trPr>
        <w:tc>
          <w:tcPr>
            <w:tcW w:w="3250" w:type="dxa"/>
            <w:vAlign w:val="center"/>
          </w:tcPr>
          <w:p>
            <w:pPr>
              <w:jc w:val="center"/>
              <w:rPr>
                <w:color w:val="auto"/>
                <w:szCs w:val="21"/>
                <w:highlight w:val="none"/>
              </w:rPr>
            </w:pPr>
            <w:r>
              <w:rPr>
                <w:color w:val="auto"/>
                <w:szCs w:val="21"/>
                <w:highlight w:val="none"/>
              </w:rPr>
              <w:t>动态校准仪</w:t>
            </w:r>
          </w:p>
        </w:tc>
        <w:tc>
          <w:tcPr>
            <w:tcW w:w="4708" w:type="dxa"/>
            <w:vAlign w:val="center"/>
          </w:tcPr>
          <w:p>
            <w:pPr>
              <w:jc w:val="center"/>
              <w:rPr>
                <w:color w:val="auto"/>
                <w:szCs w:val="21"/>
                <w:highlight w:val="none"/>
              </w:rPr>
            </w:pPr>
            <w:r>
              <w:rPr>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9" w:hRule="exact"/>
          <w:jc w:val="center"/>
        </w:trPr>
        <w:tc>
          <w:tcPr>
            <w:tcW w:w="3250" w:type="dxa"/>
            <w:vAlign w:val="center"/>
          </w:tcPr>
          <w:p>
            <w:pPr>
              <w:jc w:val="center"/>
              <w:rPr>
                <w:color w:val="auto"/>
                <w:szCs w:val="21"/>
                <w:highlight w:val="none"/>
              </w:rPr>
            </w:pPr>
            <w:r>
              <w:rPr>
                <w:color w:val="auto"/>
                <w:szCs w:val="21"/>
                <w:highlight w:val="none"/>
              </w:rPr>
              <w:t>臭氧校准仪</w:t>
            </w:r>
          </w:p>
        </w:tc>
        <w:tc>
          <w:tcPr>
            <w:tcW w:w="4708" w:type="dxa"/>
            <w:vAlign w:val="center"/>
          </w:tcPr>
          <w:p>
            <w:pPr>
              <w:jc w:val="center"/>
              <w:rPr>
                <w:color w:val="auto"/>
                <w:szCs w:val="21"/>
                <w:highlight w:val="none"/>
              </w:rPr>
            </w:pPr>
            <w:r>
              <w:rPr>
                <w:color w:val="auto"/>
                <w:szCs w:val="21"/>
                <w:highlight w:val="none"/>
              </w:rPr>
              <w:t>1</w:t>
            </w:r>
          </w:p>
        </w:tc>
      </w:tr>
    </w:tbl>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2.3投标单位应为运维人员配备专用仪器维修工具（包括万用表、工具箱等）、通讯调试工具（包括各种硬件接口线、改线工具、接口调试软件及常用零部件等）。</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2.4投标单位应制定本地化的运维服务方案</w:t>
      </w:r>
      <w:r>
        <w:rPr>
          <w:rFonts w:hint="eastAsia"/>
          <w:bCs/>
          <w:color w:val="auto"/>
          <w:szCs w:val="21"/>
          <w:highlight w:val="none"/>
        </w:rPr>
        <w:t>，</w:t>
      </w:r>
      <w:r>
        <w:rPr>
          <w:bCs/>
          <w:color w:val="auto"/>
          <w:szCs w:val="21"/>
          <w:highlight w:val="none"/>
        </w:rPr>
        <w:t>需保证仪器故障发生时间4小时内(8:00-22:00)或8小时内（22:00-8:00）赶到现场进行处理。对于一些易于排除的故障，维修时间不应超过12小时；对不易诊断和维修的仪器故障，若48小时内无法排除，应安装备用仪器（限表</w:t>
      </w:r>
      <w:r>
        <w:rPr>
          <w:rFonts w:hint="eastAsia"/>
          <w:bCs/>
          <w:color w:val="auto"/>
          <w:szCs w:val="21"/>
          <w:highlight w:val="none"/>
        </w:rPr>
        <w:t>1-</w:t>
      </w:r>
      <w:r>
        <w:rPr>
          <w:bCs/>
          <w:color w:val="auto"/>
          <w:szCs w:val="21"/>
          <w:highlight w:val="none"/>
        </w:rPr>
        <w:t>1打*部分）。</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2.5投标单位至少配备与表</w:t>
      </w:r>
      <w:r>
        <w:rPr>
          <w:rFonts w:hint="eastAsia"/>
          <w:bCs/>
          <w:color w:val="auto"/>
          <w:szCs w:val="21"/>
          <w:highlight w:val="none"/>
        </w:rPr>
        <w:t>1-</w:t>
      </w:r>
      <w:r>
        <w:rPr>
          <w:bCs/>
          <w:color w:val="auto"/>
          <w:szCs w:val="21"/>
          <w:highlight w:val="none"/>
        </w:rPr>
        <w:t>1中打*部分的分析仪备机各1套（须提供购置发票或采购合同复印件，签订了租赁协议或与采样器生产商签订了供货协议的须提供协议复印件。）</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2.6投标单位应提供完整的运维人员管理方案，具备应对人员流动的应急预案，提出解决技术人员队伍稳定的措施，并配备2台专用车辆用于保障。</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2.7在空气自动监测系统代维及管理期间，投标单位应严格按照业主制订的操作规范和规章制度，对所管理的系统及仪器设备进行规范操作和精心维护及必要维修，保证系统及仪器设备的正常运行，达到省环境监测中心提出的系统及仪器设备考核指标要求。</w:t>
      </w:r>
      <w:r>
        <w:rPr>
          <w:rFonts w:hint="eastAsia"/>
          <w:bCs/>
          <w:color w:val="auto"/>
          <w:szCs w:val="21"/>
          <w:highlight w:val="none"/>
        </w:rPr>
        <w:t>中标运行维护商必须接受中国环境监测总站、江苏省环境监测中心、第三方质控、用户的定期、不定期检查和考核。</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2.8在该设备代维及管理期间，未经允许，承担运维单位不得以直接、间接、口头或书面等形式将观测数据披露给其他人员或第三方单位，因数据泄露而造成业主损失，业主将通过法律途径向投标单位索赔。</w:t>
      </w:r>
    </w:p>
    <w:p>
      <w:pPr>
        <w:spacing w:before="120" w:after="120" w:line="264" w:lineRule="auto"/>
        <w:ind w:firstLine="420" w:firstLineChars="200"/>
        <w:rPr>
          <w:color w:val="auto"/>
          <w:highlight w:val="none"/>
        </w:rPr>
      </w:pPr>
      <w:r>
        <w:rPr>
          <w:color w:val="auto"/>
          <w:highlight w:val="none"/>
        </w:rPr>
        <w:t>2.9 投标单位中标后</w:t>
      </w:r>
      <w:r>
        <w:rPr>
          <w:rFonts w:hint="eastAsia"/>
          <w:color w:val="auto"/>
          <w:highlight w:val="none"/>
        </w:rPr>
        <w:t>需</w:t>
      </w:r>
      <w:r>
        <w:rPr>
          <w:color w:val="auto"/>
          <w:highlight w:val="none"/>
        </w:rPr>
        <w:t>承担该项目所运维设备的所有耗材及设备维修</w:t>
      </w:r>
      <w:r>
        <w:rPr>
          <w:rFonts w:hint="eastAsia"/>
          <w:color w:val="auto"/>
          <w:highlight w:val="none"/>
        </w:rPr>
        <w:t>。</w:t>
      </w:r>
    </w:p>
    <w:p>
      <w:pPr>
        <w:spacing w:before="120" w:after="120" w:line="264" w:lineRule="auto"/>
        <w:ind w:firstLine="420" w:firstLineChars="200"/>
        <w:rPr>
          <w:color w:val="auto"/>
          <w:highlight w:val="none"/>
        </w:rPr>
      </w:pPr>
      <w:r>
        <w:rPr>
          <w:color w:val="auto"/>
          <w:highlight w:val="none"/>
        </w:rPr>
        <w:t>2.10投标单位中标后</w:t>
      </w:r>
      <w:r>
        <w:rPr>
          <w:rFonts w:hint="eastAsia"/>
          <w:color w:val="auto"/>
          <w:highlight w:val="none"/>
        </w:rPr>
        <w:t>需</w:t>
      </w:r>
      <w:r>
        <w:rPr>
          <w:color w:val="auto"/>
          <w:highlight w:val="none"/>
        </w:rPr>
        <w:t>承担汾湖超站运行30</w:t>
      </w:r>
      <w:r>
        <w:rPr>
          <w:rFonts w:hint="eastAsia"/>
          <w:color w:val="auto"/>
          <w:highlight w:val="none"/>
        </w:rPr>
        <w:t>%</w:t>
      </w:r>
      <w:r>
        <w:rPr>
          <w:color w:val="auto"/>
          <w:highlight w:val="none"/>
        </w:rPr>
        <w:t>的电费支出</w:t>
      </w:r>
      <w:r>
        <w:rPr>
          <w:rFonts w:hint="eastAsia"/>
          <w:color w:val="auto"/>
          <w:highlight w:val="none"/>
        </w:rPr>
        <w:t>。</w:t>
      </w:r>
    </w:p>
    <w:p>
      <w:pPr>
        <w:spacing w:before="120" w:after="120" w:line="264" w:lineRule="auto"/>
        <w:ind w:firstLine="420" w:firstLineChars="200"/>
        <w:rPr>
          <w:color w:val="auto"/>
          <w:highlight w:val="none"/>
        </w:rPr>
      </w:pPr>
      <w:r>
        <w:rPr>
          <w:color w:val="auto"/>
          <w:highlight w:val="none"/>
        </w:rPr>
        <w:t>2.11投标单位中标</w:t>
      </w:r>
      <w:r>
        <w:rPr>
          <w:rFonts w:hint="eastAsia"/>
          <w:color w:val="auto"/>
          <w:highlight w:val="none"/>
        </w:rPr>
        <w:t>应根据所运维仪器特性，编制相应的运维、质控记录表单，每月提交运维记录。</w:t>
      </w:r>
    </w:p>
    <w:p>
      <w:pPr>
        <w:spacing w:before="120" w:after="120" w:line="264" w:lineRule="auto"/>
        <w:ind w:firstLine="420" w:firstLineChars="200"/>
        <w:rPr>
          <w:bCs/>
          <w:color w:val="auto"/>
          <w:szCs w:val="21"/>
          <w:highlight w:val="none"/>
        </w:rPr>
      </w:pPr>
      <w:r>
        <w:rPr>
          <w:bCs/>
          <w:color w:val="auto"/>
          <w:szCs w:val="21"/>
          <w:highlight w:val="none"/>
        </w:rPr>
        <w:t>2.12</w:t>
      </w:r>
      <w:r>
        <w:rPr>
          <w:color w:val="auto"/>
          <w:highlight w:val="none"/>
        </w:rPr>
        <w:t>投标单位</w:t>
      </w:r>
      <w:r>
        <w:rPr>
          <w:bCs/>
          <w:color w:val="auto"/>
          <w:szCs w:val="21"/>
          <w:highlight w:val="none"/>
        </w:rPr>
        <w:t>需具备一定的数据分析能力，重污染天气发生时，运维单位需配合省中心开展数据分析工作，并编制相关分析报告。</w:t>
      </w:r>
    </w:p>
    <w:p>
      <w:pPr>
        <w:spacing w:before="120" w:after="120" w:line="264" w:lineRule="auto"/>
        <w:ind w:firstLine="420" w:firstLineChars="200"/>
        <w:rPr>
          <w:bCs/>
          <w:color w:val="auto"/>
          <w:szCs w:val="21"/>
          <w:highlight w:val="none"/>
        </w:rPr>
      </w:pPr>
      <w:r>
        <w:rPr>
          <w:bCs/>
          <w:color w:val="auto"/>
          <w:szCs w:val="21"/>
          <w:highlight w:val="none"/>
        </w:rPr>
        <w:t>2.13每年度提交运维总结报告。运维总结报告需包含履行运维工作期间开展的所有运维工作内容及相关原始技术记录，并附开展现场运维、质控工作时的现场照片，并统计所有质控样品结果，并进行符合性分析；同时结合履行运维服务期间仪器运行、质控、故障、维修等情况，提出改善性建议</w:t>
      </w:r>
      <w:r>
        <w:rPr>
          <w:rFonts w:hint="eastAsia"/>
          <w:bCs/>
          <w:color w:val="auto"/>
          <w:szCs w:val="21"/>
          <w:highlight w:val="none"/>
        </w:rPr>
        <w:t>，</w:t>
      </w:r>
      <w:r>
        <w:rPr>
          <w:bCs/>
          <w:color w:val="auto"/>
          <w:szCs w:val="21"/>
          <w:highlight w:val="none"/>
        </w:rPr>
        <w:t>并依据运维总结报告制作汇报材料（PPT）向业主进行总结性汇报。</w:t>
      </w:r>
    </w:p>
    <w:p>
      <w:pPr>
        <w:spacing w:before="120" w:after="120" w:line="264" w:lineRule="auto"/>
        <w:ind w:firstLine="420" w:firstLineChars="200"/>
        <w:rPr>
          <w:bCs/>
          <w:color w:val="auto"/>
          <w:szCs w:val="21"/>
          <w:highlight w:val="none"/>
        </w:rPr>
      </w:pPr>
      <w:r>
        <w:rPr>
          <w:bCs/>
          <w:color w:val="auto"/>
          <w:szCs w:val="21"/>
          <w:highlight w:val="none"/>
        </w:rPr>
        <w:t>2.14辅助服务要求</w:t>
      </w:r>
    </w:p>
    <w:p>
      <w:pPr>
        <w:spacing w:before="120" w:after="120" w:line="264" w:lineRule="auto"/>
        <w:ind w:firstLine="420" w:firstLineChars="200"/>
        <w:rPr>
          <w:bCs/>
          <w:color w:val="auto"/>
          <w:szCs w:val="21"/>
          <w:highlight w:val="none"/>
        </w:rPr>
      </w:pPr>
      <w:r>
        <w:rPr>
          <w:bCs/>
          <w:color w:val="auto"/>
          <w:szCs w:val="21"/>
          <w:highlight w:val="none"/>
        </w:rPr>
        <w:t>2.14.1仪器发生故障时，配合业主开展仪器维修相关工作；</w:t>
      </w:r>
    </w:p>
    <w:p>
      <w:pPr>
        <w:spacing w:before="120" w:after="120" w:line="264" w:lineRule="auto"/>
        <w:ind w:firstLine="420" w:firstLineChars="200"/>
        <w:rPr>
          <w:bCs/>
          <w:color w:val="auto"/>
          <w:szCs w:val="21"/>
          <w:highlight w:val="none"/>
        </w:rPr>
      </w:pPr>
      <w:r>
        <w:rPr>
          <w:bCs/>
          <w:color w:val="auto"/>
          <w:szCs w:val="21"/>
          <w:highlight w:val="none"/>
        </w:rPr>
        <w:t>2.14.2运维期满后，配合业主进行仪器交接，交接期间承担仪器正常运维工作。</w:t>
      </w:r>
    </w:p>
    <w:p>
      <w:pPr>
        <w:spacing w:before="120" w:after="120" w:line="264" w:lineRule="auto"/>
        <w:ind w:firstLine="420" w:firstLineChars="200"/>
        <w:rPr>
          <w:bCs/>
          <w:color w:val="auto"/>
          <w:szCs w:val="21"/>
          <w:highlight w:val="none"/>
        </w:rPr>
      </w:pPr>
      <w:r>
        <w:rPr>
          <w:rFonts w:hint="eastAsia"/>
          <w:bCs/>
          <w:color w:val="auto"/>
          <w:szCs w:val="21"/>
          <w:highlight w:val="none"/>
        </w:rPr>
        <w:t>2</w:t>
      </w:r>
      <w:r>
        <w:rPr>
          <w:bCs/>
          <w:color w:val="auto"/>
          <w:szCs w:val="21"/>
          <w:highlight w:val="none"/>
        </w:rPr>
        <w:t xml:space="preserve">.2 </w:t>
      </w:r>
      <w:r>
        <w:rPr>
          <w:rFonts w:hint="eastAsia"/>
          <w:bCs/>
          <w:color w:val="auto"/>
          <w:szCs w:val="21"/>
          <w:highlight w:val="none"/>
        </w:rPr>
        <w:t>电费：承担汾湖超站所有运行电费的4</w:t>
      </w:r>
      <w:r>
        <w:rPr>
          <w:bCs/>
          <w:color w:val="auto"/>
          <w:szCs w:val="21"/>
          <w:highlight w:val="none"/>
        </w:rPr>
        <w:t>0%</w:t>
      </w:r>
    </w:p>
    <w:p>
      <w:pPr>
        <w:spacing w:before="120" w:after="120" w:line="264" w:lineRule="auto"/>
        <w:ind w:firstLine="200"/>
        <w:rPr>
          <w:b/>
          <w:color w:val="auto"/>
          <w:highlight w:val="none"/>
        </w:rPr>
      </w:pPr>
      <w:r>
        <w:rPr>
          <w:b/>
          <w:color w:val="auto"/>
          <w:highlight w:val="none"/>
        </w:rPr>
        <w:t>三、</w:t>
      </w:r>
      <w:r>
        <w:rPr>
          <w:b/>
          <w:color w:val="auto"/>
          <w:szCs w:val="21"/>
          <w:highlight w:val="none"/>
        </w:rPr>
        <w:t>汾湖超站常规监测设备运维项目需求</w:t>
      </w:r>
    </w:p>
    <w:p>
      <w:pPr>
        <w:tabs>
          <w:tab w:val="left" w:pos="540"/>
          <w:tab w:val="left" w:pos="900"/>
        </w:tabs>
        <w:spacing w:before="120" w:after="120" w:line="264" w:lineRule="auto"/>
        <w:ind w:firstLine="420" w:firstLineChars="200"/>
        <w:rPr>
          <w:color w:val="auto"/>
          <w:szCs w:val="21"/>
          <w:highlight w:val="none"/>
        </w:rPr>
      </w:pPr>
      <w:r>
        <w:rPr>
          <w:bCs/>
          <w:color w:val="auto"/>
          <w:szCs w:val="21"/>
          <w:highlight w:val="none"/>
        </w:rPr>
        <w:t>3.1运行维护工作目标</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3.1.1设备在线率：开展运维服务期间，需确保表1中</w:t>
      </w:r>
      <w:r>
        <w:rPr>
          <w:rFonts w:hint="eastAsia"/>
          <w:bCs/>
          <w:color w:val="auto"/>
          <w:szCs w:val="21"/>
          <w:highlight w:val="none"/>
        </w:rPr>
        <w:t>常规6参数分析仪</w:t>
      </w:r>
      <w:r>
        <w:rPr>
          <w:bCs/>
          <w:color w:val="auto"/>
          <w:szCs w:val="21"/>
          <w:highlight w:val="none"/>
        </w:rPr>
        <w:t>在线率不得低于90%（仪器在线率=仪器实际运行时间/仪器可运行时间）</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注：仪器实际运行时间为仪器开机运行且仪器内能获取监测数据的时间；仪器可运行时间=约定的总时间-仪器停机维护时间-仪器校准时间-不可抗力停机时间（如停电等）</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3.1.2有效数据获取率：开展运维服务期间，需确保表1</w:t>
      </w:r>
      <w:r>
        <w:rPr>
          <w:rFonts w:hint="eastAsia"/>
          <w:bCs/>
          <w:color w:val="auto"/>
          <w:szCs w:val="21"/>
          <w:highlight w:val="none"/>
        </w:rPr>
        <w:t>-</w:t>
      </w:r>
      <w:r>
        <w:rPr>
          <w:bCs/>
          <w:color w:val="auto"/>
          <w:szCs w:val="21"/>
          <w:highlight w:val="none"/>
        </w:rPr>
        <w:t>1中</w:t>
      </w:r>
      <w:r>
        <w:rPr>
          <w:rFonts w:hint="eastAsia"/>
          <w:bCs/>
          <w:color w:val="auto"/>
          <w:szCs w:val="21"/>
          <w:highlight w:val="none"/>
        </w:rPr>
        <w:t>常规6参数分析仪</w:t>
      </w:r>
      <w:r>
        <w:rPr>
          <w:bCs/>
          <w:color w:val="auto"/>
          <w:szCs w:val="21"/>
          <w:highlight w:val="none"/>
        </w:rPr>
        <w:t>有效数据获取率不得低于85%（有效数据获取率=有效监测数据量/获取监测数据量）</w:t>
      </w:r>
    </w:p>
    <w:p>
      <w:pPr>
        <w:tabs>
          <w:tab w:val="left" w:pos="540"/>
          <w:tab w:val="left" w:pos="900"/>
        </w:tabs>
        <w:spacing w:before="120" w:after="120" w:line="264" w:lineRule="auto"/>
        <w:ind w:firstLine="420" w:firstLineChars="200"/>
        <w:rPr>
          <w:color w:val="auto"/>
          <w:szCs w:val="21"/>
          <w:highlight w:val="none"/>
        </w:rPr>
      </w:pPr>
      <w:r>
        <w:rPr>
          <w:bCs/>
          <w:color w:val="auto"/>
          <w:szCs w:val="21"/>
          <w:highlight w:val="none"/>
        </w:rPr>
        <w:t>3.1运维工作内容</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3.1.1站点的日常运行维护；</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3.1.2协助完成站点的设备维修工作（相关维修费用由甲方支出）；</w:t>
      </w:r>
    </w:p>
    <w:p>
      <w:pPr>
        <w:spacing w:before="120" w:after="120" w:line="264" w:lineRule="auto"/>
        <w:ind w:firstLine="420" w:firstLineChars="200"/>
        <w:rPr>
          <w:bCs/>
          <w:color w:val="auto"/>
          <w:szCs w:val="21"/>
          <w:highlight w:val="none"/>
        </w:rPr>
      </w:pPr>
      <w:r>
        <w:rPr>
          <w:bCs/>
          <w:color w:val="auto"/>
          <w:szCs w:val="21"/>
          <w:highlight w:val="none"/>
        </w:rPr>
        <w:t>3.1.3定期开展汾湖超级站的站房维护工作，包括站房本体维护、空调系统维护、电路维护、站房防雷防水等；</w:t>
      </w:r>
    </w:p>
    <w:p>
      <w:pPr>
        <w:tabs>
          <w:tab w:val="left" w:pos="540"/>
          <w:tab w:val="left" w:pos="900"/>
        </w:tabs>
        <w:spacing w:before="120" w:after="120" w:line="264" w:lineRule="auto"/>
        <w:ind w:firstLine="420" w:firstLineChars="200"/>
        <w:rPr>
          <w:color w:val="auto"/>
          <w:szCs w:val="21"/>
          <w:highlight w:val="none"/>
        </w:rPr>
      </w:pPr>
      <w:r>
        <w:rPr>
          <w:bCs/>
          <w:color w:val="auto"/>
          <w:szCs w:val="21"/>
          <w:highlight w:val="none"/>
        </w:rPr>
        <w:t>3.2运维工作要求</w:t>
      </w:r>
    </w:p>
    <w:p>
      <w:pPr>
        <w:tabs>
          <w:tab w:val="left" w:pos="540"/>
          <w:tab w:val="left" w:pos="900"/>
        </w:tabs>
        <w:spacing w:before="120" w:after="120" w:line="264" w:lineRule="auto"/>
        <w:ind w:firstLine="420" w:firstLineChars="200"/>
        <w:rPr>
          <w:bCs/>
          <w:color w:val="auto"/>
          <w:szCs w:val="21"/>
          <w:highlight w:val="none"/>
        </w:rPr>
      </w:pPr>
      <w:bookmarkStart w:id="15" w:name="_Toc420511653"/>
      <w:r>
        <w:rPr>
          <w:bCs/>
          <w:color w:val="auto"/>
          <w:szCs w:val="21"/>
          <w:highlight w:val="none"/>
        </w:rPr>
        <w:t>3.2.1每日检查</w:t>
      </w:r>
      <w:bookmarkEnd w:id="15"/>
      <w:r>
        <w:rPr>
          <w:bCs/>
          <w:color w:val="auto"/>
          <w:szCs w:val="21"/>
          <w:highlight w:val="none"/>
        </w:rPr>
        <w:t>;</w:t>
      </w:r>
      <w:r>
        <w:rPr>
          <w:rFonts w:hint="eastAsia"/>
          <w:bCs/>
          <w:color w:val="auto"/>
          <w:szCs w:val="21"/>
          <w:highlight w:val="none"/>
        </w:rPr>
        <w:t>：</w:t>
      </w:r>
      <w:r>
        <w:rPr>
          <w:bCs/>
          <w:color w:val="auto"/>
          <w:szCs w:val="21"/>
          <w:highlight w:val="none"/>
        </w:rPr>
        <w:t>每两小时远程查看一次监测数据，分析监测数据异常情况，对站点运行情况进行远程诊断和运行管理，同时做好记录；</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3.2.2每周巡检</w:t>
      </w:r>
      <w:r>
        <w:rPr>
          <w:rFonts w:hint="eastAsia"/>
          <w:bCs/>
          <w:color w:val="auto"/>
          <w:szCs w:val="21"/>
          <w:highlight w:val="none"/>
        </w:rPr>
        <w:t>：</w:t>
      </w:r>
      <w:r>
        <w:rPr>
          <w:bCs/>
          <w:color w:val="auto"/>
          <w:szCs w:val="21"/>
          <w:highlight w:val="none"/>
        </w:rPr>
        <w:t>运维人员每周至少巡检空气自动监测站1次，并做好巡查记录，主要工作包括站房基本功能检查、监测仪运行参数检查和维护等、安全检查和卫生打扫。按业主安排的值班表每周在站房值班一天，开展清洁卫生和安全检查工作。</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3.2.2.1站房基本功能及安全检查:运维人员进入站房后，应对站点内外环境及站房基本功能是否正常做出检查，并填写相关记录：</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3.2.2.1.1站房照明系统是否正常；</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3.2.2.1.2室内温湿度是否正常；</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3.2.2.1.3站房有无漏水、破损现象；</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3.2.2.1.4检查排气扇是否正常运转、废气排放口管线等是否正常；</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3.2.2.1.5检查文件（包括维护报表及操作手册）是否归定位；</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3.2.2.1.6站点周边有无新增或减少污染源（建筑工地、烟囱等）；</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3.2.2.2仪器设备功能参数检查及维护:运维人员应对各仪器设备参数进行检查，包括：</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3.2.2.2.1查看设备是否齐备，是否有丢失和损坏；检查接地线路是否可靠，排风排气装置工作是否正常，标准气钢瓶阀门是否漏气，标准气的消耗情况；检查各仪器的运行状况，保证系统运行顺畅。</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3.2.2.2.2检查采样和排气管路是否有漏气或堵塞现象，各分析仪器采样流量是否正常。</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3.2.2.2.3检查站点的通讯系统，保证站点与远程监控中心的连接正常，数据传输正常；</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3.2.2.2.4检查监测仪器的采样入口与采样支路管线结合部之间安装的过滤膜的污染情况，每周更换滤膜；</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3.2.2.2.5对颗粒物的采样纸带或滤膜进行检查，如纸带即将用尽，及时进行更换；检查颗粒物分析仪的温度、压力传感器和时钟。</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3.2.2.2.6对二氧化硫、一氧化碳、臭氧、氮氧化物等分析仪进行零点及标点检查，如果漂移超过国家相关规范要求，需要进行手工校准。</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3.2.2.2.7对气象仪器及太阳辐射强度计的运行情况进行检查；</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3.2.2.2.8在冬、夏季节应注意站点房室内外温差，若温差较大，应及时改变站房温度或对采样总管采取适当的控制措施，防止冷凝现象。</w:t>
      </w:r>
    </w:p>
    <w:p>
      <w:pPr>
        <w:tabs>
          <w:tab w:val="left" w:pos="540"/>
          <w:tab w:val="left" w:pos="900"/>
        </w:tabs>
        <w:spacing w:before="120" w:after="120" w:line="264" w:lineRule="auto"/>
        <w:ind w:firstLine="420" w:firstLineChars="200"/>
        <w:rPr>
          <w:color w:val="auto"/>
          <w:szCs w:val="21"/>
          <w:highlight w:val="none"/>
        </w:rPr>
      </w:pPr>
      <w:r>
        <w:rPr>
          <w:bCs/>
          <w:color w:val="auto"/>
          <w:szCs w:val="21"/>
          <w:highlight w:val="none"/>
        </w:rPr>
        <w:t>3.2.3月度巡检：</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3.2.3.1清洗颗粒物分析仪切割器，检查β法颗粒物分析仪仪器喷嘴、压环等部件，当出现AQI值大于等于200以上的重污染天气后，应及时清洗切割器，任何情况下应保证切割器的清洁；</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3.2.3.2检查颗粒物分析仪监测仪、气态污染物分析仪、动态校准仪流量，如果超过国家相关规范要求，需要进行校准，检查仪器是否漏气。校准和检查颗粒物分析仪的温度、气压和时钟。</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3.2.3.3 检查仪器显示的数据和采集仪的数据之间的一致性；</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3.2.3.4对数据进行备份。</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3.2.3.5使用指北针或指南针核查气象参数监测仪指北是否无误（偏差超过15°需进行校准）</w:t>
      </w:r>
    </w:p>
    <w:p>
      <w:pPr>
        <w:tabs>
          <w:tab w:val="left" w:pos="540"/>
          <w:tab w:val="left" w:pos="900"/>
        </w:tabs>
        <w:spacing w:before="120" w:after="120" w:line="264" w:lineRule="auto"/>
        <w:ind w:firstLine="420" w:firstLineChars="200"/>
        <w:rPr>
          <w:color w:val="auto"/>
          <w:szCs w:val="21"/>
          <w:highlight w:val="none"/>
        </w:rPr>
      </w:pPr>
      <w:r>
        <w:rPr>
          <w:bCs/>
          <w:color w:val="auto"/>
          <w:szCs w:val="21"/>
          <w:highlight w:val="none"/>
        </w:rPr>
        <w:t>3.2.4季度巡检：</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3.2.4.1至少清洗一次采样总管及采样风机；</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3.2.4.2对气态分析仪进行多点线性检查。</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3.2.4.3对颗粒物进行标准膜检查或K0值检查，如果超过国家规范或说明书规定的限值，需要进行校准。</w:t>
      </w:r>
    </w:p>
    <w:p>
      <w:pPr>
        <w:tabs>
          <w:tab w:val="left" w:pos="540"/>
          <w:tab w:val="left" w:pos="900"/>
        </w:tabs>
        <w:spacing w:before="120" w:after="120" w:line="264" w:lineRule="auto"/>
        <w:ind w:firstLine="420" w:firstLineChars="200"/>
        <w:rPr>
          <w:color w:val="auto"/>
          <w:highlight w:val="none"/>
        </w:rPr>
      </w:pPr>
      <w:r>
        <w:rPr>
          <w:bCs/>
          <w:color w:val="auto"/>
          <w:szCs w:val="21"/>
          <w:highlight w:val="none"/>
        </w:rPr>
        <w:t>3.2.5半年巡检：</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3.2.5.1检查颗粒物分析仪相对湿度、温度传感器和动态加热装置是否正常工作；</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3.2.5.2对动态校准仪流量进行检查，必要时校准，采用经省环境监测中心溯源的臭氧标准传递设备对站点校准设备进行传递，更换零气源净化剂和氧化剂，对零气性能进行检查；</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3.2.5.3 检查氮氧化物分析仪钼炉转化率。</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3.2.5.4每半年使用原厂校准设备校准能见度分析仪，并提交校准报告</w:t>
      </w:r>
    </w:p>
    <w:p>
      <w:pPr>
        <w:tabs>
          <w:tab w:val="left" w:pos="540"/>
          <w:tab w:val="left" w:pos="900"/>
        </w:tabs>
        <w:spacing w:before="120" w:after="120" w:line="264" w:lineRule="auto"/>
        <w:ind w:firstLine="420" w:firstLineChars="200"/>
        <w:rPr>
          <w:color w:val="auto"/>
          <w:szCs w:val="21"/>
          <w:highlight w:val="none"/>
        </w:rPr>
      </w:pPr>
      <w:r>
        <w:rPr>
          <w:bCs/>
          <w:color w:val="auto"/>
          <w:szCs w:val="21"/>
          <w:highlight w:val="none"/>
        </w:rPr>
        <w:t>3.2.6年度巡检</w:t>
      </w:r>
      <w:r>
        <w:rPr>
          <w:rFonts w:hint="eastAsia"/>
          <w:bCs/>
          <w:color w:val="auto"/>
          <w:szCs w:val="21"/>
          <w:highlight w:val="none"/>
        </w:rPr>
        <w:t>：</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3.2.6.1对所有仪器进行预防性维护，按仪器说明书的要求更换备件。</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3.2.6.2维护所有泵组件（易损件），必要时更换。</w:t>
      </w:r>
    </w:p>
    <w:p>
      <w:pPr>
        <w:spacing w:before="120" w:after="120" w:line="264" w:lineRule="auto"/>
        <w:ind w:firstLine="200"/>
        <w:rPr>
          <w:b/>
          <w:color w:val="auto"/>
          <w:szCs w:val="21"/>
          <w:highlight w:val="none"/>
        </w:rPr>
      </w:pPr>
      <w:r>
        <w:rPr>
          <w:rFonts w:hint="eastAsia"/>
          <w:b/>
          <w:color w:val="auto"/>
          <w:szCs w:val="21"/>
          <w:highlight w:val="none"/>
        </w:rPr>
        <w:t>四</w:t>
      </w:r>
      <w:r>
        <w:rPr>
          <w:b/>
          <w:color w:val="auto"/>
          <w:szCs w:val="21"/>
          <w:highlight w:val="none"/>
        </w:rPr>
        <w:t>、EC/OC分析仪运维项目需求：</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4.1运行维护工作目标</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4.1.1设备在线率：开展运维服务期间，需确保仪器在线率不得低于90%（仪器在线率=仪器实际运行时间/仪器可运行时间）</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注：仪器实际运行时间为仪器开机运行且仪器内能获取监测数据的时间；仪器可运行时间=约定的总时间-仪器停机维护时间-仪器校准时间-不可抗力停机时间（如停电等）</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4.1.2有效数据获取率：开展运维服务期间，需确保仪器有效数据获取率不得低于85%（有效数据获取率=有效监测数据量/获取监测数据量）</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4.2技术运维要求</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4.2.1每日例行检查</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运维人员在流动车运行时每天需远程登录一次查看仪器各项参数是否正常</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4.2.2每周进行一次巡检，检查仪器运行参数、进行滤膜更换、采样流量调整、空白检查并做好原始记录，同时根据监测数据分析仪器切割点是否正常；</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4.2.3每季度进行denuder的碳膜更换与检查；</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4.2.4根据颗粒物污染情况，定期采样头清洗（最少每个月清洗一次），确保数据的正常性；</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4.2.5每年度进行仪器保养，采样系统气路清洁。</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4.2.6钢瓶气体损耗统计，一用一备，确保仪器连续正常运转；</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4.2.7分析仪如果遇到故障，及时报备业主并进行故障排查，积极配合厂家进行设备维修。</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4.2.8发现设备数据异常后，2小时内远程检查监测数据质量，并告知用户异常情况，初步分析质控数据异常原因，为用户提供科学诊断仪器状态建议。</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4.2.9大型活动保障，质控服务方依据用户提前通知的要求，在年度内有大型赛事、活动和重污染物天气时间段内，提供加密质控保障工作。</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4.2.10夏季每周进行冷凝水的检查，确保设备的运转正常与数据的可靠。</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4.4质控要求</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4.4.1仪器运行期间，每月进行载气流量传感器校准，并做好相应记录。</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4.4.2每二个月进行标准蔗糖溶液标定，偏差不得超过10%</w:t>
      </w:r>
      <w:r>
        <w:rPr>
          <w:rFonts w:hint="eastAsia"/>
          <w:bCs/>
          <w:color w:val="auto"/>
          <w:szCs w:val="21"/>
          <w:highlight w:val="none"/>
        </w:rPr>
        <w:t>。</w:t>
      </w:r>
    </w:p>
    <w:p>
      <w:pPr>
        <w:spacing w:before="120" w:after="120" w:line="264" w:lineRule="auto"/>
        <w:ind w:firstLine="200"/>
        <w:rPr>
          <w:b/>
          <w:color w:val="auto"/>
          <w:szCs w:val="21"/>
          <w:highlight w:val="none"/>
        </w:rPr>
      </w:pPr>
      <w:r>
        <w:rPr>
          <w:rFonts w:hint="eastAsia"/>
          <w:b/>
          <w:color w:val="auto"/>
          <w:szCs w:val="21"/>
          <w:highlight w:val="none"/>
        </w:rPr>
        <w:t>五</w:t>
      </w:r>
      <w:r>
        <w:rPr>
          <w:b/>
          <w:color w:val="auto"/>
          <w:szCs w:val="21"/>
          <w:highlight w:val="none"/>
        </w:rPr>
        <w:t>、无机元素分析仪分析仪运维项目需求：</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5.1运行维护工作目标</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5.1.1设备在线率：开展运维服务期间，需确保仪器在线率不得低于90%（仪器在线率=仪器实际运行时间/仪器可运行时间）</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注：仪器实际运行时间为仪器开机运行且仪器内能获取监测数据的时间；仪器可运行时间=约定的总时间-仪器停机维护时间-仪器校准时间-不可抗力停机时间（如停电等）</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5.1.2有效数据获取率：开展运维服务期间，需确保仪器有效数据获取率不得低于85%（有效数据获取率=有效监测数据量/获取监测数据量）</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5.2技术运维要求</w:t>
      </w:r>
    </w:p>
    <w:p>
      <w:pPr>
        <w:spacing w:before="120" w:after="120" w:line="264" w:lineRule="auto"/>
        <w:ind w:firstLine="420" w:firstLineChars="200"/>
        <w:rPr>
          <w:color w:val="auto"/>
          <w:szCs w:val="21"/>
          <w:highlight w:val="none"/>
        </w:rPr>
      </w:pPr>
      <w:r>
        <w:rPr>
          <w:color w:val="auto"/>
          <w:position w:val="-1"/>
          <w:szCs w:val="21"/>
          <w:highlight w:val="none"/>
        </w:rPr>
        <w:t>5.2.1</w:t>
      </w:r>
      <w:r>
        <w:rPr>
          <w:color w:val="auto"/>
          <w:spacing w:val="-2"/>
          <w:position w:val="-1"/>
          <w:szCs w:val="21"/>
          <w:highlight w:val="none"/>
        </w:rPr>
        <w:t>每</w:t>
      </w:r>
      <w:r>
        <w:rPr>
          <w:color w:val="auto"/>
          <w:position w:val="-1"/>
          <w:szCs w:val="21"/>
          <w:highlight w:val="none"/>
        </w:rPr>
        <w:t>日</w:t>
      </w:r>
      <w:r>
        <w:rPr>
          <w:color w:val="auto"/>
          <w:spacing w:val="-2"/>
          <w:position w:val="-1"/>
          <w:szCs w:val="21"/>
          <w:highlight w:val="none"/>
        </w:rPr>
        <w:t>监</w:t>
      </w:r>
      <w:r>
        <w:rPr>
          <w:color w:val="auto"/>
          <w:position w:val="-1"/>
          <w:szCs w:val="21"/>
          <w:highlight w:val="none"/>
        </w:rPr>
        <w:t>控</w:t>
      </w:r>
      <w:r>
        <w:rPr>
          <w:color w:val="auto"/>
          <w:spacing w:val="-2"/>
          <w:position w:val="-1"/>
          <w:szCs w:val="21"/>
          <w:highlight w:val="none"/>
        </w:rPr>
        <w:t>内</w:t>
      </w:r>
      <w:r>
        <w:rPr>
          <w:color w:val="auto"/>
          <w:position w:val="-1"/>
          <w:szCs w:val="21"/>
          <w:highlight w:val="none"/>
        </w:rPr>
        <w:t>容：</w:t>
      </w:r>
      <w:r>
        <w:rPr>
          <w:color w:val="auto"/>
          <w:szCs w:val="21"/>
          <w:highlight w:val="none"/>
        </w:rPr>
        <w:t>检</w:t>
      </w:r>
      <w:r>
        <w:rPr>
          <w:color w:val="auto"/>
          <w:spacing w:val="-2"/>
          <w:szCs w:val="21"/>
          <w:highlight w:val="none"/>
        </w:rPr>
        <w:t>查</w:t>
      </w:r>
      <w:r>
        <w:rPr>
          <w:color w:val="auto"/>
          <w:szCs w:val="21"/>
          <w:highlight w:val="none"/>
        </w:rPr>
        <w:t>仪</w:t>
      </w:r>
      <w:r>
        <w:rPr>
          <w:color w:val="auto"/>
          <w:spacing w:val="-2"/>
          <w:szCs w:val="21"/>
          <w:highlight w:val="none"/>
        </w:rPr>
        <w:t>器</w:t>
      </w:r>
      <w:r>
        <w:rPr>
          <w:color w:val="auto"/>
          <w:szCs w:val="21"/>
          <w:highlight w:val="none"/>
        </w:rPr>
        <w:t>运</w:t>
      </w:r>
      <w:r>
        <w:rPr>
          <w:color w:val="auto"/>
          <w:spacing w:val="-2"/>
          <w:szCs w:val="21"/>
          <w:highlight w:val="none"/>
        </w:rPr>
        <w:t>行</w:t>
      </w:r>
      <w:r>
        <w:rPr>
          <w:color w:val="auto"/>
          <w:szCs w:val="21"/>
          <w:highlight w:val="none"/>
        </w:rPr>
        <w:t>状</w:t>
      </w:r>
      <w:r>
        <w:rPr>
          <w:color w:val="auto"/>
          <w:spacing w:val="-2"/>
          <w:szCs w:val="21"/>
          <w:highlight w:val="none"/>
        </w:rPr>
        <w:t>态</w:t>
      </w:r>
      <w:r>
        <w:rPr>
          <w:color w:val="auto"/>
          <w:spacing w:val="-12"/>
          <w:szCs w:val="21"/>
          <w:highlight w:val="none"/>
        </w:rPr>
        <w:t>，</w:t>
      </w:r>
      <w:r>
        <w:rPr>
          <w:color w:val="auto"/>
          <w:szCs w:val="21"/>
          <w:highlight w:val="none"/>
        </w:rPr>
        <w:t>包括</w:t>
      </w:r>
      <w:r>
        <w:rPr>
          <w:color w:val="auto"/>
          <w:spacing w:val="-2"/>
          <w:szCs w:val="21"/>
          <w:highlight w:val="none"/>
        </w:rPr>
        <w:t>采</w:t>
      </w:r>
      <w:r>
        <w:rPr>
          <w:color w:val="auto"/>
          <w:szCs w:val="21"/>
          <w:highlight w:val="none"/>
        </w:rPr>
        <w:t>样</w:t>
      </w:r>
      <w:r>
        <w:rPr>
          <w:color w:val="auto"/>
          <w:spacing w:val="-2"/>
          <w:szCs w:val="21"/>
          <w:highlight w:val="none"/>
        </w:rPr>
        <w:t>流</w:t>
      </w:r>
      <w:r>
        <w:rPr>
          <w:color w:val="auto"/>
          <w:szCs w:val="21"/>
          <w:highlight w:val="none"/>
        </w:rPr>
        <w:t>量</w:t>
      </w:r>
      <w:r>
        <w:rPr>
          <w:color w:val="auto"/>
          <w:spacing w:val="-12"/>
          <w:szCs w:val="21"/>
          <w:highlight w:val="none"/>
        </w:rPr>
        <w:t>、</w:t>
      </w:r>
      <w:r>
        <w:rPr>
          <w:color w:val="auto"/>
          <w:szCs w:val="21"/>
          <w:highlight w:val="none"/>
        </w:rPr>
        <w:t>环</w:t>
      </w:r>
      <w:r>
        <w:rPr>
          <w:color w:val="auto"/>
          <w:spacing w:val="-2"/>
          <w:szCs w:val="21"/>
          <w:highlight w:val="none"/>
        </w:rPr>
        <w:t>境</w:t>
      </w:r>
      <w:r>
        <w:rPr>
          <w:color w:val="auto"/>
          <w:szCs w:val="21"/>
          <w:highlight w:val="none"/>
        </w:rPr>
        <w:t>压</w:t>
      </w:r>
      <w:r>
        <w:rPr>
          <w:color w:val="auto"/>
          <w:spacing w:val="-2"/>
          <w:szCs w:val="21"/>
          <w:highlight w:val="none"/>
        </w:rPr>
        <w:t>力</w:t>
      </w:r>
      <w:r>
        <w:rPr>
          <w:color w:val="auto"/>
          <w:spacing w:val="-10"/>
          <w:szCs w:val="21"/>
          <w:highlight w:val="none"/>
        </w:rPr>
        <w:t>、</w:t>
      </w:r>
      <w:r>
        <w:rPr>
          <w:color w:val="auto"/>
          <w:szCs w:val="21"/>
          <w:highlight w:val="none"/>
        </w:rPr>
        <w:t>环</w:t>
      </w:r>
      <w:r>
        <w:rPr>
          <w:color w:val="auto"/>
          <w:spacing w:val="-2"/>
          <w:szCs w:val="21"/>
          <w:highlight w:val="none"/>
        </w:rPr>
        <w:t>境</w:t>
      </w:r>
      <w:r>
        <w:rPr>
          <w:color w:val="auto"/>
          <w:szCs w:val="21"/>
          <w:highlight w:val="none"/>
        </w:rPr>
        <w:t>温</w:t>
      </w:r>
      <w:r>
        <w:rPr>
          <w:color w:val="auto"/>
          <w:spacing w:val="-2"/>
          <w:szCs w:val="21"/>
          <w:highlight w:val="none"/>
        </w:rPr>
        <w:t>度</w:t>
      </w:r>
      <w:r>
        <w:rPr>
          <w:color w:val="auto"/>
          <w:spacing w:val="-9"/>
          <w:szCs w:val="21"/>
          <w:highlight w:val="none"/>
        </w:rPr>
        <w:t>、</w:t>
      </w:r>
      <w:r>
        <w:rPr>
          <w:color w:val="auto"/>
          <w:w w:val="75"/>
          <w:szCs w:val="21"/>
          <w:highlight w:val="none"/>
        </w:rPr>
        <w:t>X</w:t>
      </w:r>
      <w:r>
        <w:rPr>
          <w:color w:val="auto"/>
          <w:spacing w:val="-8"/>
          <w:szCs w:val="21"/>
          <w:highlight w:val="none"/>
        </w:rPr>
        <w:t xml:space="preserve"> </w:t>
      </w:r>
      <w:r>
        <w:rPr>
          <w:color w:val="auto"/>
          <w:szCs w:val="21"/>
          <w:highlight w:val="none"/>
        </w:rPr>
        <w:t>射</w:t>
      </w:r>
      <w:r>
        <w:rPr>
          <w:color w:val="auto"/>
          <w:spacing w:val="-2"/>
          <w:szCs w:val="21"/>
          <w:highlight w:val="none"/>
        </w:rPr>
        <w:t>线</w:t>
      </w:r>
      <w:r>
        <w:rPr>
          <w:color w:val="auto"/>
          <w:szCs w:val="21"/>
          <w:highlight w:val="none"/>
        </w:rPr>
        <w:t>管</w:t>
      </w:r>
      <w:r>
        <w:rPr>
          <w:color w:val="auto"/>
          <w:spacing w:val="-2"/>
          <w:szCs w:val="21"/>
          <w:highlight w:val="none"/>
        </w:rPr>
        <w:t>温度</w:t>
      </w:r>
      <w:r>
        <w:rPr>
          <w:color w:val="auto"/>
          <w:szCs w:val="21"/>
          <w:highlight w:val="none"/>
        </w:rPr>
        <w:t>等是</w:t>
      </w:r>
      <w:r>
        <w:rPr>
          <w:color w:val="auto"/>
          <w:spacing w:val="-2"/>
          <w:szCs w:val="21"/>
          <w:highlight w:val="none"/>
        </w:rPr>
        <w:t>否</w:t>
      </w:r>
      <w:r>
        <w:rPr>
          <w:color w:val="auto"/>
          <w:szCs w:val="21"/>
          <w:highlight w:val="none"/>
        </w:rPr>
        <w:t>正</w:t>
      </w:r>
      <w:r>
        <w:rPr>
          <w:color w:val="auto"/>
          <w:spacing w:val="-2"/>
          <w:szCs w:val="21"/>
          <w:highlight w:val="none"/>
        </w:rPr>
        <w:t>常</w:t>
      </w:r>
      <w:r>
        <w:rPr>
          <w:color w:val="auto"/>
          <w:spacing w:val="-10"/>
          <w:szCs w:val="21"/>
          <w:highlight w:val="none"/>
        </w:rPr>
        <w:t>，</w:t>
      </w:r>
      <w:r>
        <w:rPr>
          <w:color w:val="auto"/>
          <w:spacing w:val="-2"/>
          <w:szCs w:val="21"/>
          <w:highlight w:val="none"/>
        </w:rPr>
        <w:t>仪</w:t>
      </w:r>
      <w:r>
        <w:rPr>
          <w:color w:val="auto"/>
          <w:szCs w:val="21"/>
          <w:highlight w:val="none"/>
        </w:rPr>
        <w:t>器报 警及</w:t>
      </w:r>
      <w:r>
        <w:rPr>
          <w:color w:val="auto"/>
          <w:spacing w:val="-2"/>
          <w:szCs w:val="21"/>
          <w:highlight w:val="none"/>
        </w:rPr>
        <w:t>时</w:t>
      </w:r>
      <w:r>
        <w:rPr>
          <w:color w:val="auto"/>
          <w:szCs w:val="21"/>
          <w:highlight w:val="none"/>
        </w:rPr>
        <w:t>处</w:t>
      </w:r>
      <w:r>
        <w:rPr>
          <w:color w:val="auto"/>
          <w:spacing w:val="-2"/>
          <w:szCs w:val="21"/>
          <w:highlight w:val="none"/>
        </w:rPr>
        <w:t>理</w:t>
      </w:r>
      <w:r>
        <w:rPr>
          <w:color w:val="auto"/>
          <w:szCs w:val="21"/>
          <w:highlight w:val="none"/>
        </w:rPr>
        <w:t>。</w:t>
      </w:r>
    </w:p>
    <w:p>
      <w:pPr>
        <w:spacing w:before="120" w:after="120" w:line="264" w:lineRule="auto"/>
        <w:ind w:firstLine="420" w:firstLineChars="200"/>
        <w:rPr>
          <w:color w:val="auto"/>
          <w:szCs w:val="21"/>
          <w:highlight w:val="none"/>
        </w:rPr>
      </w:pPr>
      <w:r>
        <w:rPr>
          <w:color w:val="auto"/>
          <w:position w:val="-1"/>
          <w:szCs w:val="21"/>
          <w:highlight w:val="none"/>
        </w:rPr>
        <w:t>5.2.2</w:t>
      </w:r>
      <w:r>
        <w:rPr>
          <w:color w:val="auto"/>
          <w:spacing w:val="-2"/>
          <w:position w:val="-1"/>
          <w:szCs w:val="21"/>
          <w:highlight w:val="none"/>
        </w:rPr>
        <w:t>每</w:t>
      </w:r>
      <w:r>
        <w:rPr>
          <w:color w:val="auto"/>
          <w:position w:val="-1"/>
          <w:szCs w:val="21"/>
          <w:highlight w:val="none"/>
        </w:rPr>
        <w:t>周</w:t>
      </w:r>
      <w:r>
        <w:rPr>
          <w:color w:val="auto"/>
          <w:spacing w:val="-2"/>
          <w:position w:val="-1"/>
          <w:szCs w:val="21"/>
          <w:highlight w:val="none"/>
        </w:rPr>
        <w:t>维</w:t>
      </w:r>
      <w:r>
        <w:rPr>
          <w:color w:val="auto"/>
          <w:position w:val="-1"/>
          <w:szCs w:val="21"/>
          <w:highlight w:val="none"/>
        </w:rPr>
        <w:t>护</w:t>
      </w:r>
      <w:r>
        <w:rPr>
          <w:color w:val="auto"/>
          <w:spacing w:val="-2"/>
          <w:position w:val="-1"/>
          <w:szCs w:val="21"/>
          <w:highlight w:val="none"/>
        </w:rPr>
        <w:t>内</w:t>
      </w:r>
      <w:r>
        <w:rPr>
          <w:color w:val="auto"/>
          <w:position w:val="-1"/>
          <w:szCs w:val="21"/>
          <w:highlight w:val="none"/>
        </w:rPr>
        <w:t>容：</w:t>
      </w:r>
    </w:p>
    <w:p>
      <w:pPr>
        <w:spacing w:before="120" w:after="120" w:line="264" w:lineRule="auto"/>
        <w:ind w:firstLine="420" w:firstLineChars="200"/>
        <w:rPr>
          <w:color w:val="auto"/>
          <w:szCs w:val="21"/>
          <w:highlight w:val="none"/>
        </w:rPr>
      </w:pPr>
      <w:r>
        <w:rPr>
          <w:color w:val="auto"/>
          <w:position w:val="-1"/>
          <w:szCs w:val="21"/>
          <w:highlight w:val="none"/>
        </w:rPr>
        <w:t>5.2.2</w:t>
      </w:r>
      <w:r>
        <w:rPr>
          <w:rFonts w:hint="eastAsia"/>
          <w:color w:val="auto"/>
          <w:position w:val="-1"/>
          <w:szCs w:val="21"/>
          <w:highlight w:val="none"/>
        </w:rPr>
        <w:t>.</w:t>
      </w:r>
      <w:r>
        <w:rPr>
          <w:color w:val="auto"/>
          <w:position w:val="-1"/>
          <w:szCs w:val="21"/>
          <w:highlight w:val="none"/>
        </w:rPr>
        <w:t>1每</w:t>
      </w:r>
      <w:r>
        <w:rPr>
          <w:color w:val="auto"/>
          <w:spacing w:val="-2"/>
          <w:position w:val="-1"/>
          <w:szCs w:val="21"/>
          <w:highlight w:val="none"/>
        </w:rPr>
        <w:t>周</w:t>
      </w:r>
      <w:r>
        <w:rPr>
          <w:color w:val="auto"/>
          <w:position w:val="-1"/>
          <w:szCs w:val="21"/>
          <w:highlight w:val="none"/>
        </w:rPr>
        <w:t>至</w:t>
      </w:r>
      <w:r>
        <w:rPr>
          <w:color w:val="auto"/>
          <w:spacing w:val="-2"/>
          <w:position w:val="-1"/>
          <w:szCs w:val="21"/>
          <w:highlight w:val="none"/>
        </w:rPr>
        <w:t>少</w:t>
      </w:r>
      <w:r>
        <w:rPr>
          <w:color w:val="auto"/>
          <w:position w:val="-1"/>
          <w:szCs w:val="21"/>
          <w:highlight w:val="none"/>
        </w:rPr>
        <w:t>一</w:t>
      </w:r>
      <w:r>
        <w:rPr>
          <w:color w:val="auto"/>
          <w:spacing w:val="-2"/>
          <w:position w:val="-1"/>
          <w:szCs w:val="21"/>
          <w:highlight w:val="none"/>
        </w:rPr>
        <w:t>次</w:t>
      </w:r>
      <w:r>
        <w:rPr>
          <w:color w:val="auto"/>
          <w:position w:val="-1"/>
          <w:szCs w:val="21"/>
          <w:highlight w:val="none"/>
        </w:rPr>
        <w:t>现</w:t>
      </w:r>
      <w:r>
        <w:rPr>
          <w:color w:val="auto"/>
          <w:spacing w:val="-2"/>
          <w:position w:val="-1"/>
          <w:szCs w:val="21"/>
          <w:highlight w:val="none"/>
        </w:rPr>
        <w:t>场巡</w:t>
      </w:r>
      <w:r>
        <w:rPr>
          <w:color w:val="auto"/>
          <w:position w:val="-1"/>
          <w:szCs w:val="21"/>
          <w:highlight w:val="none"/>
        </w:rPr>
        <w:t>查，</w:t>
      </w:r>
      <w:r>
        <w:rPr>
          <w:color w:val="auto"/>
          <w:spacing w:val="-2"/>
          <w:position w:val="-1"/>
          <w:szCs w:val="21"/>
          <w:highlight w:val="none"/>
        </w:rPr>
        <w:t>检</w:t>
      </w:r>
      <w:r>
        <w:rPr>
          <w:color w:val="auto"/>
          <w:position w:val="-1"/>
          <w:szCs w:val="21"/>
          <w:highlight w:val="none"/>
        </w:rPr>
        <w:t>查</w:t>
      </w:r>
      <w:r>
        <w:rPr>
          <w:color w:val="auto"/>
          <w:spacing w:val="-2"/>
          <w:position w:val="-1"/>
          <w:szCs w:val="21"/>
          <w:highlight w:val="none"/>
        </w:rPr>
        <w:t>仪</w:t>
      </w:r>
      <w:r>
        <w:rPr>
          <w:color w:val="auto"/>
          <w:position w:val="-1"/>
          <w:szCs w:val="21"/>
          <w:highlight w:val="none"/>
        </w:rPr>
        <w:t>器</w:t>
      </w:r>
      <w:r>
        <w:rPr>
          <w:color w:val="auto"/>
          <w:spacing w:val="-2"/>
          <w:position w:val="-1"/>
          <w:szCs w:val="21"/>
          <w:highlight w:val="none"/>
        </w:rPr>
        <w:t>运</w:t>
      </w:r>
      <w:r>
        <w:rPr>
          <w:color w:val="auto"/>
          <w:position w:val="-1"/>
          <w:szCs w:val="21"/>
          <w:highlight w:val="none"/>
        </w:rPr>
        <w:t>行</w:t>
      </w:r>
      <w:r>
        <w:rPr>
          <w:color w:val="auto"/>
          <w:spacing w:val="-2"/>
          <w:position w:val="-1"/>
          <w:szCs w:val="21"/>
          <w:highlight w:val="none"/>
        </w:rPr>
        <w:t>状</w:t>
      </w:r>
      <w:r>
        <w:rPr>
          <w:color w:val="auto"/>
          <w:position w:val="-1"/>
          <w:szCs w:val="21"/>
          <w:highlight w:val="none"/>
        </w:rPr>
        <w:t>态。</w:t>
      </w:r>
    </w:p>
    <w:p>
      <w:pPr>
        <w:spacing w:before="120" w:after="120" w:line="264" w:lineRule="auto"/>
        <w:ind w:firstLine="420" w:firstLineChars="200"/>
        <w:rPr>
          <w:color w:val="auto"/>
          <w:szCs w:val="21"/>
          <w:highlight w:val="none"/>
        </w:rPr>
      </w:pPr>
      <w:r>
        <w:rPr>
          <w:color w:val="auto"/>
          <w:position w:val="-1"/>
          <w:szCs w:val="21"/>
          <w:highlight w:val="none"/>
        </w:rPr>
        <w:t>5.2.2.2每</w:t>
      </w:r>
      <w:r>
        <w:rPr>
          <w:color w:val="auto"/>
          <w:spacing w:val="-2"/>
          <w:position w:val="-1"/>
          <w:szCs w:val="21"/>
          <w:highlight w:val="none"/>
        </w:rPr>
        <w:t>周</w:t>
      </w:r>
      <w:r>
        <w:rPr>
          <w:color w:val="auto"/>
          <w:position w:val="-1"/>
          <w:szCs w:val="21"/>
          <w:highlight w:val="none"/>
        </w:rPr>
        <w:t>检</w:t>
      </w:r>
      <w:r>
        <w:rPr>
          <w:color w:val="auto"/>
          <w:spacing w:val="-2"/>
          <w:position w:val="-1"/>
          <w:szCs w:val="21"/>
          <w:highlight w:val="none"/>
        </w:rPr>
        <w:t>查</w:t>
      </w:r>
      <w:r>
        <w:rPr>
          <w:color w:val="auto"/>
          <w:position w:val="-1"/>
          <w:szCs w:val="21"/>
          <w:highlight w:val="none"/>
        </w:rPr>
        <w:t>户</w:t>
      </w:r>
      <w:r>
        <w:rPr>
          <w:color w:val="auto"/>
          <w:spacing w:val="-2"/>
          <w:position w:val="-1"/>
          <w:szCs w:val="21"/>
          <w:highlight w:val="none"/>
        </w:rPr>
        <w:t>外</w:t>
      </w:r>
      <w:r>
        <w:rPr>
          <w:color w:val="auto"/>
          <w:position w:val="-1"/>
          <w:szCs w:val="21"/>
          <w:highlight w:val="none"/>
        </w:rPr>
        <w:t>滤</w:t>
      </w:r>
      <w:r>
        <w:rPr>
          <w:color w:val="auto"/>
          <w:spacing w:val="-2"/>
          <w:position w:val="-1"/>
          <w:szCs w:val="21"/>
          <w:highlight w:val="none"/>
        </w:rPr>
        <w:t>水杯</w:t>
      </w:r>
      <w:r>
        <w:rPr>
          <w:color w:val="auto"/>
          <w:position w:val="-1"/>
          <w:szCs w:val="21"/>
          <w:highlight w:val="none"/>
        </w:rPr>
        <w:t>积水</w:t>
      </w:r>
      <w:r>
        <w:rPr>
          <w:color w:val="auto"/>
          <w:spacing w:val="-2"/>
          <w:position w:val="-1"/>
          <w:szCs w:val="21"/>
          <w:highlight w:val="none"/>
        </w:rPr>
        <w:t>情</w:t>
      </w:r>
      <w:r>
        <w:rPr>
          <w:color w:val="auto"/>
          <w:position w:val="-1"/>
          <w:szCs w:val="21"/>
          <w:highlight w:val="none"/>
        </w:rPr>
        <w:t>况</w:t>
      </w:r>
      <w:r>
        <w:rPr>
          <w:color w:val="auto"/>
          <w:spacing w:val="-2"/>
          <w:position w:val="-1"/>
          <w:szCs w:val="21"/>
          <w:highlight w:val="none"/>
        </w:rPr>
        <w:t>、</w:t>
      </w:r>
      <w:r>
        <w:rPr>
          <w:color w:val="auto"/>
          <w:position w:val="-1"/>
          <w:szCs w:val="21"/>
          <w:highlight w:val="none"/>
        </w:rPr>
        <w:t>风</w:t>
      </w:r>
      <w:r>
        <w:rPr>
          <w:color w:val="auto"/>
          <w:spacing w:val="-2"/>
          <w:position w:val="-1"/>
          <w:szCs w:val="21"/>
          <w:highlight w:val="none"/>
        </w:rPr>
        <w:t>扇</w:t>
      </w:r>
      <w:r>
        <w:rPr>
          <w:color w:val="auto"/>
          <w:position w:val="-1"/>
          <w:szCs w:val="21"/>
          <w:highlight w:val="none"/>
        </w:rPr>
        <w:t>滤</w:t>
      </w:r>
      <w:r>
        <w:rPr>
          <w:color w:val="auto"/>
          <w:spacing w:val="-2"/>
          <w:position w:val="-1"/>
          <w:szCs w:val="21"/>
          <w:highlight w:val="none"/>
        </w:rPr>
        <w:t>网</w:t>
      </w:r>
      <w:r>
        <w:rPr>
          <w:color w:val="auto"/>
          <w:position w:val="-1"/>
          <w:szCs w:val="21"/>
          <w:highlight w:val="none"/>
        </w:rPr>
        <w:t>积</w:t>
      </w:r>
      <w:r>
        <w:rPr>
          <w:color w:val="auto"/>
          <w:spacing w:val="-2"/>
          <w:position w:val="-1"/>
          <w:szCs w:val="21"/>
          <w:highlight w:val="none"/>
        </w:rPr>
        <w:t>尘</w:t>
      </w:r>
      <w:r>
        <w:rPr>
          <w:color w:val="auto"/>
          <w:position w:val="-1"/>
          <w:szCs w:val="21"/>
          <w:highlight w:val="none"/>
        </w:rPr>
        <w:t>情况</w:t>
      </w:r>
      <w:r>
        <w:rPr>
          <w:color w:val="auto"/>
          <w:spacing w:val="-2"/>
          <w:position w:val="-1"/>
          <w:szCs w:val="21"/>
          <w:highlight w:val="none"/>
        </w:rPr>
        <w:t>、</w:t>
      </w:r>
      <w:r>
        <w:rPr>
          <w:color w:val="auto"/>
          <w:position w:val="-1"/>
          <w:szCs w:val="21"/>
          <w:highlight w:val="none"/>
        </w:rPr>
        <w:t>采</w:t>
      </w:r>
      <w:r>
        <w:rPr>
          <w:color w:val="auto"/>
          <w:spacing w:val="-2"/>
          <w:position w:val="-1"/>
          <w:szCs w:val="21"/>
          <w:highlight w:val="none"/>
        </w:rPr>
        <w:t>样</w:t>
      </w:r>
      <w:r>
        <w:rPr>
          <w:color w:val="auto"/>
          <w:position w:val="-1"/>
          <w:szCs w:val="21"/>
          <w:highlight w:val="none"/>
        </w:rPr>
        <w:t>管</w:t>
      </w:r>
      <w:r>
        <w:rPr>
          <w:color w:val="auto"/>
          <w:spacing w:val="-2"/>
          <w:position w:val="-1"/>
          <w:szCs w:val="21"/>
          <w:highlight w:val="none"/>
        </w:rPr>
        <w:t>加</w:t>
      </w:r>
      <w:r>
        <w:rPr>
          <w:color w:val="auto"/>
          <w:position w:val="-1"/>
          <w:szCs w:val="21"/>
          <w:highlight w:val="none"/>
        </w:rPr>
        <w:t>热</w:t>
      </w:r>
      <w:r>
        <w:rPr>
          <w:color w:val="auto"/>
          <w:spacing w:val="-2"/>
          <w:position w:val="-1"/>
          <w:szCs w:val="21"/>
          <w:highlight w:val="none"/>
        </w:rPr>
        <w:t>器</w:t>
      </w:r>
      <w:r>
        <w:rPr>
          <w:color w:val="auto"/>
          <w:position w:val="-1"/>
          <w:szCs w:val="21"/>
          <w:highlight w:val="none"/>
        </w:rPr>
        <w:t>和</w:t>
      </w:r>
      <w:r>
        <w:rPr>
          <w:color w:val="auto"/>
          <w:spacing w:val="-2"/>
          <w:position w:val="-1"/>
          <w:szCs w:val="21"/>
          <w:highlight w:val="none"/>
        </w:rPr>
        <w:t>采</w:t>
      </w:r>
      <w:r>
        <w:rPr>
          <w:color w:val="auto"/>
          <w:position w:val="-1"/>
          <w:szCs w:val="21"/>
          <w:highlight w:val="none"/>
        </w:rPr>
        <w:t>样泵</w:t>
      </w:r>
      <w:r>
        <w:rPr>
          <w:color w:val="auto"/>
          <w:spacing w:val="-2"/>
          <w:position w:val="-1"/>
          <w:szCs w:val="21"/>
          <w:highlight w:val="none"/>
        </w:rPr>
        <w:t>工</w:t>
      </w:r>
      <w:r>
        <w:rPr>
          <w:color w:val="auto"/>
          <w:position w:val="-1"/>
          <w:szCs w:val="21"/>
          <w:highlight w:val="none"/>
        </w:rPr>
        <w:t>作</w:t>
      </w:r>
      <w:r>
        <w:rPr>
          <w:color w:val="auto"/>
          <w:spacing w:val="-2"/>
          <w:position w:val="-1"/>
          <w:szCs w:val="21"/>
          <w:highlight w:val="none"/>
        </w:rPr>
        <w:t>状</w:t>
      </w:r>
      <w:r>
        <w:rPr>
          <w:color w:val="auto"/>
          <w:position w:val="-1"/>
          <w:szCs w:val="21"/>
          <w:highlight w:val="none"/>
        </w:rPr>
        <w:t>态。</w:t>
      </w:r>
    </w:p>
    <w:p>
      <w:pPr>
        <w:spacing w:before="120" w:after="120" w:line="264" w:lineRule="auto"/>
        <w:ind w:firstLine="420" w:firstLineChars="200"/>
        <w:rPr>
          <w:color w:val="auto"/>
          <w:szCs w:val="21"/>
          <w:highlight w:val="none"/>
        </w:rPr>
      </w:pPr>
      <w:r>
        <w:rPr>
          <w:color w:val="auto"/>
          <w:position w:val="-1"/>
          <w:szCs w:val="21"/>
          <w:highlight w:val="none"/>
        </w:rPr>
        <w:t>5.2.2.3应</w:t>
      </w:r>
      <w:r>
        <w:rPr>
          <w:color w:val="auto"/>
          <w:spacing w:val="-2"/>
          <w:position w:val="-1"/>
          <w:szCs w:val="21"/>
          <w:highlight w:val="none"/>
        </w:rPr>
        <w:t>及</w:t>
      </w:r>
      <w:r>
        <w:rPr>
          <w:color w:val="auto"/>
          <w:position w:val="-1"/>
          <w:szCs w:val="21"/>
          <w:highlight w:val="none"/>
        </w:rPr>
        <w:t>时</w:t>
      </w:r>
      <w:r>
        <w:rPr>
          <w:color w:val="auto"/>
          <w:spacing w:val="-2"/>
          <w:position w:val="-1"/>
          <w:szCs w:val="21"/>
          <w:highlight w:val="none"/>
        </w:rPr>
        <w:t>清</w:t>
      </w:r>
      <w:r>
        <w:rPr>
          <w:color w:val="auto"/>
          <w:position w:val="-1"/>
          <w:szCs w:val="21"/>
          <w:highlight w:val="none"/>
        </w:rPr>
        <w:t>空</w:t>
      </w:r>
      <w:r>
        <w:rPr>
          <w:color w:val="auto"/>
          <w:spacing w:val="-2"/>
          <w:position w:val="-1"/>
          <w:szCs w:val="21"/>
          <w:highlight w:val="none"/>
        </w:rPr>
        <w:t>冷</w:t>
      </w:r>
      <w:r>
        <w:rPr>
          <w:color w:val="auto"/>
          <w:position w:val="-1"/>
          <w:szCs w:val="21"/>
          <w:highlight w:val="none"/>
        </w:rPr>
        <w:t>风</w:t>
      </w:r>
      <w:r>
        <w:rPr>
          <w:color w:val="auto"/>
          <w:spacing w:val="-2"/>
          <w:position w:val="-1"/>
          <w:szCs w:val="21"/>
          <w:highlight w:val="none"/>
        </w:rPr>
        <w:t>机储</w:t>
      </w:r>
      <w:r>
        <w:rPr>
          <w:color w:val="auto"/>
          <w:position w:val="-1"/>
          <w:szCs w:val="21"/>
          <w:highlight w:val="none"/>
        </w:rPr>
        <w:t>水箱。</w:t>
      </w:r>
    </w:p>
    <w:p>
      <w:pPr>
        <w:spacing w:before="120" w:after="120" w:line="264" w:lineRule="auto"/>
        <w:ind w:firstLine="420" w:firstLineChars="200"/>
        <w:rPr>
          <w:color w:val="auto"/>
          <w:szCs w:val="21"/>
          <w:highlight w:val="none"/>
        </w:rPr>
      </w:pPr>
      <w:r>
        <w:rPr>
          <w:color w:val="auto"/>
          <w:position w:val="-1"/>
          <w:szCs w:val="21"/>
          <w:highlight w:val="none"/>
        </w:rPr>
        <w:t>5.2.3</w:t>
      </w:r>
      <w:r>
        <w:rPr>
          <w:color w:val="auto"/>
          <w:spacing w:val="-2"/>
          <w:position w:val="-1"/>
          <w:szCs w:val="21"/>
          <w:highlight w:val="none"/>
        </w:rPr>
        <w:t>每</w:t>
      </w:r>
      <w:r>
        <w:rPr>
          <w:color w:val="auto"/>
          <w:position w:val="-1"/>
          <w:szCs w:val="21"/>
          <w:highlight w:val="none"/>
        </w:rPr>
        <w:t>月</w:t>
      </w:r>
      <w:r>
        <w:rPr>
          <w:color w:val="auto"/>
          <w:spacing w:val="-2"/>
          <w:position w:val="-1"/>
          <w:szCs w:val="21"/>
          <w:highlight w:val="none"/>
        </w:rPr>
        <w:t>维</w:t>
      </w:r>
      <w:r>
        <w:rPr>
          <w:color w:val="auto"/>
          <w:position w:val="-1"/>
          <w:szCs w:val="21"/>
          <w:highlight w:val="none"/>
        </w:rPr>
        <w:t>护</w:t>
      </w:r>
      <w:r>
        <w:rPr>
          <w:color w:val="auto"/>
          <w:spacing w:val="-2"/>
          <w:position w:val="-1"/>
          <w:szCs w:val="21"/>
          <w:highlight w:val="none"/>
        </w:rPr>
        <w:t>内</w:t>
      </w:r>
      <w:r>
        <w:rPr>
          <w:color w:val="auto"/>
          <w:position w:val="-1"/>
          <w:szCs w:val="21"/>
          <w:highlight w:val="none"/>
        </w:rPr>
        <w:t>容：</w:t>
      </w:r>
    </w:p>
    <w:p>
      <w:pPr>
        <w:spacing w:before="120" w:after="120" w:line="264" w:lineRule="auto"/>
        <w:ind w:firstLine="420" w:firstLineChars="200"/>
        <w:rPr>
          <w:color w:val="auto"/>
          <w:szCs w:val="21"/>
          <w:highlight w:val="none"/>
        </w:rPr>
      </w:pPr>
      <w:r>
        <w:rPr>
          <w:color w:val="auto"/>
          <w:position w:val="-1"/>
          <w:szCs w:val="21"/>
          <w:highlight w:val="none"/>
        </w:rPr>
        <w:t>5.2.3.1每</w:t>
      </w:r>
      <w:r>
        <w:rPr>
          <w:color w:val="auto"/>
          <w:spacing w:val="-2"/>
          <w:position w:val="-1"/>
          <w:szCs w:val="21"/>
          <w:highlight w:val="none"/>
        </w:rPr>
        <w:t>月</w:t>
      </w:r>
      <w:r>
        <w:rPr>
          <w:color w:val="auto"/>
          <w:position w:val="-1"/>
          <w:szCs w:val="21"/>
          <w:highlight w:val="none"/>
        </w:rPr>
        <w:t>对</w:t>
      </w:r>
      <w:r>
        <w:rPr>
          <w:color w:val="auto"/>
          <w:spacing w:val="-2"/>
          <w:position w:val="-1"/>
          <w:szCs w:val="21"/>
          <w:highlight w:val="none"/>
        </w:rPr>
        <w:t>仪</w:t>
      </w:r>
      <w:r>
        <w:rPr>
          <w:color w:val="auto"/>
          <w:position w:val="-1"/>
          <w:szCs w:val="21"/>
          <w:highlight w:val="none"/>
        </w:rPr>
        <w:t>器</w:t>
      </w:r>
      <w:r>
        <w:rPr>
          <w:color w:val="auto"/>
          <w:spacing w:val="-2"/>
          <w:position w:val="-1"/>
          <w:szCs w:val="21"/>
          <w:highlight w:val="none"/>
        </w:rPr>
        <w:t>散</w:t>
      </w:r>
      <w:r>
        <w:rPr>
          <w:color w:val="auto"/>
          <w:position w:val="-1"/>
          <w:szCs w:val="21"/>
          <w:highlight w:val="none"/>
        </w:rPr>
        <w:t>热</w:t>
      </w:r>
      <w:r>
        <w:rPr>
          <w:color w:val="auto"/>
          <w:spacing w:val="-2"/>
          <w:position w:val="-1"/>
          <w:szCs w:val="21"/>
          <w:highlight w:val="none"/>
        </w:rPr>
        <w:t>风扇</w:t>
      </w:r>
      <w:r>
        <w:rPr>
          <w:color w:val="auto"/>
          <w:position w:val="-1"/>
          <w:szCs w:val="21"/>
          <w:highlight w:val="none"/>
        </w:rPr>
        <w:t>过滤</w:t>
      </w:r>
      <w:r>
        <w:rPr>
          <w:color w:val="auto"/>
          <w:spacing w:val="-2"/>
          <w:position w:val="-1"/>
          <w:szCs w:val="21"/>
          <w:highlight w:val="none"/>
        </w:rPr>
        <w:t>网</w:t>
      </w:r>
      <w:r>
        <w:rPr>
          <w:color w:val="auto"/>
          <w:position w:val="-1"/>
          <w:szCs w:val="21"/>
          <w:highlight w:val="none"/>
        </w:rPr>
        <w:t>进</w:t>
      </w:r>
      <w:r>
        <w:rPr>
          <w:color w:val="auto"/>
          <w:spacing w:val="-2"/>
          <w:position w:val="-1"/>
          <w:szCs w:val="21"/>
          <w:highlight w:val="none"/>
        </w:rPr>
        <w:t>行</w:t>
      </w:r>
      <w:r>
        <w:rPr>
          <w:color w:val="auto"/>
          <w:position w:val="-1"/>
          <w:szCs w:val="21"/>
          <w:highlight w:val="none"/>
        </w:rPr>
        <w:t>清</w:t>
      </w:r>
      <w:r>
        <w:rPr>
          <w:color w:val="auto"/>
          <w:spacing w:val="-2"/>
          <w:position w:val="-1"/>
          <w:szCs w:val="21"/>
          <w:highlight w:val="none"/>
        </w:rPr>
        <w:t>洗</w:t>
      </w:r>
      <w:r>
        <w:rPr>
          <w:color w:val="auto"/>
          <w:position w:val="-1"/>
          <w:szCs w:val="21"/>
          <w:highlight w:val="none"/>
        </w:rPr>
        <w:t>。</w:t>
      </w:r>
    </w:p>
    <w:p>
      <w:pPr>
        <w:spacing w:before="120" w:after="120" w:line="264" w:lineRule="auto"/>
        <w:ind w:firstLine="420" w:firstLineChars="200"/>
        <w:rPr>
          <w:color w:val="auto"/>
          <w:szCs w:val="21"/>
          <w:highlight w:val="none"/>
        </w:rPr>
      </w:pPr>
      <w:r>
        <w:rPr>
          <w:color w:val="auto"/>
          <w:position w:val="-1"/>
          <w:szCs w:val="21"/>
          <w:highlight w:val="none"/>
        </w:rPr>
        <w:t>5.2.3.2每</w:t>
      </w:r>
      <w:r>
        <w:rPr>
          <w:color w:val="auto"/>
          <w:spacing w:val="-2"/>
          <w:position w:val="-1"/>
          <w:szCs w:val="21"/>
          <w:highlight w:val="none"/>
        </w:rPr>
        <w:t>月</w:t>
      </w:r>
      <w:r>
        <w:rPr>
          <w:color w:val="auto"/>
          <w:position w:val="-1"/>
          <w:szCs w:val="21"/>
          <w:highlight w:val="none"/>
        </w:rPr>
        <w:t>检</w:t>
      </w:r>
      <w:r>
        <w:rPr>
          <w:color w:val="auto"/>
          <w:spacing w:val="-2"/>
          <w:position w:val="-1"/>
          <w:szCs w:val="21"/>
          <w:highlight w:val="none"/>
        </w:rPr>
        <w:t>查</w:t>
      </w:r>
      <w:r>
        <w:rPr>
          <w:color w:val="auto"/>
          <w:position w:val="-1"/>
          <w:szCs w:val="21"/>
          <w:highlight w:val="none"/>
        </w:rPr>
        <w:t>冷</w:t>
      </w:r>
      <w:r>
        <w:rPr>
          <w:color w:val="auto"/>
          <w:spacing w:val="-2"/>
          <w:position w:val="-1"/>
          <w:szCs w:val="21"/>
          <w:highlight w:val="none"/>
        </w:rPr>
        <w:t>风</w:t>
      </w:r>
      <w:r>
        <w:rPr>
          <w:color w:val="auto"/>
          <w:position w:val="-1"/>
          <w:szCs w:val="21"/>
          <w:highlight w:val="none"/>
        </w:rPr>
        <w:t>机</w:t>
      </w:r>
      <w:r>
        <w:rPr>
          <w:color w:val="auto"/>
          <w:spacing w:val="-2"/>
          <w:position w:val="-1"/>
          <w:szCs w:val="21"/>
          <w:highlight w:val="none"/>
        </w:rPr>
        <w:t>排风</w:t>
      </w:r>
      <w:r>
        <w:rPr>
          <w:color w:val="auto"/>
          <w:position w:val="-1"/>
          <w:szCs w:val="21"/>
          <w:highlight w:val="none"/>
        </w:rPr>
        <w:t>扇或</w:t>
      </w:r>
      <w:r>
        <w:rPr>
          <w:color w:val="auto"/>
          <w:spacing w:val="-2"/>
          <w:position w:val="-1"/>
          <w:szCs w:val="21"/>
          <w:highlight w:val="none"/>
        </w:rPr>
        <w:t>过</w:t>
      </w:r>
      <w:r>
        <w:rPr>
          <w:color w:val="auto"/>
          <w:position w:val="-1"/>
          <w:szCs w:val="21"/>
          <w:highlight w:val="none"/>
        </w:rPr>
        <w:t>滤</w:t>
      </w:r>
      <w:r>
        <w:rPr>
          <w:color w:val="auto"/>
          <w:spacing w:val="-2"/>
          <w:position w:val="-1"/>
          <w:szCs w:val="21"/>
          <w:highlight w:val="none"/>
        </w:rPr>
        <w:t>器</w:t>
      </w:r>
      <w:r>
        <w:rPr>
          <w:color w:val="auto"/>
          <w:position w:val="-1"/>
          <w:szCs w:val="21"/>
          <w:highlight w:val="none"/>
        </w:rPr>
        <w:t>，</w:t>
      </w:r>
      <w:r>
        <w:rPr>
          <w:color w:val="auto"/>
          <w:spacing w:val="-2"/>
          <w:position w:val="-1"/>
          <w:szCs w:val="21"/>
          <w:highlight w:val="none"/>
        </w:rPr>
        <w:t>防</w:t>
      </w:r>
      <w:r>
        <w:rPr>
          <w:color w:val="auto"/>
          <w:position w:val="-1"/>
          <w:szCs w:val="21"/>
          <w:highlight w:val="none"/>
        </w:rPr>
        <w:t>止</w:t>
      </w:r>
      <w:r>
        <w:rPr>
          <w:color w:val="auto"/>
          <w:spacing w:val="-2"/>
          <w:position w:val="-1"/>
          <w:szCs w:val="21"/>
          <w:highlight w:val="none"/>
        </w:rPr>
        <w:t>堵</w:t>
      </w:r>
      <w:r>
        <w:rPr>
          <w:color w:val="auto"/>
          <w:position w:val="-1"/>
          <w:szCs w:val="21"/>
          <w:highlight w:val="none"/>
        </w:rPr>
        <w:t>塞。</w:t>
      </w:r>
    </w:p>
    <w:p>
      <w:pPr>
        <w:spacing w:before="120" w:after="120" w:line="264" w:lineRule="auto"/>
        <w:ind w:firstLine="420" w:firstLineChars="200"/>
        <w:rPr>
          <w:color w:val="auto"/>
          <w:szCs w:val="21"/>
          <w:highlight w:val="none"/>
        </w:rPr>
      </w:pPr>
      <w:r>
        <w:rPr>
          <w:color w:val="auto"/>
          <w:position w:val="-1"/>
          <w:szCs w:val="21"/>
          <w:highlight w:val="none"/>
        </w:rPr>
        <w:t>5.2.3.3</w:t>
      </w:r>
      <w:r>
        <w:rPr>
          <w:color w:val="auto"/>
          <w:szCs w:val="21"/>
          <w:highlight w:val="none"/>
        </w:rPr>
        <w:t>检</w:t>
      </w:r>
      <w:r>
        <w:rPr>
          <w:color w:val="auto"/>
          <w:spacing w:val="-2"/>
          <w:szCs w:val="21"/>
          <w:highlight w:val="none"/>
        </w:rPr>
        <w:t>查</w:t>
      </w:r>
      <w:r>
        <w:rPr>
          <w:color w:val="auto"/>
          <w:szCs w:val="21"/>
          <w:highlight w:val="none"/>
        </w:rPr>
        <w:t>纸</w:t>
      </w:r>
      <w:r>
        <w:rPr>
          <w:color w:val="auto"/>
          <w:spacing w:val="-2"/>
          <w:szCs w:val="21"/>
          <w:highlight w:val="none"/>
        </w:rPr>
        <w:t>带</w:t>
      </w:r>
      <w:r>
        <w:rPr>
          <w:color w:val="auto"/>
          <w:szCs w:val="21"/>
          <w:highlight w:val="none"/>
        </w:rPr>
        <w:t>位</w:t>
      </w:r>
      <w:r>
        <w:rPr>
          <w:color w:val="auto"/>
          <w:spacing w:val="-2"/>
          <w:szCs w:val="21"/>
          <w:highlight w:val="none"/>
        </w:rPr>
        <w:t>置</w:t>
      </w:r>
      <w:r>
        <w:rPr>
          <w:color w:val="auto"/>
          <w:szCs w:val="21"/>
          <w:highlight w:val="none"/>
        </w:rPr>
        <w:t>是</w:t>
      </w:r>
      <w:r>
        <w:rPr>
          <w:color w:val="auto"/>
          <w:spacing w:val="-2"/>
          <w:szCs w:val="21"/>
          <w:highlight w:val="none"/>
        </w:rPr>
        <w:t>否正</w:t>
      </w:r>
      <w:r>
        <w:rPr>
          <w:color w:val="auto"/>
          <w:szCs w:val="21"/>
          <w:highlight w:val="none"/>
        </w:rPr>
        <w:t>常</w:t>
      </w:r>
      <w:r>
        <w:rPr>
          <w:color w:val="auto"/>
          <w:spacing w:val="-2"/>
          <w:szCs w:val="21"/>
          <w:highlight w:val="none"/>
        </w:rPr>
        <w:t>，</w:t>
      </w:r>
      <w:r>
        <w:rPr>
          <w:color w:val="auto"/>
          <w:szCs w:val="21"/>
          <w:highlight w:val="none"/>
        </w:rPr>
        <w:t>采</w:t>
      </w:r>
      <w:r>
        <w:rPr>
          <w:color w:val="auto"/>
          <w:spacing w:val="-2"/>
          <w:szCs w:val="21"/>
          <w:highlight w:val="none"/>
        </w:rPr>
        <w:t>样</w:t>
      </w:r>
      <w:r>
        <w:rPr>
          <w:color w:val="auto"/>
          <w:szCs w:val="21"/>
          <w:highlight w:val="none"/>
        </w:rPr>
        <w:t>斑</w:t>
      </w:r>
      <w:r>
        <w:rPr>
          <w:color w:val="auto"/>
          <w:spacing w:val="-2"/>
          <w:szCs w:val="21"/>
          <w:highlight w:val="none"/>
        </w:rPr>
        <w:t>点</w:t>
      </w:r>
      <w:r>
        <w:rPr>
          <w:color w:val="auto"/>
          <w:szCs w:val="21"/>
          <w:highlight w:val="none"/>
        </w:rPr>
        <w:t>是</w:t>
      </w:r>
      <w:r>
        <w:rPr>
          <w:color w:val="auto"/>
          <w:spacing w:val="-2"/>
          <w:szCs w:val="21"/>
          <w:highlight w:val="none"/>
        </w:rPr>
        <w:t>否</w:t>
      </w:r>
      <w:r>
        <w:rPr>
          <w:color w:val="auto"/>
          <w:szCs w:val="21"/>
          <w:highlight w:val="none"/>
        </w:rPr>
        <w:t>圆</w:t>
      </w:r>
      <w:r>
        <w:rPr>
          <w:color w:val="auto"/>
          <w:spacing w:val="-2"/>
          <w:szCs w:val="21"/>
          <w:highlight w:val="none"/>
        </w:rPr>
        <w:t>滑（</w:t>
      </w:r>
      <w:r>
        <w:rPr>
          <w:color w:val="auto"/>
          <w:szCs w:val="21"/>
          <w:highlight w:val="none"/>
        </w:rPr>
        <w:t>边界</w:t>
      </w:r>
      <w:r>
        <w:rPr>
          <w:color w:val="auto"/>
          <w:spacing w:val="-2"/>
          <w:szCs w:val="21"/>
          <w:highlight w:val="none"/>
        </w:rPr>
        <w:t>清</w:t>
      </w:r>
      <w:r>
        <w:rPr>
          <w:color w:val="auto"/>
          <w:szCs w:val="21"/>
          <w:highlight w:val="none"/>
        </w:rPr>
        <w:t>晰</w:t>
      </w:r>
      <w:r>
        <w:rPr>
          <w:color w:val="auto"/>
          <w:spacing w:val="-108"/>
          <w:szCs w:val="21"/>
          <w:highlight w:val="none"/>
        </w:rPr>
        <w:t>）</w:t>
      </w:r>
      <w:r>
        <w:rPr>
          <w:color w:val="auto"/>
          <w:szCs w:val="21"/>
          <w:highlight w:val="none"/>
        </w:rPr>
        <w:t>、</w:t>
      </w:r>
      <w:r>
        <w:rPr>
          <w:color w:val="auto"/>
          <w:spacing w:val="-2"/>
          <w:szCs w:val="21"/>
          <w:highlight w:val="none"/>
        </w:rPr>
        <w:t>均匀</w:t>
      </w:r>
      <w:r>
        <w:rPr>
          <w:color w:val="auto"/>
          <w:szCs w:val="21"/>
          <w:highlight w:val="none"/>
        </w:rPr>
        <w:t>、</w:t>
      </w:r>
      <w:r>
        <w:rPr>
          <w:color w:val="auto"/>
          <w:spacing w:val="-2"/>
          <w:szCs w:val="21"/>
          <w:highlight w:val="none"/>
        </w:rPr>
        <w:t>完</w:t>
      </w:r>
      <w:r>
        <w:rPr>
          <w:color w:val="auto"/>
          <w:szCs w:val="21"/>
          <w:highlight w:val="none"/>
        </w:rPr>
        <w:t>整</w:t>
      </w:r>
      <w:r>
        <w:rPr>
          <w:color w:val="auto"/>
          <w:spacing w:val="-2"/>
          <w:szCs w:val="21"/>
          <w:highlight w:val="none"/>
        </w:rPr>
        <w:t>；</w:t>
      </w:r>
      <w:r>
        <w:rPr>
          <w:color w:val="auto"/>
          <w:szCs w:val="21"/>
          <w:highlight w:val="none"/>
        </w:rPr>
        <w:t>及时</w:t>
      </w:r>
      <w:r>
        <w:rPr>
          <w:color w:val="auto"/>
          <w:spacing w:val="-2"/>
          <w:szCs w:val="21"/>
          <w:highlight w:val="none"/>
        </w:rPr>
        <w:t>更</w:t>
      </w:r>
      <w:r>
        <w:rPr>
          <w:color w:val="auto"/>
          <w:szCs w:val="21"/>
          <w:highlight w:val="none"/>
        </w:rPr>
        <w:t>换</w:t>
      </w:r>
      <w:r>
        <w:rPr>
          <w:color w:val="auto"/>
          <w:spacing w:val="-2"/>
          <w:szCs w:val="21"/>
          <w:highlight w:val="none"/>
        </w:rPr>
        <w:t>纸带</w:t>
      </w:r>
      <w:r>
        <w:rPr>
          <w:color w:val="auto"/>
          <w:szCs w:val="21"/>
          <w:highlight w:val="none"/>
        </w:rPr>
        <w:t>（</w:t>
      </w:r>
      <w:r>
        <w:rPr>
          <w:color w:val="auto"/>
          <w:spacing w:val="-2"/>
          <w:szCs w:val="21"/>
          <w:highlight w:val="none"/>
        </w:rPr>
        <w:t>应</w:t>
      </w:r>
      <w:r>
        <w:rPr>
          <w:color w:val="auto"/>
          <w:szCs w:val="21"/>
          <w:highlight w:val="none"/>
        </w:rPr>
        <w:t>佩 戴丁</w:t>
      </w:r>
      <w:r>
        <w:rPr>
          <w:color w:val="auto"/>
          <w:spacing w:val="-2"/>
          <w:szCs w:val="21"/>
          <w:highlight w:val="none"/>
        </w:rPr>
        <w:t>腈</w:t>
      </w:r>
      <w:r>
        <w:rPr>
          <w:color w:val="auto"/>
          <w:szCs w:val="21"/>
          <w:highlight w:val="none"/>
        </w:rPr>
        <w:t>手</w:t>
      </w:r>
      <w:r>
        <w:rPr>
          <w:color w:val="auto"/>
          <w:spacing w:val="-2"/>
          <w:szCs w:val="21"/>
          <w:highlight w:val="none"/>
        </w:rPr>
        <w:t>套</w:t>
      </w:r>
      <w:r>
        <w:rPr>
          <w:color w:val="auto"/>
          <w:spacing w:val="-106"/>
          <w:szCs w:val="21"/>
          <w:highlight w:val="none"/>
        </w:rPr>
        <w:t>）</w:t>
      </w:r>
      <w:r>
        <w:rPr>
          <w:color w:val="auto"/>
          <w:szCs w:val="21"/>
          <w:highlight w:val="none"/>
        </w:rPr>
        <w:t>；</w:t>
      </w:r>
    </w:p>
    <w:p>
      <w:pPr>
        <w:spacing w:before="120" w:after="120" w:line="264" w:lineRule="auto"/>
        <w:ind w:firstLine="420" w:firstLineChars="200"/>
        <w:rPr>
          <w:color w:val="auto"/>
          <w:szCs w:val="21"/>
          <w:highlight w:val="none"/>
        </w:rPr>
      </w:pPr>
      <w:r>
        <w:rPr>
          <w:color w:val="auto"/>
          <w:position w:val="-1"/>
          <w:szCs w:val="21"/>
          <w:highlight w:val="none"/>
        </w:rPr>
        <w:t>5.2.3.4每</w:t>
      </w:r>
      <w:r>
        <w:rPr>
          <w:color w:val="auto"/>
          <w:spacing w:val="-2"/>
          <w:position w:val="-1"/>
          <w:szCs w:val="21"/>
          <w:highlight w:val="none"/>
        </w:rPr>
        <w:t>月</w:t>
      </w:r>
      <w:r>
        <w:rPr>
          <w:color w:val="auto"/>
          <w:position w:val="-1"/>
          <w:szCs w:val="21"/>
          <w:highlight w:val="none"/>
        </w:rPr>
        <w:t>至</w:t>
      </w:r>
      <w:r>
        <w:rPr>
          <w:color w:val="auto"/>
          <w:spacing w:val="-2"/>
          <w:position w:val="-1"/>
          <w:szCs w:val="21"/>
          <w:highlight w:val="none"/>
        </w:rPr>
        <w:t>少</w:t>
      </w:r>
      <w:r>
        <w:rPr>
          <w:color w:val="auto"/>
          <w:position w:val="-1"/>
          <w:szCs w:val="21"/>
          <w:highlight w:val="none"/>
        </w:rPr>
        <w:t>清</w:t>
      </w:r>
      <w:r>
        <w:rPr>
          <w:color w:val="auto"/>
          <w:spacing w:val="-2"/>
          <w:position w:val="-1"/>
          <w:szCs w:val="21"/>
          <w:highlight w:val="none"/>
        </w:rPr>
        <w:t>洁</w:t>
      </w:r>
      <w:r>
        <w:rPr>
          <w:color w:val="auto"/>
          <w:position w:val="-1"/>
          <w:szCs w:val="21"/>
          <w:highlight w:val="none"/>
        </w:rPr>
        <w:t>一</w:t>
      </w:r>
      <w:r>
        <w:rPr>
          <w:color w:val="auto"/>
          <w:spacing w:val="-2"/>
          <w:position w:val="-1"/>
          <w:szCs w:val="21"/>
          <w:highlight w:val="none"/>
        </w:rPr>
        <w:t>次采</w:t>
      </w:r>
      <w:r>
        <w:rPr>
          <w:color w:val="auto"/>
          <w:position w:val="-1"/>
          <w:szCs w:val="21"/>
          <w:highlight w:val="none"/>
        </w:rPr>
        <w:t>样头</w:t>
      </w:r>
      <w:r>
        <w:rPr>
          <w:color w:val="auto"/>
          <w:spacing w:val="-2"/>
          <w:position w:val="-1"/>
          <w:szCs w:val="21"/>
          <w:highlight w:val="none"/>
        </w:rPr>
        <w:t>、</w:t>
      </w:r>
      <w:r>
        <w:rPr>
          <w:color w:val="auto"/>
          <w:position w:val="-1"/>
          <w:szCs w:val="21"/>
          <w:highlight w:val="none"/>
        </w:rPr>
        <w:t>户</w:t>
      </w:r>
      <w:r>
        <w:rPr>
          <w:color w:val="auto"/>
          <w:spacing w:val="-2"/>
          <w:position w:val="-1"/>
          <w:szCs w:val="21"/>
          <w:highlight w:val="none"/>
        </w:rPr>
        <w:t>外</w:t>
      </w:r>
      <w:r>
        <w:rPr>
          <w:color w:val="auto"/>
          <w:position w:val="-1"/>
          <w:szCs w:val="21"/>
          <w:highlight w:val="none"/>
        </w:rPr>
        <w:t>传</w:t>
      </w:r>
      <w:r>
        <w:rPr>
          <w:color w:val="auto"/>
          <w:spacing w:val="-2"/>
          <w:position w:val="-1"/>
          <w:szCs w:val="21"/>
          <w:highlight w:val="none"/>
        </w:rPr>
        <w:t>感</w:t>
      </w:r>
      <w:r>
        <w:rPr>
          <w:color w:val="auto"/>
          <w:position w:val="-1"/>
          <w:szCs w:val="21"/>
          <w:highlight w:val="none"/>
        </w:rPr>
        <w:t>器</w:t>
      </w:r>
      <w:r>
        <w:rPr>
          <w:color w:val="auto"/>
          <w:spacing w:val="-2"/>
          <w:position w:val="-1"/>
          <w:szCs w:val="21"/>
          <w:highlight w:val="none"/>
        </w:rPr>
        <w:t>与</w:t>
      </w:r>
      <w:r>
        <w:rPr>
          <w:color w:val="auto"/>
          <w:position w:val="-1"/>
          <w:szCs w:val="21"/>
          <w:highlight w:val="none"/>
        </w:rPr>
        <w:t>测</w:t>
      </w:r>
      <w:r>
        <w:rPr>
          <w:color w:val="auto"/>
          <w:spacing w:val="-2"/>
          <w:position w:val="-1"/>
          <w:szCs w:val="21"/>
          <w:highlight w:val="none"/>
        </w:rPr>
        <w:t>量</w:t>
      </w:r>
      <w:r>
        <w:rPr>
          <w:color w:val="auto"/>
          <w:position w:val="-1"/>
          <w:szCs w:val="21"/>
          <w:highlight w:val="none"/>
        </w:rPr>
        <w:t>平台</w:t>
      </w:r>
      <w:r>
        <w:rPr>
          <w:color w:val="auto"/>
          <w:spacing w:val="-2"/>
          <w:position w:val="-1"/>
          <w:szCs w:val="21"/>
          <w:highlight w:val="none"/>
        </w:rPr>
        <w:t>，</w:t>
      </w:r>
      <w:r>
        <w:rPr>
          <w:color w:val="auto"/>
          <w:position w:val="-1"/>
          <w:szCs w:val="21"/>
          <w:highlight w:val="none"/>
        </w:rPr>
        <w:t>并</w:t>
      </w:r>
      <w:r>
        <w:rPr>
          <w:color w:val="auto"/>
          <w:spacing w:val="-2"/>
          <w:position w:val="-1"/>
          <w:szCs w:val="21"/>
          <w:highlight w:val="none"/>
        </w:rPr>
        <w:t>根</w:t>
      </w:r>
      <w:r>
        <w:rPr>
          <w:color w:val="auto"/>
          <w:position w:val="-1"/>
          <w:szCs w:val="21"/>
          <w:highlight w:val="none"/>
        </w:rPr>
        <w:t>据</w:t>
      </w:r>
      <w:r>
        <w:rPr>
          <w:color w:val="auto"/>
          <w:spacing w:val="-2"/>
          <w:position w:val="-1"/>
          <w:szCs w:val="21"/>
          <w:highlight w:val="none"/>
        </w:rPr>
        <w:t>当</w:t>
      </w:r>
      <w:r>
        <w:rPr>
          <w:color w:val="auto"/>
          <w:position w:val="-1"/>
          <w:szCs w:val="21"/>
          <w:highlight w:val="none"/>
        </w:rPr>
        <w:t>地</w:t>
      </w:r>
      <w:r>
        <w:rPr>
          <w:color w:val="auto"/>
          <w:spacing w:val="-2"/>
          <w:position w:val="-1"/>
          <w:szCs w:val="21"/>
          <w:highlight w:val="none"/>
        </w:rPr>
        <w:t>污</w:t>
      </w:r>
      <w:r>
        <w:rPr>
          <w:color w:val="auto"/>
          <w:position w:val="-1"/>
          <w:szCs w:val="21"/>
          <w:highlight w:val="none"/>
        </w:rPr>
        <w:t>染</w:t>
      </w:r>
      <w:r>
        <w:rPr>
          <w:color w:val="auto"/>
          <w:spacing w:val="-2"/>
          <w:position w:val="-1"/>
          <w:szCs w:val="21"/>
          <w:highlight w:val="none"/>
        </w:rPr>
        <w:t>程</w:t>
      </w:r>
      <w:r>
        <w:rPr>
          <w:color w:val="auto"/>
          <w:position w:val="-1"/>
          <w:szCs w:val="21"/>
          <w:highlight w:val="none"/>
        </w:rPr>
        <w:t>度加</w:t>
      </w:r>
      <w:r>
        <w:rPr>
          <w:color w:val="auto"/>
          <w:spacing w:val="-2"/>
          <w:position w:val="-1"/>
          <w:szCs w:val="21"/>
          <w:highlight w:val="none"/>
        </w:rPr>
        <w:t>大</w:t>
      </w:r>
      <w:r>
        <w:rPr>
          <w:color w:val="auto"/>
          <w:position w:val="-1"/>
          <w:szCs w:val="21"/>
          <w:highlight w:val="none"/>
        </w:rPr>
        <w:t>清</w:t>
      </w:r>
      <w:r>
        <w:rPr>
          <w:color w:val="auto"/>
          <w:spacing w:val="-2"/>
          <w:position w:val="-1"/>
          <w:szCs w:val="21"/>
          <w:highlight w:val="none"/>
        </w:rPr>
        <w:t>洁</w:t>
      </w:r>
      <w:r>
        <w:rPr>
          <w:color w:val="auto"/>
          <w:position w:val="-1"/>
          <w:szCs w:val="21"/>
          <w:highlight w:val="none"/>
        </w:rPr>
        <w:t>频</w:t>
      </w:r>
      <w:r>
        <w:rPr>
          <w:color w:val="auto"/>
          <w:spacing w:val="-2"/>
          <w:position w:val="-1"/>
          <w:szCs w:val="21"/>
          <w:highlight w:val="none"/>
        </w:rPr>
        <w:t>率</w:t>
      </w:r>
      <w:r>
        <w:rPr>
          <w:color w:val="auto"/>
          <w:position w:val="-1"/>
          <w:szCs w:val="21"/>
          <w:highlight w:val="none"/>
        </w:rPr>
        <w:t>。</w:t>
      </w:r>
    </w:p>
    <w:p>
      <w:pPr>
        <w:spacing w:before="120" w:after="120" w:line="264" w:lineRule="auto"/>
        <w:ind w:firstLine="378" w:firstLineChars="200"/>
        <w:rPr>
          <w:color w:val="auto"/>
          <w:szCs w:val="21"/>
          <w:highlight w:val="none"/>
        </w:rPr>
      </w:pPr>
      <w:r>
        <w:rPr>
          <w:color w:val="auto"/>
          <w:w w:val="90"/>
          <w:szCs w:val="21"/>
          <w:highlight w:val="none"/>
        </w:rPr>
        <w:t>5.3</w:t>
      </w:r>
      <w:r>
        <w:rPr>
          <w:color w:val="auto"/>
          <w:szCs w:val="21"/>
          <w:highlight w:val="none"/>
        </w:rPr>
        <w:t>质</w:t>
      </w:r>
      <w:r>
        <w:rPr>
          <w:color w:val="auto"/>
          <w:spacing w:val="-2"/>
          <w:szCs w:val="21"/>
          <w:highlight w:val="none"/>
        </w:rPr>
        <w:t>量</w:t>
      </w:r>
      <w:r>
        <w:rPr>
          <w:color w:val="auto"/>
          <w:szCs w:val="21"/>
          <w:highlight w:val="none"/>
        </w:rPr>
        <w:t>控</w:t>
      </w:r>
      <w:r>
        <w:rPr>
          <w:color w:val="auto"/>
          <w:spacing w:val="-2"/>
          <w:szCs w:val="21"/>
          <w:highlight w:val="none"/>
        </w:rPr>
        <w:t>制</w:t>
      </w:r>
      <w:r>
        <w:rPr>
          <w:color w:val="auto"/>
          <w:szCs w:val="21"/>
          <w:highlight w:val="none"/>
        </w:rPr>
        <w:t>要求</w:t>
      </w:r>
    </w:p>
    <w:p>
      <w:pPr>
        <w:spacing w:before="120" w:after="120" w:line="264" w:lineRule="auto"/>
        <w:ind w:firstLine="420" w:firstLineChars="200"/>
        <w:rPr>
          <w:color w:val="auto"/>
          <w:szCs w:val="21"/>
          <w:highlight w:val="none"/>
        </w:rPr>
      </w:pPr>
      <w:r>
        <w:rPr>
          <w:color w:val="auto"/>
          <w:position w:val="-1"/>
          <w:szCs w:val="21"/>
          <w:highlight w:val="none"/>
        </w:rPr>
        <w:t>5.3.1</w:t>
      </w:r>
      <w:r>
        <w:rPr>
          <w:color w:val="auto"/>
          <w:spacing w:val="17"/>
          <w:position w:val="-1"/>
          <w:szCs w:val="21"/>
          <w:highlight w:val="none"/>
        </w:rPr>
        <w:t xml:space="preserve"> </w:t>
      </w:r>
      <w:r>
        <w:rPr>
          <w:color w:val="auto"/>
          <w:spacing w:val="-2"/>
          <w:position w:val="-1"/>
          <w:szCs w:val="21"/>
          <w:highlight w:val="none"/>
        </w:rPr>
        <w:t>质</w:t>
      </w:r>
      <w:r>
        <w:rPr>
          <w:color w:val="auto"/>
          <w:position w:val="-1"/>
          <w:szCs w:val="21"/>
          <w:highlight w:val="none"/>
        </w:rPr>
        <w:t>控</w:t>
      </w:r>
      <w:r>
        <w:rPr>
          <w:color w:val="auto"/>
          <w:spacing w:val="-2"/>
          <w:position w:val="-1"/>
          <w:szCs w:val="21"/>
          <w:highlight w:val="none"/>
        </w:rPr>
        <w:t>元</w:t>
      </w:r>
      <w:r>
        <w:rPr>
          <w:color w:val="auto"/>
          <w:position w:val="-1"/>
          <w:szCs w:val="21"/>
          <w:highlight w:val="none"/>
        </w:rPr>
        <w:t>素</w:t>
      </w:r>
      <w:r>
        <w:rPr>
          <w:color w:val="auto"/>
          <w:spacing w:val="-2"/>
          <w:position w:val="-1"/>
          <w:szCs w:val="21"/>
          <w:highlight w:val="none"/>
        </w:rPr>
        <w:t>（</w:t>
      </w:r>
      <w:r>
        <w:rPr>
          <w:color w:val="auto"/>
          <w:position w:val="-1"/>
          <w:szCs w:val="21"/>
          <w:highlight w:val="none"/>
        </w:rPr>
        <w:t>标</w:t>
      </w:r>
      <w:r>
        <w:rPr>
          <w:color w:val="auto"/>
          <w:spacing w:val="-2"/>
          <w:position w:val="-1"/>
          <w:szCs w:val="21"/>
          <w:highlight w:val="none"/>
        </w:rPr>
        <w:t>准</w:t>
      </w:r>
      <w:r>
        <w:rPr>
          <w:color w:val="auto"/>
          <w:position w:val="-1"/>
          <w:szCs w:val="21"/>
          <w:highlight w:val="none"/>
        </w:rPr>
        <w:t>品</w:t>
      </w:r>
      <w:r>
        <w:rPr>
          <w:color w:val="auto"/>
          <w:spacing w:val="-2"/>
          <w:position w:val="-1"/>
          <w:szCs w:val="21"/>
          <w:highlight w:val="none"/>
        </w:rPr>
        <w:t>）</w:t>
      </w:r>
      <w:r>
        <w:rPr>
          <w:color w:val="auto"/>
          <w:position w:val="-1"/>
          <w:szCs w:val="21"/>
          <w:highlight w:val="none"/>
        </w:rPr>
        <w:t>测量</w:t>
      </w:r>
      <w:r>
        <w:rPr>
          <w:color w:val="auto"/>
          <w:spacing w:val="-2"/>
          <w:position w:val="-1"/>
          <w:szCs w:val="21"/>
          <w:highlight w:val="none"/>
        </w:rPr>
        <w:t>相</w:t>
      </w:r>
      <w:r>
        <w:rPr>
          <w:color w:val="auto"/>
          <w:position w:val="-1"/>
          <w:szCs w:val="21"/>
          <w:highlight w:val="none"/>
        </w:rPr>
        <w:t>对</w:t>
      </w:r>
      <w:r>
        <w:rPr>
          <w:color w:val="auto"/>
          <w:spacing w:val="-2"/>
          <w:position w:val="-1"/>
          <w:szCs w:val="21"/>
          <w:highlight w:val="none"/>
        </w:rPr>
        <w:t>误</w:t>
      </w:r>
      <w:r>
        <w:rPr>
          <w:color w:val="auto"/>
          <w:w w:val="115"/>
          <w:position w:val="-1"/>
          <w:szCs w:val="21"/>
          <w:highlight w:val="none"/>
        </w:rPr>
        <w:t>差</w:t>
      </w:r>
      <w:r>
        <w:rPr>
          <w:color w:val="auto"/>
          <w:spacing w:val="-2"/>
          <w:w w:val="115"/>
          <w:position w:val="-1"/>
          <w:szCs w:val="21"/>
          <w:highlight w:val="none"/>
        </w:rPr>
        <w:t>≤</w:t>
      </w:r>
      <w:r>
        <w:rPr>
          <w:color w:val="auto"/>
          <w:w w:val="135"/>
          <w:position w:val="-1"/>
          <w:szCs w:val="21"/>
          <w:highlight w:val="none"/>
        </w:rPr>
        <w:t>±</w:t>
      </w:r>
      <w:r>
        <w:rPr>
          <w:color w:val="auto"/>
          <w:w w:val="90"/>
          <w:position w:val="-1"/>
          <w:szCs w:val="21"/>
          <w:highlight w:val="none"/>
        </w:rPr>
        <w:t>1</w:t>
      </w:r>
      <w:r>
        <w:rPr>
          <w:color w:val="auto"/>
          <w:spacing w:val="-2"/>
          <w:w w:val="90"/>
          <w:position w:val="-1"/>
          <w:szCs w:val="21"/>
          <w:highlight w:val="none"/>
        </w:rPr>
        <w:t>0</w:t>
      </w:r>
      <w:r>
        <w:rPr>
          <w:color w:val="auto"/>
          <w:w w:val="56"/>
          <w:position w:val="-1"/>
          <w:szCs w:val="21"/>
          <w:highlight w:val="none"/>
        </w:rPr>
        <w:t>%</w:t>
      </w:r>
      <w:r>
        <w:rPr>
          <w:color w:val="auto"/>
          <w:spacing w:val="-2"/>
          <w:position w:val="-1"/>
          <w:szCs w:val="21"/>
          <w:highlight w:val="none"/>
        </w:rPr>
        <w:t>，流</w:t>
      </w:r>
      <w:r>
        <w:rPr>
          <w:color w:val="auto"/>
          <w:position w:val="-1"/>
          <w:szCs w:val="21"/>
          <w:highlight w:val="none"/>
        </w:rPr>
        <w:t>量相</w:t>
      </w:r>
      <w:r>
        <w:rPr>
          <w:color w:val="auto"/>
          <w:spacing w:val="-2"/>
          <w:position w:val="-1"/>
          <w:szCs w:val="21"/>
          <w:highlight w:val="none"/>
        </w:rPr>
        <w:t>对</w:t>
      </w:r>
      <w:r>
        <w:rPr>
          <w:color w:val="auto"/>
          <w:position w:val="-1"/>
          <w:szCs w:val="21"/>
          <w:highlight w:val="none"/>
        </w:rPr>
        <w:t>误</w:t>
      </w:r>
      <w:r>
        <w:rPr>
          <w:color w:val="auto"/>
          <w:spacing w:val="-2"/>
          <w:position w:val="-1"/>
          <w:szCs w:val="21"/>
          <w:highlight w:val="none"/>
        </w:rPr>
        <w:t>差</w:t>
      </w:r>
      <w:r>
        <w:rPr>
          <w:color w:val="auto"/>
          <w:w w:val="135"/>
          <w:position w:val="-1"/>
          <w:szCs w:val="21"/>
          <w:highlight w:val="none"/>
        </w:rPr>
        <w:t>≤</w:t>
      </w:r>
      <w:r>
        <w:rPr>
          <w:color w:val="auto"/>
          <w:spacing w:val="-2"/>
          <w:w w:val="135"/>
          <w:position w:val="-1"/>
          <w:szCs w:val="21"/>
          <w:highlight w:val="none"/>
        </w:rPr>
        <w:t>±</w:t>
      </w:r>
      <w:r>
        <w:rPr>
          <w:color w:val="auto"/>
          <w:w w:val="90"/>
          <w:position w:val="-1"/>
          <w:szCs w:val="21"/>
          <w:highlight w:val="none"/>
        </w:rPr>
        <w:t>5</w:t>
      </w:r>
      <w:r>
        <w:rPr>
          <w:color w:val="auto"/>
          <w:w w:val="56"/>
          <w:position w:val="-1"/>
          <w:szCs w:val="21"/>
          <w:highlight w:val="none"/>
        </w:rPr>
        <w:t>%</w:t>
      </w:r>
      <w:r>
        <w:rPr>
          <w:color w:val="auto"/>
          <w:position w:val="-1"/>
          <w:szCs w:val="21"/>
          <w:highlight w:val="none"/>
        </w:rPr>
        <w:t>。</w:t>
      </w:r>
    </w:p>
    <w:p>
      <w:pPr>
        <w:spacing w:before="120" w:after="120" w:line="264" w:lineRule="auto"/>
        <w:ind w:firstLine="420" w:firstLineChars="200"/>
        <w:rPr>
          <w:color w:val="auto"/>
          <w:szCs w:val="21"/>
          <w:highlight w:val="none"/>
        </w:rPr>
      </w:pPr>
      <w:r>
        <w:rPr>
          <w:color w:val="auto"/>
          <w:szCs w:val="21"/>
          <w:highlight w:val="none"/>
        </w:rPr>
        <w:t>5.3.2</w:t>
      </w:r>
      <w:r>
        <w:rPr>
          <w:color w:val="auto"/>
          <w:spacing w:val="17"/>
          <w:szCs w:val="21"/>
          <w:highlight w:val="none"/>
        </w:rPr>
        <w:t xml:space="preserve"> </w:t>
      </w:r>
      <w:r>
        <w:rPr>
          <w:color w:val="auto"/>
          <w:spacing w:val="-2"/>
          <w:szCs w:val="21"/>
          <w:highlight w:val="none"/>
        </w:rPr>
        <w:t>每</w:t>
      </w:r>
      <w:r>
        <w:rPr>
          <w:color w:val="auto"/>
          <w:szCs w:val="21"/>
          <w:highlight w:val="none"/>
        </w:rPr>
        <w:t>月</w:t>
      </w:r>
      <w:r>
        <w:rPr>
          <w:color w:val="auto"/>
          <w:spacing w:val="-2"/>
          <w:szCs w:val="21"/>
          <w:highlight w:val="none"/>
        </w:rPr>
        <w:t>质</w:t>
      </w:r>
      <w:r>
        <w:rPr>
          <w:color w:val="auto"/>
          <w:szCs w:val="21"/>
          <w:highlight w:val="none"/>
        </w:rPr>
        <w:t>控</w:t>
      </w:r>
      <w:r>
        <w:rPr>
          <w:color w:val="auto"/>
          <w:spacing w:val="-2"/>
          <w:szCs w:val="21"/>
          <w:highlight w:val="none"/>
        </w:rPr>
        <w:t>内</w:t>
      </w:r>
      <w:r>
        <w:rPr>
          <w:color w:val="auto"/>
          <w:szCs w:val="21"/>
          <w:highlight w:val="none"/>
        </w:rPr>
        <w:t>容：</w:t>
      </w:r>
    </w:p>
    <w:p>
      <w:pPr>
        <w:spacing w:before="120" w:after="120" w:line="264" w:lineRule="auto"/>
        <w:ind w:firstLine="420" w:firstLineChars="200"/>
        <w:rPr>
          <w:color w:val="auto"/>
          <w:szCs w:val="21"/>
          <w:highlight w:val="none"/>
        </w:rPr>
      </w:pPr>
      <w:r>
        <w:rPr>
          <w:color w:val="auto"/>
          <w:szCs w:val="21"/>
          <w:highlight w:val="none"/>
        </w:rPr>
        <w:t>5.3.2.1 空白</w:t>
      </w:r>
      <w:r>
        <w:rPr>
          <w:color w:val="auto"/>
          <w:spacing w:val="-2"/>
          <w:szCs w:val="21"/>
          <w:highlight w:val="none"/>
        </w:rPr>
        <w:t>测</w:t>
      </w:r>
      <w:r>
        <w:rPr>
          <w:color w:val="auto"/>
          <w:szCs w:val="21"/>
          <w:highlight w:val="none"/>
        </w:rPr>
        <w:t>试</w:t>
      </w:r>
      <w:r>
        <w:rPr>
          <w:rFonts w:hint="eastAsia"/>
          <w:color w:val="auto"/>
          <w:spacing w:val="-55"/>
          <w:szCs w:val="21"/>
          <w:highlight w:val="none"/>
        </w:rPr>
        <w:t>，</w:t>
      </w:r>
      <w:r>
        <w:rPr>
          <w:color w:val="auto"/>
          <w:spacing w:val="-2"/>
          <w:w w:val="90"/>
          <w:szCs w:val="21"/>
          <w:highlight w:val="none"/>
        </w:rPr>
        <w:t>8</w:t>
      </w:r>
      <w:r>
        <w:rPr>
          <w:color w:val="auto"/>
          <w:w w:val="69"/>
          <w:szCs w:val="21"/>
          <w:highlight w:val="none"/>
        </w:rPr>
        <w:t>0%</w:t>
      </w:r>
      <w:r>
        <w:rPr>
          <w:color w:val="auto"/>
          <w:spacing w:val="-2"/>
          <w:szCs w:val="21"/>
          <w:highlight w:val="none"/>
        </w:rPr>
        <w:t>的</w:t>
      </w:r>
      <w:r>
        <w:rPr>
          <w:color w:val="auto"/>
          <w:szCs w:val="21"/>
          <w:highlight w:val="none"/>
        </w:rPr>
        <w:t>目</w:t>
      </w:r>
      <w:r>
        <w:rPr>
          <w:color w:val="auto"/>
          <w:spacing w:val="-2"/>
          <w:szCs w:val="21"/>
          <w:highlight w:val="none"/>
        </w:rPr>
        <w:t>标</w:t>
      </w:r>
      <w:r>
        <w:rPr>
          <w:color w:val="auto"/>
          <w:szCs w:val="21"/>
          <w:highlight w:val="none"/>
        </w:rPr>
        <w:t>物</w:t>
      </w:r>
      <w:r>
        <w:rPr>
          <w:color w:val="auto"/>
          <w:spacing w:val="-2"/>
          <w:szCs w:val="21"/>
          <w:highlight w:val="none"/>
        </w:rPr>
        <w:t>质</w:t>
      </w:r>
      <w:r>
        <w:rPr>
          <w:color w:val="auto"/>
          <w:szCs w:val="21"/>
          <w:highlight w:val="none"/>
        </w:rPr>
        <w:t>空白</w:t>
      </w:r>
      <w:r>
        <w:rPr>
          <w:color w:val="auto"/>
          <w:spacing w:val="-2"/>
          <w:szCs w:val="21"/>
          <w:highlight w:val="none"/>
        </w:rPr>
        <w:t>测</w:t>
      </w:r>
      <w:r>
        <w:rPr>
          <w:color w:val="auto"/>
          <w:szCs w:val="21"/>
          <w:highlight w:val="none"/>
        </w:rPr>
        <w:t>试</w:t>
      </w:r>
      <w:r>
        <w:rPr>
          <w:color w:val="auto"/>
          <w:spacing w:val="-2"/>
          <w:szCs w:val="21"/>
          <w:highlight w:val="none"/>
        </w:rPr>
        <w:t>结</w:t>
      </w:r>
      <w:r>
        <w:rPr>
          <w:color w:val="auto"/>
          <w:szCs w:val="21"/>
          <w:highlight w:val="none"/>
        </w:rPr>
        <w:t>果</w:t>
      </w:r>
      <w:r>
        <w:rPr>
          <w:color w:val="auto"/>
          <w:spacing w:val="-2"/>
          <w:szCs w:val="21"/>
          <w:highlight w:val="none"/>
        </w:rPr>
        <w:t>应</w:t>
      </w:r>
      <w:r>
        <w:rPr>
          <w:color w:val="auto"/>
          <w:szCs w:val="21"/>
          <w:highlight w:val="none"/>
        </w:rPr>
        <w:t>小</w:t>
      </w:r>
      <w:r>
        <w:rPr>
          <w:color w:val="auto"/>
          <w:spacing w:val="-2"/>
          <w:szCs w:val="21"/>
          <w:highlight w:val="none"/>
        </w:rPr>
        <w:t>于</w:t>
      </w:r>
      <w:r>
        <w:rPr>
          <w:color w:val="auto"/>
          <w:szCs w:val="21"/>
          <w:highlight w:val="none"/>
        </w:rPr>
        <w:t>仪</w:t>
      </w:r>
      <w:r>
        <w:rPr>
          <w:color w:val="auto"/>
          <w:spacing w:val="-2"/>
          <w:szCs w:val="21"/>
          <w:highlight w:val="none"/>
        </w:rPr>
        <w:t>器</w:t>
      </w:r>
      <w:r>
        <w:rPr>
          <w:color w:val="auto"/>
          <w:szCs w:val="21"/>
          <w:highlight w:val="none"/>
        </w:rPr>
        <w:t>检出</w:t>
      </w:r>
      <w:r>
        <w:rPr>
          <w:color w:val="auto"/>
          <w:spacing w:val="-2"/>
          <w:szCs w:val="21"/>
          <w:highlight w:val="none"/>
        </w:rPr>
        <w:t>限</w:t>
      </w:r>
      <w:r>
        <w:rPr>
          <w:color w:val="auto"/>
          <w:spacing w:val="-55"/>
          <w:szCs w:val="21"/>
          <w:highlight w:val="none"/>
        </w:rPr>
        <w:t>，</w:t>
      </w:r>
      <w:r>
        <w:rPr>
          <w:color w:val="auto"/>
          <w:spacing w:val="-2"/>
          <w:szCs w:val="21"/>
          <w:highlight w:val="none"/>
        </w:rPr>
        <w:t>所</w:t>
      </w:r>
      <w:r>
        <w:rPr>
          <w:color w:val="auto"/>
          <w:szCs w:val="21"/>
          <w:highlight w:val="none"/>
        </w:rPr>
        <w:t>有</w:t>
      </w:r>
      <w:r>
        <w:rPr>
          <w:color w:val="auto"/>
          <w:spacing w:val="-2"/>
          <w:szCs w:val="21"/>
          <w:highlight w:val="none"/>
        </w:rPr>
        <w:t>目</w:t>
      </w:r>
      <w:r>
        <w:rPr>
          <w:color w:val="auto"/>
          <w:szCs w:val="21"/>
          <w:highlight w:val="none"/>
        </w:rPr>
        <w:t>标</w:t>
      </w:r>
      <w:r>
        <w:rPr>
          <w:color w:val="auto"/>
          <w:spacing w:val="-2"/>
          <w:szCs w:val="21"/>
          <w:highlight w:val="none"/>
        </w:rPr>
        <w:t>物</w:t>
      </w:r>
      <w:r>
        <w:rPr>
          <w:color w:val="auto"/>
          <w:szCs w:val="21"/>
          <w:highlight w:val="none"/>
        </w:rPr>
        <w:t>质</w:t>
      </w:r>
      <w:r>
        <w:rPr>
          <w:color w:val="auto"/>
          <w:spacing w:val="-2"/>
          <w:szCs w:val="21"/>
          <w:highlight w:val="none"/>
        </w:rPr>
        <w:t>空</w:t>
      </w:r>
      <w:r>
        <w:rPr>
          <w:color w:val="auto"/>
          <w:szCs w:val="21"/>
          <w:highlight w:val="none"/>
        </w:rPr>
        <w:t>白测</w:t>
      </w:r>
      <w:r>
        <w:rPr>
          <w:color w:val="auto"/>
          <w:spacing w:val="-2"/>
          <w:szCs w:val="21"/>
          <w:highlight w:val="none"/>
        </w:rPr>
        <w:t>试</w:t>
      </w:r>
      <w:r>
        <w:rPr>
          <w:color w:val="auto"/>
          <w:szCs w:val="21"/>
          <w:highlight w:val="none"/>
        </w:rPr>
        <w:t>结</w:t>
      </w:r>
      <w:r>
        <w:rPr>
          <w:color w:val="auto"/>
          <w:spacing w:val="-2"/>
          <w:szCs w:val="21"/>
          <w:highlight w:val="none"/>
        </w:rPr>
        <w:t>果</w:t>
      </w:r>
      <w:r>
        <w:rPr>
          <w:color w:val="auto"/>
          <w:szCs w:val="21"/>
          <w:highlight w:val="none"/>
        </w:rPr>
        <w:t>应</w:t>
      </w:r>
      <w:r>
        <w:rPr>
          <w:color w:val="auto"/>
          <w:spacing w:val="-2"/>
          <w:szCs w:val="21"/>
          <w:highlight w:val="none"/>
        </w:rPr>
        <w:t>小</w:t>
      </w:r>
      <w:r>
        <w:rPr>
          <w:color w:val="auto"/>
          <w:szCs w:val="21"/>
          <w:highlight w:val="none"/>
        </w:rPr>
        <w:t>于</w:t>
      </w:r>
      <w:r>
        <w:rPr>
          <w:color w:val="auto"/>
          <w:spacing w:val="-2"/>
          <w:szCs w:val="21"/>
          <w:highlight w:val="none"/>
        </w:rPr>
        <w:t>仪</w:t>
      </w:r>
      <w:r>
        <w:rPr>
          <w:color w:val="auto"/>
          <w:szCs w:val="21"/>
          <w:highlight w:val="none"/>
        </w:rPr>
        <w:t>器测定</w:t>
      </w:r>
      <w:r>
        <w:rPr>
          <w:color w:val="auto"/>
          <w:spacing w:val="-2"/>
          <w:szCs w:val="21"/>
          <w:highlight w:val="none"/>
        </w:rPr>
        <w:t>下</w:t>
      </w:r>
      <w:r>
        <w:rPr>
          <w:color w:val="auto"/>
          <w:szCs w:val="21"/>
          <w:highlight w:val="none"/>
        </w:rPr>
        <w:t>限。 采样</w:t>
      </w:r>
      <w:r>
        <w:rPr>
          <w:color w:val="auto"/>
          <w:spacing w:val="-2"/>
          <w:szCs w:val="21"/>
          <w:highlight w:val="none"/>
        </w:rPr>
        <w:t>流</w:t>
      </w:r>
      <w:r>
        <w:rPr>
          <w:color w:val="auto"/>
          <w:szCs w:val="21"/>
          <w:highlight w:val="none"/>
        </w:rPr>
        <w:t>量</w:t>
      </w:r>
      <w:r>
        <w:rPr>
          <w:color w:val="auto"/>
          <w:spacing w:val="-2"/>
          <w:szCs w:val="21"/>
          <w:highlight w:val="none"/>
        </w:rPr>
        <w:t>核</w:t>
      </w:r>
      <w:r>
        <w:rPr>
          <w:color w:val="auto"/>
          <w:szCs w:val="21"/>
          <w:highlight w:val="none"/>
        </w:rPr>
        <w:t>查</w:t>
      </w:r>
      <w:r>
        <w:rPr>
          <w:color w:val="auto"/>
          <w:spacing w:val="-2"/>
          <w:szCs w:val="21"/>
          <w:highlight w:val="none"/>
        </w:rPr>
        <w:t>，</w:t>
      </w:r>
      <w:r>
        <w:rPr>
          <w:color w:val="auto"/>
          <w:szCs w:val="21"/>
          <w:highlight w:val="none"/>
        </w:rPr>
        <w:t>流</w:t>
      </w:r>
      <w:r>
        <w:rPr>
          <w:color w:val="auto"/>
          <w:spacing w:val="-2"/>
          <w:szCs w:val="21"/>
          <w:highlight w:val="none"/>
        </w:rPr>
        <w:t>量</w:t>
      </w:r>
      <w:r>
        <w:rPr>
          <w:color w:val="auto"/>
          <w:szCs w:val="21"/>
          <w:highlight w:val="none"/>
        </w:rPr>
        <w:t>偏</w:t>
      </w:r>
      <w:r>
        <w:rPr>
          <w:color w:val="auto"/>
          <w:spacing w:val="-2"/>
          <w:szCs w:val="21"/>
          <w:highlight w:val="none"/>
        </w:rPr>
        <w:t>差</w:t>
      </w:r>
      <w:r>
        <w:rPr>
          <w:color w:val="auto"/>
          <w:w w:val="115"/>
          <w:szCs w:val="21"/>
          <w:highlight w:val="none"/>
        </w:rPr>
        <w:t>在±</w:t>
      </w:r>
      <w:r>
        <w:rPr>
          <w:color w:val="auto"/>
          <w:w w:val="69"/>
          <w:szCs w:val="21"/>
          <w:highlight w:val="none"/>
        </w:rPr>
        <w:t>5</w:t>
      </w:r>
      <w:r>
        <w:rPr>
          <w:rFonts w:hint="eastAsia"/>
          <w:color w:val="auto"/>
          <w:spacing w:val="-2"/>
          <w:w w:val="69"/>
          <w:szCs w:val="21"/>
          <w:highlight w:val="none"/>
        </w:rPr>
        <w:t>%</w:t>
      </w:r>
      <w:r>
        <w:rPr>
          <w:color w:val="auto"/>
          <w:szCs w:val="21"/>
          <w:highlight w:val="none"/>
        </w:rPr>
        <w:t>以</w:t>
      </w:r>
      <w:r>
        <w:rPr>
          <w:color w:val="auto"/>
          <w:spacing w:val="-2"/>
          <w:szCs w:val="21"/>
          <w:highlight w:val="none"/>
        </w:rPr>
        <w:t>内</w:t>
      </w:r>
      <w:r>
        <w:rPr>
          <w:color w:val="auto"/>
          <w:szCs w:val="21"/>
          <w:highlight w:val="none"/>
        </w:rPr>
        <w:t>，</w:t>
      </w:r>
      <w:r>
        <w:rPr>
          <w:color w:val="auto"/>
          <w:spacing w:val="-2"/>
          <w:szCs w:val="21"/>
          <w:highlight w:val="none"/>
        </w:rPr>
        <w:t>超</w:t>
      </w:r>
      <w:r>
        <w:rPr>
          <w:color w:val="auto"/>
          <w:w w:val="115"/>
          <w:szCs w:val="21"/>
          <w:highlight w:val="none"/>
        </w:rPr>
        <w:t>过</w:t>
      </w:r>
      <w:r>
        <w:rPr>
          <w:color w:val="auto"/>
          <w:spacing w:val="-3"/>
          <w:w w:val="115"/>
          <w:szCs w:val="21"/>
          <w:highlight w:val="none"/>
        </w:rPr>
        <w:t>±</w:t>
      </w:r>
      <w:r>
        <w:rPr>
          <w:color w:val="auto"/>
          <w:w w:val="69"/>
          <w:szCs w:val="21"/>
          <w:highlight w:val="none"/>
        </w:rPr>
        <w:t>5%</w:t>
      </w:r>
      <w:r>
        <w:rPr>
          <w:color w:val="auto"/>
          <w:spacing w:val="-2"/>
          <w:szCs w:val="21"/>
          <w:highlight w:val="none"/>
        </w:rPr>
        <w:t>，</w:t>
      </w:r>
      <w:r>
        <w:rPr>
          <w:color w:val="auto"/>
          <w:szCs w:val="21"/>
          <w:highlight w:val="none"/>
        </w:rPr>
        <w:t>需进</w:t>
      </w:r>
      <w:r>
        <w:rPr>
          <w:color w:val="auto"/>
          <w:spacing w:val="-2"/>
          <w:szCs w:val="21"/>
          <w:highlight w:val="none"/>
        </w:rPr>
        <w:t>行</w:t>
      </w:r>
      <w:r>
        <w:rPr>
          <w:color w:val="auto"/>
          <w:szCs w:val="21"/>
          <w:highlight w:val="none"/>
        </w:rPr>
        <w:t>校</w:t>
      </w:r>
      <w:r>
        <w:rPr>
          <w:color w:val="auto"/>
          <w:spacing w:val="-2"/>
          <w:szCs w:val="21"/>
          <w:highlight w:val="none"/>
        </w:rPr>
        <w:t>准</w:t>
      </w:r>
      <w:r>
        <w:rPr>
          <w:color w:val="auto"/>
          <w:szCs w:val="21"/>
          <w:highlight w:val="none"/>
        </w:rPr>
        <w:t>； 环境</w:t>
      </w:r>
      <w:r>
        <w:rPr>
          <w:color w:val="auto"/>
          <w:spacing w:val="-2"/>
          <w:szCs w:val="21"/>
          <w:highlight w:val="none"/>
        </w:rPr>
        <w:t>温</w:t>
      </w:r>
      <w:r>
        <w:rPr>
          <w:color w:val="auto"/>
          <w:szCs w:val="21"/>
          <w:highlight w:val="none"/>
        </w:rPr>
        <w:t>度</w:t>
      </w:r>
      <w:r>
        <w:rPr>
          <w:color w:val="auto"/>
          <w:spacing w:val="-2"/>
          <w:szCs w:val="21"/>
          <w:highlight w:val="none"/>
        </w:rPr>
        <w:t>和</w:t>
      </w:r>
      <w:r>
        <w:rPr>
          <w:color w:val="auto"/>
          <w:szCs w:val="21"/>
          <w:highlight w:val="none"/>
        </w:rPr>
        <w:t>气</w:t>
      </w:r>
      <w:r>
        <w:rPr>
          <w:color w:val="auto"/>
          <w:spacing w:val="-2"/>
          <w:szCs w:val="21"/>
          <w:highlight w:val="none"/>
        </w:rPr>
        <w:t>压</w:t>
      </w:r>
      <w:r>
        <w:rPr>
          <w:color w:val="auto"/>
          <w:szCs w:val="21"/>
          <w:highlight w:val="none"/>
        </w:rPr>
        <w:t>核查</w:t>
      </w:r>
      <w:r>
        <w:rPr>
          <w:color w:val="auto"/>
          <w:spacing w:val="-7"/>
          <w:szCs w:val="21"/>
          <w:highlight w:val="none"/>
        </w:rPr>
        <w:t>，</w:t>
      </w:r>
      <w:r>
        <w:rPr>
          <w:color w:val="auto"/>
          <w:spacing w:val="-2"/>
          <w:szCs w:val="21"/>
          <w:highlight w:val="none"/>
        </w:rPr>
        <w:t>环</w:t>
      </w:r>
      <w:r>
        <w:rPr>
          <w:color w:val="auto"/>
          <w:szCs w:val="21"/>
          <w:highlight w:val="none"/>
        </w:rPr>
        <w:t>境温</w:t>
      </w:r>
      <w:r>
        <w:rPr>
          <w:color w:val="auto"/>
          <w:spacing w:val="-2"/>
          <w:szCs w:val="21"/>
          <w:highlight w:val="none"/>
        </w:rPr>
        <w:t>度</w:t>
      </w:r>
      <w:r>
        <w:rPr>
          <w:color w:val="auto"/>
          <w:szCs w:val="21"/>
          <w:highlight w:val="none"/>
        </w:rPr>
        <w:t>偏</w:t>
      </w:r>
      <w:r>
        <w:rPr>
          <w:color w:val="auto"/>
          <w:spacing w:val="-2"/>
          <w:szCs w:val="21"/>
          <w:highlight w:val="none"/>
        </w:rPr>
        <w:t>差</w:t>
      </w:r>
      <w:r>
        <w:rPr>
          <w:color w:val="auto"/>
          <w:w w:val="115"/>
          <w:szCs w:val="21"/>
          <w:highlight w:val="none"/>
        </w:rPr>
        <w:t>在</w:t>
      </w:r>
      <w:r>
        <w:rPr>
          <w:color w:val="auto"/>
          <w:spacing w:val="-2"/>
          <w:w w:val="115"/>
          <w:szCs w:val="21"/>
          <w:highlight w:val="none"/>
        </w:rPr>
        <w:t>±</w:t>
      </w:r>
      <w:r>
        <w:rPr>
          <w:color w:val="auto"/>
          <w:w w:val="90"/>
          <w:szCs w:val="21"/>
          <w:highlight w:val="none"/>
        </w:rPr>
        <w:t>2</w:t>
      </w:r>
      <w:r>
        <w:rPr>
          <w:color w:val="auto"/>
          <w:w w:val="40"/>
          <w:szCs w:val="21"/>
          <w:highlight w:val="none"/>
        </w:rPr>
        <w:t></w:t>
      </w:r>
      <w:r>
        <w:rPr>
          <w:color w:val="auto"/>
          <w:w w:val="69"/>
          <w:szCs w:val="21"/>
          <w:highlight w:val="none"/>
        </w:rPr>
        <w:t>℃</w:t>
      </w:r>
      <w:r>
        <w:rPr>
          <w:color w:val="auto"/>
          <w:spacing w:val="-8"/>
          <w:szCs w:val="21"/>
          <w:highlight w:val="none"/>
        </w:rPr>
        <w:t xml:space="preserve"> </w:t>
      </w:r>
      <w:r>
        <w:rPr>
          <w:color w:val="auto"/>
          <w:szCs w:val="21"/>
          <w:highlight w:val="none"/>
        </w:rPr>
        <w:t>以内</w:t>
      </w:r>
      <w:r>
        <w:rPr>
          <w:color w:val="auto"/>
          <w:spacing w:val="-7"/>
          <w:szCs w:val="21"/>
          <w:highlight w:val="none"/>
        </w:rPr>
        <w:t>，</w:t>
      </w:r>
      <w:r>
        <w:rPr>
          <w:color w:val="auto"/>
          <w:szCs w:val="21"/>
          <w:highlight w:val="none"/>
        </w:rPr>
        <w:t>偏差</w:t>
      </w:r>
      <w:r>
        <w:rPr>
          <w:color w:val="auto"/>
          <w:spacing w:val="-2"/>
          <w:szCs w:val="21"/>
          <w:highlight w:val="none"/>
        </w:rPr>
        <w:t>超</w:t>
      </w:r>
      <w:r>
        <w:rPr>
          <w:color w:val="auto"/>
          <w:w w:val="115"/>
          <w:szCs w:val="21"/>
          <w:highlight w:val="none"/>
        </w:rPr>
        <w:t>过</w:t>
      </w:r>
      <w:r>
        <w:rPr>
          <w:color w:val="auto"/>
          <w:spacing w:val="-2"/>
          <w:w w:val="115"/>
          <w:szCs w:val="21"/>
          <w:highlight w:val="none"/>
        </w:rPr>
        <w:t>±</w:t>
      </w:r>
      <w:r>
        <w:rPr>
          <w:color w:val="auto"/>
          <w:w w:val="90"/>
          <w:szCs w:val="21"/>
          <w:highlight w:val="none"/>
        </w:rPr>
        <w:t>2</w:t>
      </w:r>
      <w:r>
        <w:rPr>
          <w:color w:val="auto"/>
          <w:w w:val="40"/>
          <w:szCs w:val="21"/>
          <w:highlight w:val="none"/>
        </w:rPr>
        <w:t></w:t>
      </w:r>
      <w:r>
        <w:rPr>
          <w:color w:val="auto"/>
          <w:w w:val="69"/>
          <w:szCs w:val="21"/>
          <w:highlight w:val="none"/>
        </w:rPr>
        <w:t>℃</w:t>
      </w:r>
      <w:r>
        <w:rPr>
          <w:color w:val="auto"/>
          <w:spacing w:val="-5"/>
          <w:szCs w:val="21"/>
          <w:highlight w:val="none"/>
        </w:rPr>
        <w:t>，</w:t>
      </w:r>
      <w:r>
        <w:rPr>
          <w:color w:val="auto"/>
          <w:spacing w:val="-2"/>
          <w:szCs w:val="21"/>
          <w:highlight w:val="none"/>
        </w:rPr>
        <w:t>则</w:t>
      </w:r>
      <w:r>
        <w:rPr>
          <w:color w:val="auto"/>
          <w:szCs w:val="21"/>
          <w:highlight w:val="none"/>
        </w:rPr>
        <w:t>进</w:t>
      </w:r>
      <w:r>
        <w:rPr>
          <w:color w:val="auto"/>
          <w:spacing w:val="-2"/>
          <w:szCs w:val="21"/>
          <w:highlight w:val="none"/>
        </w:rPr>
        <w:t>行校</w:t>
      </w:r>
      <w:r>
        <w:rPr>
          <w:color w:val="auto"/>
          <w:szCs w:val="21"/>
          <w:highlight w:val="none"/>
        </w:rPr>
        <w:t>准</w:t>
      </w:r>
      <w:r>
        <w:rPr>
          <w:color w:val="auto"/>
          <w:spacing w:val="-5"/>
          <w:szCs w:val="21"/>
          <w:highlight w:val="none"/>
        </w:rPr>
        <w:t>；</w:t>
      </w:r>
      <w:r>
        <w:rPr>
          <w:color w:val="auto"/>
          <w:szCs w:val="21"/>
          <w:highlight w:val="none"/>
        </w:rPr>
        <w:t>环</w:t>
      </w:r>
      <w:r>
        <w:rPr>
          <w:color w:val="auto"/>
          <w:spacing w:val="-2"/>
          <w:szCs w:val="21"/>
          <w:highlight w:val="none"/>
        </w:rPr>
        <w:t>境</w:t>
      </w:r>
      <w:r>
        <w:rPr>
          <w:color w:val="auto"/>
          <w:szCs w:val="21"/>
          <w:highlight w:val="none"/>
        </w:rPr>
        <w:t>气</w:t>
      </w:r>
      <w:r>
        <w:rPr>
          <w:color w:val="auto"/>
          <w:spacing w:val="-2"/>
          <w:szCs w:val="21"/>
          <w:highlight w:val="none"/>
        </w:rPr>
        <w:t>压</w:t>
      </w:r>
      <w:r>
        <w:rPr>
          <w:color w:val="auto"/>
          <w:szCs w:val="21"/>
          <w:highlight w:val="none"/>
        </w:rPr>
        <w:t>偏</w:t>
      </w:r>
      <w:r>
        <w:rPr>
          <w:color w:val="auto"/>
          <w:spacing w:val="-2"/>
          <w:szCs w:val="21"/>
          <w:highlight w:val="none"/>
        </w:rPr>
        <w:t>差</w:t>
      </w:r>
      <w:r>
        <w:rPr>
          <w:color w:val="auto"/>
          <w:szCs w:val="21"/>
          <w:highlight w:val="none"/>
        </w:rPr>
        <w:t>在</w:t>
      </w:r>
      <w:r>
        <w:rPr>
          <w:color w:val="auto"/>
          <w:w w:val="135"/>
          <w:szCs w:val="21"/>
          <w:highlight w:val="none"/>
        </w:rPr>
        <w:t>±</w:t>
      </w:r>
      <w:r>
        <w:rPr>
          <w:color w:val="auto"/>
          <w:w w:val="90"/>
          <w:szCs w:val="21"/>
          <w:highlight w:val="none"/>
        </w:rPr>
        <w:t>10h</w:t>
      </w:r>
      <w:r>
        <w:rPr>
          <w:color w:val="auto"/>
          <w:spacing w:val="-2"/>
          <w:w w:val="90"/>
          <w:szCs w:val="21"/>
          <w:highlight w:val="none"/>
        </w:rPr>
        <w:t>p</w:t>
      </w:r>
      <w:r>
        <w:rPr>
          <w:color w:val="auto"/>
          <w:w w:val="90"/>
          <w:szCs w:val="21"/>
          <w:highlight w:val="none"/>
        </w:rPr>
        <w:t>a</w:t>
      </w:r>
      <w:r>
        <w:rPr>
          <w:color w:val="auto"/>
          <w:spacing w:val="-6"/>
          <w:szCs w:val="21"/>
          <w:highlight w:val="none"/>
        </w:rPr>
        <w:t xml:space="preserve"> </w:t>
      </w:r>
      <w:r>
        <w:rPr>
          <w:color w:val="auto"/>
          <w:spacing w:val="-2"/>
          <w:szCs w:val="21"/>
          <w:highlight w:val="none"/>
        </w:rPr>
        <w:t>以</w:t>
      </w:r>
      <w:r>
        <w:rPr>
          <w:color w:val="auto"/>
          <w:szCs w:val="21"/>
          <w:highlight w:val="none"/>
        </w:rPr>
        <w:t>内</w:t>
      </w:r>
      <w:r>
        <w:rPr>
          <w:color w:val="auto"/>
          <w:spacing w:val="-2"/>
          <w:szCs w:val="21"/>
          <w:highlight w:val="none"/>
        </w:rPr>
        <w:t>，</w:t>
      </w:r>
      <w:r>
        <w:rPr>
          <w:color w:val="auto"/>
          <w:szCs w:val="21"/>
          <w:highlight w:val="none"/>
        </w:rPr>
        <w:t>偏</w:t>
      </w:r>
      <w:r>
        <w:rPr>
          <w:color w:val="auto"/>
          <w:spacing w:val="-2"/>
          <w:szCs w:val="21"/>
          <w:highlight w:val="none"/>
        </w:rPr>
        <w:t>差</w:t>
      </w:r>
      <w:r>
        <w:rPr>
          <w:color w:val="auto"/>
          <w:szCs w:val="21"/>
          <w:highlight w:val="none"/>
        </w:rPr>
        <w:t>超</w:t>
      </w:r>
      <w:r>
        <w:rPr>
          <w:color w:val="auto"/>
          <w:spacing w:val="-2"/>
          <w:szCs w:val="21"/>
          <w:highlight w:val="none"/>
        </w:rPr>
        <w:t>过</w:t>
      </w:r>
      <w:r>
        <w:rPr>
          <w:color w:val="auto"/>
          <w:w w:val="135"/>
          <w:szCs w:val="21"/>
          <w:highlight w:val="none"/>
        </w:rPr>
        <w:t>±</w:t>
      </w:r>
      <w:r>
        <w:rPr>
          <w:color w:val="auto"/>
          <w:w w:val="90"/>
          <w:szCs w:val="21"/>
          <w:highlight w:val="none"/>
        </w:rPr>
        <w:t>10h</w:t>
      </w:r>
      <w:r>
        <w:rPr>
          <w:color w:val="auto"/>
          <w:spacing w:val="-2"/>
          <w:w w:val="90"/>
          <w:szCs w:val="21"/>
          <w:highlight w:val="none"/>
        </w:rPr>
        <w:t>p</w:t>
      </w:r>
      <w:r>
        <w:rPr>
          <w:color w:val="auto"/>
          <w:w w:val="90"/>
          <w:szCs w:val="21"/>
          <w:highlight w:val="none"/>
        </w:rPr>
        <w:t>a</w:t>
      </w:r>
      <w:r>
        <w:rPr>
          <w:color w:val="auto"/>
          <w:spacing w:val="-2"/>
          <w:szCs w:val="21"/>
          <w:highlight w:val="none"/>
        </w:rPr>
        <w:t>，</w:t>
      </w:r>
      <w:r>
        <w:rPr>
          <w:color w:val="auto"/>
          <w:szCs w:val="21"/>
          <w:highlight w:val="none"/>
        </w:rPr>
        <w:t>则</w:t>
      </w:r>
      <w:r>
        <w:rPr>
          <w:color w:val="auto"/>
          <w:spacing w:val="-2"/>
          <w:szCs w:val="21"/>
          <w:highlight w:val="none"/>
        </w:rPr>
        <w:t>进</w:t>
      </w:r>
      <w:r>
        <w:rPr>
          <w:color w:val="auto"/>
          <w:szCs w:val="21"/>
          <w:highlight w:val="none"/>
        </w:rPr>
        <w:t>行</w:t>
      </w:r>
      <w:r>
        <w:rPr>
          <w:color w:val="auto"/>
          <w:spacing w:val="-2"/>
          <w:szCs w:val="21"/>
          <w:highlight w:val="none"/>
        </w:rPr>
        <w:t>校</w:t>
      </w:r>
      <w:r>
        <w:rPr>
          <w:color w:val="auto"/>
          <w:szCs w:val="21"/>
          <w:highlight w:val="none"/>
        </w:rPr>
        <w:t>准。每月</w:t>
      </w:r>
      <w:r>
        <w:rPr>
          <w:color w:val="auto"/>
          <w:spacing w:val="-2"/>
          <w:szCs w:val="21"/>
          <w:highlight w:val="none"/>
        </w:rPr>
        <w:t>至</w:t>
      </w:r>
      <w:r>
        <w:rPr>
          <w:color w:val="auto"/>
          <w:szCs w:val="21"/>
          <w:highlight w:val="none"/>
        </w:rPr>
        <w:t>少</w:t>
      </w:r>
      <w:r>
        <w:rPr>
          <w:color w:val="auto"/>
          <w:spacing w:val="-2"/>
          <w:szCs w:val="21"/>
          <w:highlight w:val="none"/>
        </w:rPr>
        <w:t>进</w:t>
      </w:r>
      <w:r>
        <w:rPr>
          <w:color w:val="auto"/>
          <w:szCs w:val="21"/>
          <w:highlight w:val="none"/>
        </w:rPr>
        <w:t>行</w:t>
      </w:r>
      <w:r>
        <w:rPr>
          <w:color w:val="auto"/>
          <w:spacing w:val="-2"/>
          <w:szCs w:val="21"/>
          <w:highlight w:val="none"/>
        </w:rPr>
        <w:t>一</w:t>
      </w:r>
      <w:r>
        <w:rPr>
          <w:color w:val="auto"/>
          <w:szCs w:val="21"/>
          <w:highlight w:val="none"/>
        </w:rPr>
        <w:t>次</w:t>
      </w:r>
      <w:r>
        <w:rPr>
          <w:color w:val="auto"/>
          <w:spacing w:val="-2"/>
          <w:szCs w:val="21"/>
          <w:highlight w:val="none"/>
        </w:rPr>
        <w:t>仪</w:t>
      </w:r>
      <w:r>
        <w:rPr>
          <w:color w:val="auto"/>
          <w:szCs w:val="21"/>
          <w:highlight w:val="none"/>
        </w:rPr>
        <w:t>器</w:t>
      </w:r>
      <w:r>
        <w:rPr>
          <w:color w:val="auto"/>
          <w:spacing w:val="-2"/>
          <w:szCs w:val="21"/>
          <w:highlight w:val="none"/>
        </w:rPr>
        <w:t>原</w:t>
      </w:r>
      <w:r>
        <w:rPr>
          <w:color w:val="auto"/>
          <w:szCs w:val="21"/>
          <w:highlight w:val="none"/>
        </w:rPr>
        <w:t>始数</w:t>
      </w:r>
      <w:r>
        <w:rPr>
          <w:color w:val="auto"/>
          <w:spacing w:val="-2"/>
          <w:szCs w:val="21"/>
          <w:highlight w:val="none"/>
        </w:rPr>
        <w:t>据</w:t>
      </w:r>
      <w:r>
        <w:rPr>
          <w:color w:val="auto"/>
          <w:szCs w:val="21"/>
          <w:highlight w:val="none"/>
        </w:rPr>
        <w:t>备</w:t>
      </w:r>
      <w:r>
        <w:rPr>
          <w:color w:val="auto"/>
          <w:spacing w:val="-2"/>
          <w:szCs w:val="21"/>
          <w:highlight w:val="none"/>
        </w:rPr>
        <w:t>份</w:t>
      </w:r>
      <w:r>
        <w:rPr>
          <w:color w:val="auto"/>
          <w:szCs w:val="21"/>
          <w:highlight w:val="none"/>
        </w:rPr>
        <w:t>。</w:t>
      </w:r>
    </w:p>
    <w:p>
      <w:pPr>
        <w:spacing w:before="120" w:after="120" w:line="264" w:lineRule="auto"/>
        <w:ind w:firstLine="378" w:firstLineChars="200"/>
        <w:rPr>
          <w:color w:val="auto"/>
          <w:szCs w:val="21"/>
          <w:highlight w:val="none"/>
        </w:rPr>
      </w:pPr>
      <w:r>
        <w:rPr>
          <w:color w:val="auto"/>
          <w:w w:val="90"/>
          <w:position w:val="-1"/>
          <w:szCs w:val="21"/>
          <w:highlight w:val="none"/>
        </w:rPr>
        <w:t>5.3.3</w:t>
      </w:r>
      <w:r>
        <w:rPr>
          <w:color w:val="auto"/>
          <w:spacing w:val="-6"/>
          <w:position w:val="-1"/>
          <w:szCs w:val="21"/>
          <w:highlight w:val="none"/>
        </w:rPr>
        <w:t xml:space="preserve"> </w:t>
      </w:r>
      <w:r>
        <w:rPr>
          <w:color w:val="auto"/>
          <w:spacing w:val="-2"/>
          <w:position w:val="-1"/>
          <w:szCs w:val="21"/>
          <w:highlight w:val="none"/>
        </w:rPr>
        <w:t>每</w:t>
      </w:r>
      <w:r>
        <w:rPr>
          <w:color w:val="auto"/>
          <w:position w:val="-1"/>
          <w:szCs w:val="21"/>
          <w:highlight w:val="none"/>
        </w:rPr>
        <w:t>季</w:t>
      </w:r>
      <w:r>
        <w:rPr>
          <w:color w:val="auto"/>
          <w:spacing w:val="-2"/>
          <w:position w:val="-1"/>
          <w:szCs w:val="21"/>
          <w:highlight w:val="none"/>
        </w:rPr>
        <w:t>度</w:t>
      </w:r>
      <w:r>
        <w:rPr>
          <w:color w:val="auto"/>
          <w:position w:val="-1"/>
          <w:szCs w:val="21"/>
          <w:highlight w:val="none"/>
        </w:rPr>
        <w:t>质</w:t>
      </w:r>
      <w:r>
        <w:rPr>
          <w:color w:val="auto"/>
          <w:spacing w:val="-2"/>
          <w:position w:val="-1"/>
          <w:szCs w:val="21"/>
          <w:highlight w:val="none"/>
        </w:rPr>
        <w:t>控</w:t>
      </w:r>
      <w:r>
        <w:rPr>
          <w:color w:val="auto"/>
          <w:position w:val="-1"/>
          <w:szCs w:val="21"/>
          <w:highlight w:val="none"/>
        </w:rPr>
        <w:t>内</w:t>
      </w:r>
      <w:r>
        <w:rPr>
          <w:color w:val="auto"/>
          <w:spacing w:val="-2"/>
          <w:position w:val="-1"/>
          <w:szCs w:val="21"/>
          <w:highlight w:val="none"/>
        </w:rPr>
        <w:t>容</w:t>
      </w:r>
      <w:r>
        <w:rPr>
          <w:color w:val="auto"/>
          <w:position w:val="-1"/>
          <w:szCs w:val="21"/>
          <w:highlight w:val="none"/>
        </w:rPr>
        <w:t>：对应</w:t>
      </w:r>
      <w:r>
        <w:rPr>
          <w:color w:val="auto"/>
          <w:spacing w:val="-2"/>
          <w:position w:val="-1"/>
          <w:szCs w:val="21"/>
          <w:highlight w:val="none"/>
        </w:rPr>
        <w:t>不</w:t>
      </w:r>
      <w:r>
        <w:rPr>
          <w:color w:val="auto"/>
          <w:position w:val="-1"/>
          <w:szCs w:val="21"/>
          <w:highlight w:val="none"/>
        </w:rPr>
        <w:t>同</w:t>
      </w:r>
      <w:r>
        <w:rPr>
          <w:color w:val="auto"/>
          <w:spacing w:val="-2"/>
          <w:position w:val="-1"/>
          <w:szCs w:val="21"/>
          <w:highlight w:val="none"/>
        </w:rPr>
        <w:t>能</w:t>
      </w:r>
      <w:r>
        <w:rPr>
          <w:color w:val="auto"/>
          <w:position w:val="-1"/>
          <w:szCs w:val="21"/>
          <w:highlight w:val="none"/>
        </w:rPr>
        <w:t>量</w:t>
      </w:r>
      <w:r>
        <w:rPr>
          <w:color w:val="auto"/>
          <w:spacing w:val="-2"/>
          <w:position w:val="-1"/>
          <w:szCs w:val="21"/>
          <w:highlight w:val="none"/>
        </w:rPr>
        <w:t>级</w:t>
      </w:r>
      <w:r>
        <w:rPr>
          <w:color w:val="auto"/>
          <w:position w:val="-1"/>
          <w:szCs w:val="21"/>
          <w:highlight w:val="none"/>
        </w:rPr>
        <w:t>别</w:t>
      </w:r>
      <w:r>
        <w:rPr>
          <w:color w:val="auto"/>
          <w:spacing w:val="-5"/>
          <w:position w:val="-1"/>
          <w:szCs w:val="21"/>
          <w:highlight w:val="none"/>
        </w:rPr>
        <w:t>，</w:t>
      </w:r>
      <w:r>
        <w:rPr>
          <w:color w:val="auto"/>
          <w:position w:val="-1"/>
          <w:szCs w:val="21"/>
          <w:highlight w:val="none"/>
        </w:rPr>
        <w:t>随</w:t>
      </w:r>
      <w:r>
        <w:rPr>
          <w:color w:val="auto"/>
          <w:spacing w:val="-2"/>
          <w:position w:val="-1"/>
          <w:szCs w:val="21"/>
          <w:highlight w:val="none"/>
        </w:rPr>
        <w:t>机</w:t>
      </w:r>
      <w:r>
        <w:rPr>
          <w:color w:val="auto"/>
          <w:position w:val="-1"/>
          <w:szCs w:val="21"/>
          <w:highlight w:val="none"/>
        </w:rPr>
        <w:t>选择</w:t>
      </w:r>
      <w:r>
        <w:rPr>
          <w:color w:val="auto"/>
          <w:spacing w:val="-2"/>
          <w:position w:val="-1"/>
          <w:szCs w:val="21"/>
          <w:highlight w:val="none"/>
        </w:rPr>
        <w:t>至</w:t>
      </w:r>
      <w:r>
        <w:rPr>
          <w:color w:val="auto"/>
          <w:position w:val="-1"/>
          <w:szCs w:val="21"/>
          <w:highlight w:val="none"/>
        </w:rPr>
        <w:t>少</w:t>
      </w:r>
      <w:r>
        <w:rPr>
          <w:color w:val="auto"/>
          <w:spacing w:val="-9"/>
          <w:position w:val="-1"/>
          <w:szCs w:val="21"/>
          <w:highlight w:val="none"/>
        </w:rPr>
        <w:t xml:space="preserve"> </w:t>
      </w:r>
      <w:r>
        <w:rPr>
          <w:color w:val="auto"/>
          <w:position w:val="-1"/>
          <w:szCs w:val="21"/>
          <w:highlight w:val="none"/>
        </w:rPr>
        <w:t>2</w:t>
      </w:r>
      <w:r>
        <w:rPr>
          <w:color w:val="auto"/>
          <w:spacing w:val="-20"/>
          <w:position w:val="-1"/>
          <w:szCs w:val="21"/>
          <w:highlight w:val="none"/>
        </w:rPr>
        <w:t xml:space="preserve"> </w:t>
      </w:r>
      <w:r>
        <w:rPr>
          <w:color w:val="auto"/>
          <w:position w:val="-1"/>
          <w:szCs w:val="21"/>
          <w:highlight w:val="none"/>
        </w:rPr>
        <w:t>种</w:t>
      </w:r>
      <w:r>
        <w:rPr>
          <w:color w:val="auto"/>
          <w:spacing w:val="-2"/>
          <w:position w:val="-1"/>
          <w:szCs w:val="21"/>
          <w:highlight w:val="none"/>
        </w:rPr>
        <w:t>元</w:t>
      </w:r>
      <w:r>
        <w:rPr>
          <w:color w:val="auto"/>
          <w:position w:val="-1"/>
          <w:szCs w:val="21"/>
          <w:highlight w:val="none"/>
        </w:rPr>
        <w:t>素</w:t>
      </w:r>
      <w:r>
        <w:rPr>
          <w:color w:val="auto"/>
          <w:spacing w:val="-2"/>
          <w:position w:val="-1"/>
          <w:szCs w:val="21"/>
          <w:highlight w:val="none"/>
        </w:rPr>
        <w:t>标</w:t>
      </w:r>
      <w:r>
        <w:rPr>
          <w:color w:val="auto"/>
          <w:position w:val="-1"/>
          <w:szCs w:val="21"/>
          <w:highlight w:val="none"/>
        </w:rPr>
        <w:t>准</w:t>
      </w:r>
      <w:r>
        <w:rPr>
          <w:color w:val="auto"/>
          <w:spacing w:val="-2"/>
          <w:position w:val="-1"/>
          <w:szCs w:val="21"/>
          <w:highlight w:val="none"/>
        </w:rPr>
        <w:t>膜</w:t>
      </w:r>
      <w:r>
        <w:rPr>
          <w:color w:val="auto"/>
          <w:position w:val="-1"/>
          <w:szCs w:val="21"/>
          <w:highlight w:val="none"/>
        </w:rPr>
        <w:t>片进</w:t>
      </w:r>
      <w:r>
        <w:rPr>
          <w:color w:val="auto"/>
          <w:spacing w:val="-2"/>
          <w:position w:val="-1"/>
          <w:szCs w:val="21"/>
          <w:highlight w:val="none"/>
        </w:rPr>
        <w:t>行</w:t>
      </w:r>
      <w:r>
        <w:rPr>
          <w:color w:val="auto"/>
          <w:position w:val="-1"/>
          <w:szCs w:val="21"/>
          <w:highlight w:val="none"/>
        </w:rPr>
        <w:t>测</w:t>
      </w:r>
      <w:r>
        <w:rPr>
          <w:color w:val="auto"/>
          <w:spacing w:val="-2"/>
          <w:position w:val="-1"/>
          <w:szCs w:val="21"/>
          <w:highlight w:val="none"/>
        </w:rPr>
        <w:t>试，测</w:t>
      </w:r>
      <w:r>
        <w:rPr>
          <w:color w:val="auto"/>
          <w:position w:val="-1"/>
          <w:szCs w:val="21"/>
          <w:highlight w:val="none"/>
        </w:rPr>
        <w:t>量</w:t>
      </w:r>
      <w:r>
        <w:rPr>
          <w:color w:val="auto"/>
          <w:spacing w:val="-2"/>
          <w:position w:val="-1"/>
          <w:szCs w:val="21"/>
          <w:highlight w:val="none"/>
        </w:rPr>
        <w:t>值</w:t>
      </w:r>
      <w:r>
        <w:rPr>
          <w:color w:val="auto"/>
          <w:position w:val="-1"/>
          <w:szCs w:val="21"/>
          <w:highlight w:val="none"/>
        </w:rPr>
        <w:t>与</w:t>
      </w:r>
      <w:r>
        <w:rPr>
          <w:color w:val="auto"/>
          <w:spacing w:val="-2"/>
          <w:position w:val="-1"/>
          <w:szCs w:val="21"/>
          <w:highlight w:val="none"/>
        </w:rPr>
        <w:t>标</w:t>
      </w:r>
      <w:r>
        <w:rPr>
          <w:color w:val="auto"/>
          <w:position w:val="-1"/>
          <w:szCs w:val="21"/>
          <w:highlight w:val="none"/>
        </w:rPr>
        <w:t>准值</w:t>
      </w:r>
      <w:r>
        <w:rPr>
          <w:color w:val="auto"/>
          <w:spacing w:val="-2"/>
          <w:position w:val="-1"/>
          <w:szCs w:val="21"/>
          <w:highlight w:val="none"/>
        </w:rPr>
        <w:t>的</w:t>
      </w:r>
      <w:r>
        <w:rPr>
          <w:color w:val="auto"/>
          <w:position w:val="-1"/>
          <w:szCs w:val="21"/>
          <w:highlight w:val="none"/>
        </w:rPr>
        <w:t>相</w:t>
      </w:r>
      <w:r>
        <w:rPr>
          <w:color w:val="auto"/>
          <w:spacing w:val="-2"/>
          <w:position w:val="-1"/>
          <w:szCs w:val="21"/>
          <w:highlight w:val="none"/>
        </w:rPr>
        <w:t>对</w:t>
      </w:r>
      <w:r>
        <w:rPr>
          <w:color w:val="auto"/>
          <w:position w:val="-1"/>
          <w:szCs w:val="21"/>
          <w:highlight w:val="none"/>
        </w:rPr>
        <w:t>误</w:t>
      </w:r>
      <w:r>
        <w:rPr>
          <w:color w:val="auto"/>
          <w:spacing w:val="-2"/>
          <w:position w:val="-1"/>
          <w:szCs w:val="21"/>
          <w:highlight w:val="none"/>
        </w:rPr>
        <w:t>差</w:t>
      </w:r>
      <w:r>
        <w:rPr>
          <w:color w:val="auto"/>
          <w:position w:val="-1"/>
          <w:szCs w:val="21"/>
          <w:highlight w:val="none"/>
        </w:rPr>
        <w:t>应</w:t>
      </w:r>
      <w:r>
        <w:rPr>
          <w:color w:val="auto"/>
          <w:spacing w:val="-2"/>
          <w:position w:val="-1"/>
          <w:szCs w:val="21"/>
          <w:highlight w:val="none"/>
        </w:rPr>
        <w:t>在</w:t>
      </w:r>
      <w:r>
        <w:rPr>
          <w:color w:val="auto"/>
          <w:w w:val="135"/>
          <w:position w:val="-1"/>
          <w:szCs w:val="21"/>
          <w:highlight w:val="none"/>
        </w:rPr>
        <w:t>±</w:t>
      </w:r>
      <w:r>
        <w:rPr>
          <w:color w:val="auto"/>
          <w:w w:val="90"/>
          <w:position w:val="-1"/>
          <w:szCs w:val="21"/>
          <w:highlight w:val="none"/>
        </w:rPr>
        <w:t>10</w:t>
      </w:r>
      <w:r>
        <w:rPr>
          <w:color w:val="auto"/>
          <w:w w:val="56"/>
          <w:position w:val="-1"/>
          <w:szCs w:val="21"/>
          <w:highlight w:val="none"/>
        </w:rPr>
        <w:t>%</w:t>
      </w:r>
      <w:r>
        <w:rPr>
          <w:color w:val="auto"/>
          <w:spacing w:val="-2"/>
          <w:position w:val="-1"/>
          <w:szCs w:val="21"/>
          <w:highlight w:val="none"/>
        </w:rPr>
        <w:t>范</w:t>
      </w:r>
      <w:r>
        <w:rPr>
          <w:color w:val="auto"/>
          <w:position w:val="-1"/>
          <w:szCs w:val="21"/>
          <w:highlight w:val="none"/>
        </w:rPr>
        <w:t>围</w:t>
      </w:r>
      <w:r>
        <w:rPr>
          <w:color w:val="auto"/>
          <w:spacing w:val="-2"/>
          <w:position w:val="-1"/>
          <w:szCs w:val="21"/>
          <w:highlight w:val="none"/>
        </w:rPr>
        <w:t>内</w:t>
      </w:r>
      <w:r>
        <w:rPr>
          <w:color w:val="auto"/>
          <w:position w:val="-1"/>
          <w:szCs w:val="21"/>
          <w:highlight w:val="none"/>
        </w:rPr>
        <w:t>。</w:t>
      </w:r>
    </w:p>
    <w:p>
      <w:pPr>
        <w:spacing w:before="120" w:after="120" w:line="264" w:lineRule="auto"/>
        <w:ind w:firstLine="420" w:firstLineChars="200"/>
        <w:rPr>
          <w:color w:val="auto"/>
          <w:szCs w:val="21"/>
          <w:highlight w:val="none"/>
        </w:rPr>
      </w:pPr>
      <w:r>
        <w:rPr>
          <w:rFonts w:hint="eastAsia"/>
          <w:color w:val="auto"/>
          <w:position w:val="-1"/>
          <w:szCs w:val="21"/>
          <w:highlight w:val="none"/>
        </w:rPr>
        <w:t>5</w:t>
      </w:r>
      <w:r>
        <w:rPr>
          <w:color w:val="auto"/>
          <w:position w:val="-1"/>
          <w:szCs w:val="21"/>
          <w:highlight w:val="none"/>
        </w:rPr>
        <w:t>.3.4</w:t>
      </w:r>
      <w:r>
        <w:rPr>
          <w:color w:val="auto"/>
          <w:spacing w:val="-6"/>
          <w:szCs w:val="21"/>
          <w:highlight w:val="none"/>
        </w:rPr>
        <w:t xml:space="preserve"> </w:t>
      </w:r>
      <w:r>
        <w:rPr>
          <w:color w:val="auto"/>
          <w:spacing w:val="-2"/>
          <w:szCs w:val="21"/>
          <w:highlight w:val="none"/>
        </w:rPr>
        <w:t>每</w:t>
      </w:r>
      <w:r>
        <w:rPr>
          <w:color w:val="auto"/>
          <w:szCs w:val="21"/>
          <w:highlight w:val="none"/>
        </w:rPr>
        <w:t>年</w:t>
      </w:r>
      <w:r>
        <w:rPr>
          <w:color w:val="auto"/>
          <w:spacing w:val="-2"/>
          <w:szCs w:val="21"/>
          <w:highlight w:val="none"/>
        </w:rPr>
        <w:t>质</w:t>
      </w:r>
      <w:r>
        <w:rPr>
          <w:color w:val="auto"/>
          <w:szCs w:val="21"/>
          <w:highlight w:val="none"/>
        </w:rPr>
        <w:t>控</w:t>
      </w:r>
      <w:r>
        <w:rPr>
          <w:color w:val="auto"/>
          <w:spacing w:val="-2"/>
          <w:szCs w:val="21"/>
          <w:highlight w:val="none"/>
        </w:rPr>
        <w:t>内</w:t>
      </w:r>
      <w:r>
        <w:rPr>
          <w:color w:val="auto"/>
          <w:szCs w:val="21"/>
          <w:highlight w:val="none"/>
        </w:rPr>
        <w:t>容： 每年</w:t>
      </w:r>
      <w:r>
        <w:rPr>
          <w:color w:val="auto"/>
          <w:spacing w:val="-2"/>
          <w:szCs w:val="21"/>
          <w:highlight w:val="none"/>
        </w:rPr>
        <w:t>至</w:t>
      </w:r>
      <w:r>
        <w:rPr>
          <w:color w:val="auto"/>
          <w:szCs w:val="21"/>
          <w:highlight w:val="none"/>
        </w:rPr>
        <w:t>少</w:t>
      </w:r>
      <w:r>
        <w:rPr>
          <w:color w:val="auto"/>
          <w:spacing w:val="-2"/>
          <w:szCs w:val="21"/>
          <w:highlight w:val="none"/>
        </w:rPr>
        <w:t>进</w:t>
      </w:r>
      <w:r>
        <w:rPr>
          <w:color w:val="auto"/>
          <w:szCs w:val="21"/>
          <w:highlight w:val="none"/>
        </w:rPr>
        <w:t>行</w:t>
      </w:r>
      <w:r>
        <w:rPr>
          <w:color w:val="auto"/>
          <w:spacing w:val="-2"/>
          <w:szCs w:val="21"/>
          <w:highlight w:val="none"/>
        </w:rPr>
        <w:t>一</w:t>
      </w:r>
      <w:r>
        <w:rPr>
          <w:color w:val="auto"/>
          <w:szCs w:val="21"/>
          <w:highlight w:val="none"/>
        </w:rPr>
        <w:t>次</w:t>
      </w:r>
      <w:r>
        <w:rPr>
          <w:color w:val="auto"/>
          <w:spacing w:val="-2"/>
          <w:szCs w:val="21"/>
          <w:highlight w:val="none"/>
        </w:rPr>
        <w:t>全</w:t>
      </w:r>
      <w:r>
        <w:rPr>
          <w:color w:val="auto"/>
          <w:szCs w:val="21"/>
          <w:highlight w:val="none"/>
        </w:rPr>
        <w:t>部</w:t>
      </w:r>
      <w:r>
        <w:rPr>
          <w:color w:val="auto"/>
          <w:spacing w:val="-2"/>
          <w:szCs w:val="21"/>
          <w:highlight w:val="none"/>
        </w:rPr>
        <w:t>元</w:t>
      </w:r>
      <w:r>
        <w:rPr>
          <w:color w:val="auto"/>
          <w:szCs w:val="21"/>
          <w:highlight w:val="none"/>
        </w:rPr>
        <w:t>素标</w:t>
      </w:r>
      <w:r>
        <w:rPr>
          <w:color w:val="auto"/>
          <w:spacing w:val="-2"/>
          <w:szCs w:val="21"/>
          <w:highlight w:val="none"/>
        </w:rPr>
        <w:t>准</w:t>
      </w:r>
      <w:r>
        <w:rPr>
          <w:color w:val="auto"/>
          <w:szCs w:val="21"/>
          <w:highlight w:val="none"/>
        </w:rPr>
        <w:t>膜</w:t>
      </w:r>
      <w:r>
        <w:rPr>
          <w:color w:val="auto"/>
          <w:spacing w:val="-2"/>
          <w:szCs w:val="21"/>
          <w:highlight w:val="none"/>
        </w:rPr>
        <w:t>片</w:t>
      </w:r>
      <w:r>
        <w:rPr>
          <w:color w:val="auto"/>
          <w:szCs w:val="21"/>
          <w:highlight w:val="none"/>
        </w:rPr>
        <w:t>核</w:t>
      </w:r>
      <w:r>
        <w:rPr>
          <w:color w:val="auto"/>
          <w:spacing w:val="-2"/>
          <w:szCs w:val="21"/>
          <w:highlight w:val="none"/>
        </w:rPr>
        <w:t>查</w:t>
      </w:r>
      <w:r>
        <w:rPr>
          <w:color w:val="auto"/>
          <w:szCs w:val="21"/>
          <w:highlight w:val="none"/>
        </w:rPr>
        <w:t>，</w:t>
      </w:r>
      <w:r>
        <w:rPr>
          <w:color w:val="auto"/>
          <w:spacing w:val="-2"/>
          <w:szCs w:val="21"/>
          <w:highlight w:val="none"/>
        </w:rPr>
        <w:t>测</w:t>
      </w:r>
      <w:r>
        <w:rPr>
          <w:color w:val="auto"/>
          <w:szCs w:val="21"/>
          <w:highlight w:val="none"/>
        </w:rPr>
        <w:t>量</w:t>
      </w:r>
      <w:r>
        <w:rPr>
          <w:color w:val="auto"/>
          <w:spacing w:val="-2"/>
          <w:szCs w:val="21"/>
          <w:highlight w:val="none"/>
        </w:rPr>
        <w:t>值</w:t>
      </w:r>
      <w:r>
        <w:rPr>
          <w:color w:val="auto"/>
          <w:szCs w:val="21"/>
          <w:highlight w:val="none"/>
        </w:rPr>
        <w:t>与标</w:t>
      </w:r>
      <w:r>
        <w:rPr>
          <w:color w:val="auto"/>
          <w:spacing w:val="-2"/>
          <w:szCs w:val="21"/>
          <w:highlight w:val="none"/>
        </w:rPr>
        <w:t>准</w:t>
      </w:r>
      <w:r>
        <w:rPr>
          <w:color w:val="auto"/>
          <w:szCs w:val="21"/>
          <w:highlight w:val="none"/>
        </w:rPr>
        <w:t>值</w:t>
      </w:r>
      <w:r>
        <w:rPr>
          <w:color w:val="auto"/>
          <w:spacing w:val="-2"/>
          <w:szCs w:val="21"/>
          <w:highlight w:val="none"/>
        </w:rPr>
        <w:t>的</w:t>
      </w:r>
      <w:r>
        <w:rPr>
          <w:color w:val="auto"/>
          <w:szCs w:val="21"/>
          <w:highlight w:val="none"/>
        </w:rPr>
        <w:t>相</w:t>
      </w:r>
      <w:r>
        <w:rPr>
          <w:color w:val="auto"/>
          <w:spacing w:val="-2"/>
          <w:szCs w:val="21"/>
          <w:highlight w:val="none"/>
        </w:rPr>
        <w:t>对</w:t>
      </w:r>
      <w:r>
        <w:rPr>
          <w:color w:val="auto"/>
          <w:szCs w:val="21"/>
          <w:highlight w:val="none"/>
        </w:rPr>
        <w:t>误</w:t>
      </w:r>
      <w:r>
        <w:rPr>
          <w:color w:val="auto"/>
          <w:spacing w:val="-2"/>
          <w:szCs w:val="21"/>
          <w:highlight w:val="none"/>
        </w:rPr>
        <w:t>差</w:t>
      </w:r>
      <w:r>
        <w:rPr>
          <w:color w:val="auto"/>
          <w:szCs w:val="21"/>
          <w:highlight w:val="none"/>
        </w:rPr>
        <w:t>应</w:t>
      </w:r>
      <w:r>
        <w:rPr>
          <w:color w:val="auto"/>
          <w:spacing w:val="-2"/>
          <w:szCs w:val="21"/>
          <w:highlight w:val="none"/>
        </w:rPr>
        <w:t>在</w:t>
      </w:r>
      <w:r>
        <w:rPr>
          <w:color w:val="auto"/>
          <w:w w:val="135"/>
          <w:szCs w:val="21"/>
          <w:highlight w:val="none"/>
        </w:rPr>
        <w:t>±</w:t>
      </w:r>
      <w:r>
        <w:rPr>
          <w:color w:val="auto"/>
          <w:w w:val="90"/>
          <w:szCs w:val="21"/>
          <w:highlight w:val="none"/>
        </w:rPr>
        <w:t>1</w:t>
      </w:r>
      <w:r>
        <w:rPr>
          <w:color w:val="auto"/>
          <w:spacing w:val="1"/>
          <w:w w:val="90"/>
          <w:szCs w:val="21"/>
          <w:highlight w:val="none"/>
        </w:rPr>
        <w:t>0</w:t>
      </w:r>
      <w:r>
        <w:rPr>
          <w:color w:val="auto"/>
          <w:spacing w:val="-2"/>
          <w:w w:val="56"/>
          <w:szCs w:val="21"/>
          <w:highlight w:val="none"/>
        </w:rPr>
        <w:t>%</w:t>
      </w:r>
      <w:r>
        <w:rPr>
          <w:color w:val="auto"/>
          <w:szCs w:val="21"/>
          <w:highlight w:val="none"/>
        </w:rPr>
        <w:t>范</w:t>
      </w:r>
      <w:r>
        <w:rPr>
          <w:color w:val="auto"/>
          <w:spacing w:val="-2"/>
          <w:szCs w:val="21"/>
          <w:highlight w:val="none"/>
        </w:rPr>
        <w:t>围</w:t>
      </w:r>
      <w:r>
        <w:rPr>
          <w:color w:val="auto"/>
          <w:szCs w:val="21"/>
          <w:highlight w:val="none"/>
        </w:rPr>
        <w:t>内。</w:t>
      </w:r>
    </w:p>
    <w:p>
      <w:pPr>
        <w:spacing w:before="120" w:after="120" w:line="264" w:lineRule="auto"/>
        <w:ind w:firstLine="378" w:firstLineChars="200"/>
        <w:rPr>
          <w:color w:val="auto"/>
          <w:szCs w:val="21"/>
          <w:highlight w:val="none"/>
        </w:rPr>
      </w:pPr>
      <w:r>
        <w:rPr>
          <w:color w:val="auto"/>
          <w:w w:val="90"/>
          <w:position w:val="-1"/>
          <w:szCs w:val="21"/>
          <w:highlight w:val="none"/>
        </w:rPr>
        <w:t>5.3.5</w:t>
      </w:r>
      <w:r>
        <w:rPr>
          <w:color w:val="auto"/>
          <w:spacing w:val="-6"/>
          <w:position w:val="-1"/>
          <w:szCs w:val="21"/>
          <w:highlight w:val="none"/>
        </w:rPr>
        <w:t xml:space="preserve"> </w:t>
      </w:r>
      <w:r>
        <w:rPr>
          <w:color w:val="auto"/>
          <w:spacing w:val="-2"/>
          <w:position w:val="-1"/>
          <w:szCs w:val="21"/>
          <w:highlight w:val="none"/>
        </w:rPr>
        <w:t>其</w:t>
      </w:r>
      <w:r>
        <w:rPr>
          <w:color w:val="auto"/>
          <w:position w:val="-1"/>
          <w:szCs w:val="21"/>
          <w:highlight w:val="none"/>
        </w:rPr>
        <w:t>他</w:t>
      </w:r>
      <w:r>
        <w:rPr>
          <w:color w:val="auto"/>
          <w:spacing w:val="-2"/>
          <w:position w:val="-1"/>
          <w:szCs w:val="21"/>
          <w:highlight w:val="none"/>
        </w:rPr>
        <w:t>质</w:t>
      </w:r>
      <w:r>
        <w:rPr>
          <w:color w:val="auto"/>
          <w:position w:val="-1"/>
          <w:szCs w:val="21"/>
          <w:highlight w:val="none"/>
        </w:rPr>
        <w:t>控</w:t>
      </w:r>
      <w:r>
        <w:rPr>
          <w:color w:val="auto"/>
          <w:spacing w:val="-2"/>
          <w:position w:val="-1"/>
          <w:szCs w:val="21"/>
          <w:highlight w:val="none"/>
        </w:rPr>
        <w:t>要</w:t>
      </w:r>
      <w:r>
        <w:rPr>
          <w:color w:val="auto"/>
          <w:position w:val="-1"/>
          <w:szCs w:val="21"/>
          <w:highlight w:val="none"/>
        </w:rPr>
        <w:t>求：</w:t>
      </w:r>
      <w:r>
        <w:rPr>
          <w:color w:val="auto"/>
          <w:szCs w:val="21"/>
          <w:highlight w:val="none"/>
        </w:rPr>
        <w:t>按</w:t>
      </w:r>
      <w:r>
        <w:rPr>
          <w:color w:val="auto"/>
          <w:spacing w:val="-2"/>
          <w:szCs w:val="21"/>
          <w:highlight w:val="none"/>
        </w:rPr>
        <w:t>照</w:t>
      </w:r>
      <w:r>
        <w:rPr>
          <w:color w:val="auto"/>
          <w:szCs w:val="21"/>
          <w:highlight w:val="none"/>
        </w:rPr>
        <w:t>国</w:t>
      </w:r>
      <w:r>
        <w:rPr>
          <w:color w:val="auto"/>
          <w:spacing w:val="-2"/>
          <w:szCs w:val="21"/>
          <w:highlight w:val="none"/>
        </w:rPr>
        <w:t>家</w:t>
      </w:r>
      <w:r>
        <w:rPr>
          <w:color w:val="auto"/>
          <w:szCs w:val="21"/>
          <w:highlight w:val="none"/>
        </w:rPr>
        <w:t>大</w:t>
      </w:r>
      <w:r>
        <w:rPr>
          <w:color w:val="auto"/>
          <w:spacing w:val="-2"/>
          <w:szCs w:val="21"/>
          <w:highlight w:val="none"/>
        </w:rPr>
        <w:t>气</w:t>
      </w:r>
      <w:r>
        <w:rPr>
          <w:color w:val="auto"/>
          <w:szCs w:val="21"/>
          <w:highlight w:val="none"/>
        </w:rPr>
        <w:t>颗</w:t>
      </w:r>
      <w:r>
        <w:rPr>
          <w:color w:val="auto"/>
          <w:spacing w:val="-2"/>
          <w:szCs w:val="21"/>
          <w:highlight w:val="none"/>
        </w:rPr>
        <w:t>粒物</w:t>
      </w:r>
      <w:r>
        <w:rPr>
          <w:color w:val="auto"/>
          <w:szCs w:val="21"/>
          <w:highlight w:val="none"/>
        </w:rPr>
        <w:t>组分</w:t>
      </w:r>
      <w:r>
        <w:rPr>
          <w:color w:val="auto"/>
          <w:spacing w:val="-2"/>
          <w:szCs w:val="21"/>
          <w:highlight w:val="none"/>
        </w:rPr>
        <w:t>网</w:t>
      </w:r>
      <w:r>
        <w:rPr>
          <w:color w:val="auto"/>
          <w:spacing w:val="-142"/>
          <w:szCs w:val="21"/>
          <w:highlight w:val="none"/>
        </w:rPr>
        <w:t>、</w:t>
      </w:r>
      <w:r>
        <w:rPr>
          <w:color w:val="auto"/>
          <w:spacing w:val="-2"/>
          <w:szCs w:val="21"/>
          <w:highlight w:val="none"/>
        </w:rPr>
        <w:t>《</w:t>
      </w:r>
      <w:r>
        <w:rPr>
          <w:color w:val="auto"/>
          <w:szCs w:val="21"/>
          <w:highlight w:val="none"/>
        </w:rPr>
        <w:t>大</w:t>
      </w:r>
      <w:r>
        <w:rPr>
          <w:color w:val="auto"/>
          <w:spacing w:val="-2"/>
          <w:szCs w:val="21"/>
          <w:highlight w:val="none"/>
        </w:rPr>
        <w:t>气</w:t>
      </w:r>
      <w:r>
        <w:rPr>
          <w:color w:val="auto"/>
          <w:szCs w:val="21"/>
          <w:highlight w:val="none"/>
        </w:rPr>
        <w:t>超</w:t>
      </w:r>
      <w:r>
        <w:rPr>
          <w:color w:val="auto"/>
          <w:spacing w:val="-2"/>
          <w:szCs w:val="21"/>
          <w:highlight w:val="none"/>
        </w:rPr>
        <w:t>级</w:t>
      </w:r>
      <w:r>
        <w:rPr>
          <w:color w:val="auto"/>
          <w:szCs w:val="21"/>
          <w:highlight w:val="none"/>
        </w:rPr>
        <w:t>站</w:t>
      </w:r>
      <w:r>
        <w:rPr>
          <w:color w:val="auto"/>
          <w:spacing w:val="-2"/>
          <w:szCs w:val="21"/>
          <w:highlight w:val="none"/>
        </w:rPr>
        <w:t>质控</w:t>
      </w:r>
      <w:r>
        <w:rPr>
          <w:color w:val="auto"/>
          <w:szCs w:val="21"/>
          <w:highlight w:val="none"/>
        </w:rPr>
        <w:t>质保</w:t>
      </w:r>
      <w:r>
        <w:rPr>
          <w:color w:val="auto"/>
          <w:spacing w:val="-2"/>
          <w:szCs w:val="21"/>
          <w:highlight w:val="none"/>
        </w:rPr>
        <w:t>体</w:t>
      </w:r>
      <w:r>
        <w:rPr>
          <w:color w:val="auto"/>
          <w:szCs w:val="21"/>
          <w:highlight w:val="none"/>
        </w:rPr>
        <w:t>系</w:t>
      </w:r>
      <w:r>
        <w:rPr>
          <w:color w:val="auto"/>
          <w:spacing w:val="-2"/>
          <w:szCs w:val="21"/>
          <w:highlight w:val="none"/>
        </w:rPr>
        <w:t>技</w:t>
      </w:r>
      <w:r>
        <w:rPr>
          <w:color w:val="auto"/>
          <w:szCs w:val="21"/>
          <w:highlight w:val="none"/>
        </w:rPr>
        <w:t>术</w:t>
      </w:r>
      <w:r>
        <w:rPr>
          <w:color w:val="auto"/>
          <w:spacing w:val="-2"/>
          <w:szCs w:val="21"/>
          <w:highlight w:val="none"/>
        </w:rPr>
        <w:t>规</w:t>
      </w:r>
      <w:r>
        <w:rPr>
          <w:color w:val="auto"/>
          <w:szCs w:val="21"/>
          <w:highlight w:val="none"/>
        </w:rPr>
        <w:t>范</w:t>
      </w:r>
      <w:r>
        <w:rPr>
          <w:color w:val="auto"/>
          <w:spacing w:val="-108"/>
          <w:szCs w:val="21"/>
          <w:highlight w:val="none"/>
        </w:rPr>
        <w:t>》</w:t>
      </w:r>
      <w:r>
        <w:rPr>
          <w:color w:val="auto"/>
          <w:spacing w:val="-36"/>
          <w:szCs w:val="21"/>
          <w:highlight w:val="none"/>
        </w:rPr>
        <w:t>、</w:t>
      </w:r>
      <w:r>
        <w:rPr>
          <w:color w:val="auto"/>
          <w:spacing w:val="-2"/>
          <w:szCs w:val="21"/>
          <w:highlight w:val="none"/>
        </w:rPr>
        <w:t>仪器</w:t>
      </w:r>
      <w:r>
        <w:rPr>
          <w:color w:val="auto"/>
          <w:szCs w:val="21"/>
          <w:highlight w:val="none"/>
        </w:rPr>
        <w:t>使用</w:t>
      </w:r>
      <w:r>
        <w:rPr>
          <w:color w:val="auto"/>
          <w:spacing w:val="-2"/>
          <w:szCs w:val="21"/>
          <w:highlight w:val="none"/>
        </w:rPr>
        <w:t>用</w:t>
      </w:r>
      <w:r>
        <w:rPr>
          <w:color w:val="auto"/>
          <w:szCs w:val="21"/>
          <w:highlight w:val="none"/>
        </w:rPr>
        <w:t>户</w:t>
      </w:r>
      <w:r>
        <w:rPr>
          <w:color w:val="auto"/>
          <w:spacing w:val="-2"/>
          <w:szCs w:val="21"/>
          <w:highlight w:val="none"/>
        </w:rPr>
        <w:t>以</w:t>
      </w:r>
      <w:r>
        <w:rPr>
          <w:color w:val="auto"/>
          <w:szCs w:val="21"/>
          <w:highlight w:val="none"/>
        </w:rPr>
        <w:t>及</w:t>
      </w:r>
      <w:r>
        <w:rPr>
          <w:color w:val="auto"/>
          <w:spacing w:val="-2"/>
          <w:szCs w:val="21"/>
          <w:highlight w:val="none"/>
        </w:rPr>
        <w:t>仪</w:t>
      </w:r>
      <w:r>
        <w:rPr>
          <w:color w:val="auto"/>
          <w:szCs w:val="21"/>
          <w:highlight w:val="none"/>
        </w:rPr>
        <w:t>器制造</w:t>
      </w:r>
      <w:r>
        <w:rPr>
          <w:color w:val="auto"/>
          <w:spacing w:val="-2"/>
          <w:szCs w:val="21"/>
          <w:highlight w:val="none"/>
        </w:rPr>
        <w:t>商</w:t>
      </w:r>
      <w:r>
        <w:rPr>
          <w:color w:val="auto"/>
          <w:szCs w:val="21"/>
          <w:highlight w:val="none"/>
        </w:rPr>
        <w:t>（</w:t>
      </w:r>
      <w:r>
        <w:rPr>
          <w:color w:val="auto"/>
          <w:spacing w:val="-2"/>
          <w:szCs w:val="21"/>
          <w:highlight w:val="none"/>
        </w:rPr>
        <w:t>生</w:t>
      </w:r>
      <w:r>
        <w:rPr>
          <w:color w:val="auto"/>
          <w:szCs w:val="21"/>
          <w:highlight w:val="none"/>
        </w:rPr>
        <w:t>产</w:t>
      </w:r>
      <w:r>
        <w:rPr>
          <w:color w:val="auto"/>
          <w:spacing w:val="-2"/>
          <w:szCs w:val="21"/>
          <w:highlight w:val="none"/>
        </w:rPr>
        <w:t>者）</w:t>
      </w:r>
      <w:r>
        <w:rPr>
          <w:color w:val="auto"/>
          <w:szCs w:val="21"/>
          <w:highlight w:val="none"/>
        </w:rPr>
        <w:t>推</w:t>
      </w:r>
      <w:r>
        <w:rPr>
          <w:color w:val="auto"/>
          <w:spacing w:val="-2"/>
          <w:szCs w:val="21"/>
          <w:highlight w:val="none"/>
        </w:rPr>
        <w:t>荐</w:t>
      </w:r>
      <w:r>
        <w:rPr>
          <w:color w:val="auto"/>
          <w:szCs w:val="21"/>
          <w:highlight w:val="none"/>
        </w:rPr>
        <w:t>的</w:t>
      </w:r>
      <w:r>
        <w:rPr>
          <w:color w:val="auto"/>
          <w:spacing w:val="-2"/>
          <w:szCs w:val="21"/>
          <w:highlight w:val="none"/>
        </w:rPr>
        <w:t>运</w:t>
      </w:r>
      <w:r>
        <w:rPr>
          <w:color w:val="auto"/>
          <w:szCs w:val="21"/>
          <w:highlight w:val="none"/>
        </w:rPr>
        <w:t>行维</w:t>
      </w:r>
      <w:r>
        <w:rPr>
          <w:color w:val="auto"/>
          <w:spacing w:val="-2"/>
          <w:szCs w:val="21"/>
          <w:highlight w:val="none"/>
        </w:rPr>
        <w:t>护</w:t>
      </w:r>
      <w:r>
        <w:rPr>
          <w:color w:val="auto"/>
          <w:szCs w:val="21"/>
          <w:highlight w:val="none"/>
        </w:rPr>
        <w:t>内</w:t>
      </w:r>
      <w:r>
        <w:rPr>
          <w:color w:val="auto"/>
          <w:spacing w:val="-2"/>
          <w:szCs w:val="21"/>
          <w:highlight w:val="none"/>
        </w:rPr>
        <w:t>容</w:t>
      </w:r>
      <w:r>
        <w:rPr>
          <w:color w:val="auto"/>
          <w:szCs w:val="21"/>
          <w:highlight w:val="none"/>
        </w:rPr>
        <w:t>执</w:t>
      </w:r>
      <w:r>
        <w:rPr>
          <w:color w:val="auto"/>
          <w:spacing w:val="-2"/>
          <w:szCs w:val="21"/>
          <w:highlight w:val="none"/>
        </w:rPr>
        <w:t>行，</w:t>
      </w:r>
      <w:r>
        <w:rPr>
          <w:color w:val="auto"/>
          <w:szCs w:val="21"/>
          <w:highlight w:val="none"/>
        </w:rPr>
        <w:t>倘</w:t>
      </w:r>
      <w:r>
        <w:rPr>
          <w:color w:val="auto"/>
          <w:spacing w:val="-2"/>
          <w:szCs w:val="21"/>
          <w:highlight w:val="none"/>
        </w:rPr>
        <w:t>若运</w:t>
      </w:r>
      <w:r>
        <w:rPr>
          <w:color w:val="auto"/>
          <w:szCs w:val="21"/>
          <w:highlight w:val="none"/>
        </w:rPr>
        <w:t>行维</w:t>
      </w:r>
      <w:r>
        <w:rPr>
          <w:color w:val="auto"/>
          <w:spacing w:val="-2"/>
          <w:szCs w:val="21"/>
          <w:highlight w:val="none"/>
        </w:rPr>
        <w:t>护</w:t>
      </w:r>
      <w:r>
        <w:rPr>
          <w:color w:val="auto"/>
          <w:szCs w:val="21"/>
          <w:highlight w:val="none"/>
        </w:rPr>
        <w:t>和</w:t>
      </w:r>
      <w:r>
        <w:rPr>
          <w:color w:val="auto"/>
          <w:spacing w:val="-2"/>
          <w:szCs w:val="21"/>
          <w:highlight w:val="none"/>
        </w:rPr>
        <w:t>质</w:t>
      </w:r>
      <w:r>
        <w:rPr>
          <w:color w:val="auto"/>
          <w:szCs w:val="21"/>
          <w:highlight w:val="none"/>
        </w:rPr>
        <w:t>控</w:t>
      </w:r>
      <w:r>
        <w:rPr>
          <w:color w:val="auto"/>
          <w:spacing w:val="-2"/>
          <w:szCs w:val="21"/>
          <w:highlight w:val="none"/>
        </w:rPr>
        <w:t>频</w:t>
      </w:r>
      <w:r>
        <w:rPr>
          <w:color w:val="auto"/>
          <w:szCs w:val="21"/>
          <w:highlight w:val="none"/>
        </w:rPr>
        <w:t>次</w:t>
      </w:r>
      <w:r>
        <w:rPr>
          <w:color w:val="auto"/>
          <w:spacing w:val="-2"/>
          <w:szCs w:val="21"/>
          <w:highlight w:val="none"/>
        </w:rPr>
        <w:t>存</w:t>
      </w:r>
      <w:r>
        <w:rPr>
          <w:color w:val="auto"/>
          <w:szCs w:val="21"/>
          <w:highlight w:val="none"/>
        </w:rPr>
        <w:t>在</w:t>
      </w:r>
      <w:r>
        <w:rPr>
          <w:color w:val="auto"/>
          <w:spacing w:val="-2"/>
          <w:szCs w:val="21"/>
          <w:highlight w:val="none"/>
        </w:rPr>
        <w:t>偏</w:t>
      </w:r>
      <w:r>
        <w:rPr>
          <w:color w:val="auto"/>
          <w:szCs w:val="21"/>
          <w:highlight w:val="none"/>
        </w:rPr>
        <w:t>差</w:t>
      </w:r>
      <w:r>
        <w:rPr>
          <w:color w:val="auto"/>
          <w:spacing w:val="-2"/>
          <w:szCs w:val="21"/>
          <w:highlight w:val="none"/>
        </w:rPr>
        <w:t>时</w:t>
      </w:r>
      <w:r>
        <w:rPr>
          <w:color w:val="auto"/>
          <w:szCs w:val="21"/>
          <w:highlight w:val="none"/>
        </w:rPr>
        <w:t>，</w:t>
      </w:r>
      <w:r>
        <w:rPr>
          <w:color w:val="auto"/>
          <w:spacing w:val="-2"/>
          <w:szCs w:val="21"/>
          <w:highlight w:val="none"/>
        </w:rPr>
        <w:t>实</w:t>
      </w:r>
      <w:r>
        <w:rPr>
          <w:color w:val="auto"/>
          <w:szCs w:val="21"/>
          <w:highlight w:val="none"/>
        </w:rPr>
        <w:t>际</w:t>
      </w:r>
      <w:r>
        <w:rPr>
          <w:color w:val="auto"/>
          <w:spacing w:val="-2"/>
          <w:szCs w:val="21"/>
          <w:highlight w:val="none"/>
        </w:rPr>
        <w:t>运</w:t>
      </w:r>
      <w:r>
        <w:rPr>
          <w:color w:val="auto"/>
          <w:szCs w:val="21"/>
          <w:highlight w:val="none"/>
        </w:rPr>
        <w:t>行</w:t>
      </w:r>
      <w:r>
        <w:rPr>
          <w:color w:val="auto"/>
          <w:spacing w:val="-2"/>
          <w:szCs w:val="21"/>
          <w:highlight w:val="none"/>
        </w:rPr>
        <w:t>维</w:t>
      </w:r>
      <w:r>
        <w:rPr>
          <w:color w:val="auto"/>
          <w:szCs w:val="21"/>
          <w:highlight w:val="none"/>
        </w:rPr>
        <w:t>护和质控</w:t>
      </w:r>
      <w:r>
        <w:rPr>
          <w:color w:val="auto"/>
          <w:spacing w:val="-2"/>
          <w:szCs w:val="21"/>
          <w:highlight w:val="none"/>
        </w:rPr>
        <w:t>频</w:t>
      </w:r>
      <w:r>
        <w:rPr>
          <w:color w:val="auto"/>
          <w:szCs w:val="21"/>
          <w:highlight w:val="none"/>
        </w:rPr>
        <w:t>次</w:t>
      </w:r>
      <w:r>
        <w:rPr>
          <w:color w:val="auto"/>
          <w:spacing w:val="-2"/>
          <w:szCs w:val="21"/>
          <w:highlight w:val="none"/>
        </w:rPr>
        <w:t>按</w:t>
      </w:r>
      <w:r>
        <w:rPr>
          <w:color w:val="auto"/>
          <w:szCs w:val="21"/>
          <w:highlight w:val="none"/>
        </w:rPr>
        <w:t>照</w:t>
      </w:r>
      <w:r>
        <w:rPr>
          <w:color w:val="auto"/>
          <w:spacing w:val="-2"/>
          <w:szCs w:val="21"/>
          <w:highlight w:val="none"/>
        </w:rPr>
        <w:t>最</w:t>
      </w:r>
      <w:r>
        <w:rPr>
          <w:color w:val="auto"/>
          <w:szCs w:val="21"/>
          <w:highlight w:val="none"/>
        </w:rPr>
        <w:t>严</w:t>
      </w:r>
      <w:r>
        <w:rPr>
          <w:color w:val="auto"/>
          <w:spacing w:val="-2"/>
          <w:szCs w:val="21"/>
          <w:highlight w:val="none"/>
        </w:rPr>
        <w:t>格</w:t>
      </w:r>
      <w:r>
        <w:rPr>
          <w:color w:val="auto"/>
          <w:szCs w:val="21"/>
          <w:highlight w:val="none"/>
        </w:rPr>
        <w:t>的</w:t>
      </w:r>
      <w:r>
        <w:rPr>
          <w:color w:val="auto"/>
          <w:spacing w:val="-2"/>
          <w:szCs w:val="21"/>
          <w:highlight w:val="none"/>
        </w:rPr>
        <w:t>要</w:t>
      </w:r>
      <w:r>
        <w:rPr>
          <w:color w:val="auto"/>
          <w:szCs w:val="21"/>
          <w:highlight w:val="none"/>
        </w:rPr>
        <w:t>求执</w:t>
      </w:r>
      <w:r>
        <w:rPr>
          <w:color w:val="auto"/>
          <w:spacing w:val="-2"/>
          <w:szCs w:val="21"/>
          <w:highlight w:val="none"/>
        </w:rPr>
        <w:t>行</w:t>
      </w:r>
      <w:r>
        <w:rPr>
          <w:color w:val="auto"/>
          <w:szCs w:val="21"/>
          <w:highlight w:val="none"/>
        </w:rPr>
        <w:t>。</w:t>
      </w:r>
    </w:p>
    <w:p>
      <w:pPr>
        <w:spacing w:before="120" w:after="120" w:line="264" w:lineRule="auto"/>
        <w:ind w:firstLine="200"/>
        <w:rPr>
          <w:b/>
          <w:color w:val="auto"/>
          <w:szCs w:val="21"/>
          <w:highlight w:val="none"/>
        </w:rPr>
      </w:pPr>
      <w:r>
        <w:rPr>
          <w:rFonts w:hint="eastAsia"/>
          <w:b/>
          <w:color w:val="auto"/>
          <w:szCs w:val="21"/>
          <w:highlight w:val="none"/>
        </w:rPr>
        <w:t>六</w:t>
      </w:r>
      <w:r>
        <w:rPr>
          <w:b/>
          <w:color w:val="auto"/>
          <w:szCs w:val="21"/>
          <w:highlight w:val="none"/>
        </w:rPr>
        <w:t>、</w:t>
      </w:r>
      <w:r>
        <w:rPr>
          <w:rFonts w:hint="eastAsia"/>
          <w:b/>
          <w:color w:val="auto"/>
          <w:szCs w:val="21"/>
          <w:highlight w:val="none"/>
        </w:rPr>
        <w:t>甲烷-非甲烷总烃分析仪</w:t>
      </w:r>
      <w:r>
        <w:rPr>
          <w:b/>
          <w:color w:val="auto"/>
          <w:szCs w:val="21"/>
          <w:highlight w:val="none"/>
        </w:rPr>
        <w:t>运维项目需求：</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6</w:t>
      </w:r>
      <w:r>
        <w:rPr>
          <w:rFonts w:hint="eastAsia"/>
          <w:bCs/>
          <w:color w:val="auto"/>
          <w:szCs w:val="21"/>
          <w:highlight w:val="none"/>
        </w:rPr>
        <w:t>.</w:t>
      </w:r>
      <w:r>
        <w:rPr>
          <w:bCs/>
          <w:color w:val="auto"/>
          <w:szCs w:val="21"/>
          <w:highlight w:val="none"/>
        </w:rPr>
        <w:t>1运行维护工作目标</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6.1.1设备在线率：开展运维服务期间，需确保仪器在线率不得低于90%（仪器在线率=仪器实际运行时间/仪器可运行时间）</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注：仪器实际运行时间为仪器开机运行且仪器内能获取监测数据的时间；仪器可运行时间=约定的总时间-仪器停机维护时间-仪器校准时间-不可抗力停机时间（如停电等）</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6.1.2有效数据获取率：开展运维服务期间，需确保仪器有效数据获取率不得低于85%（有效数据获取率=有效监测数据量/获取监测数据量）</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6.2技术运维要求</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6.2 每日维护内容</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6.2.1 系统状态检查</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检查系统是否有报警等异常提示，以及分析模块的FID 温度、柱箱温度、柱前压、保留时间等重要参数是否正常。系统状态检查可通过远程或者现场检查的方式完成。</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6.2.2 基线检查</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按照厂家说明书或作业指导书要求检查图谱基线是否存在异常漂移和波动。如存在异常漂移和波动，应及时标识或剔除异常数据或对受影响的物质进行重积分。</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6.2.3 保留时间漂移</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检查仪器保留时间漂移情况，以确保非甲烷总烃测量的准确性。重点关注漂移是否影响监测物质的自动积分，如有影响，应进行调整。</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6.3每周巡检内容</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6.3.1气相色谱、检测器参数设置检查。检查氢火焰离子化检测器氢气与空气输入压力与流量、载气流量与压力等是否与说明书、作业指导书一致。</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6.3.2气相色谱、检测器运行情况检查。检查载气净化装置（如除烃等），如有异常应及时更换。根据系统验收或非甲烷总烃测试时使用的参数，检查色谱炉温控制程序、载气流量或压力控制程序、氢火焰离子化检测器等是否正常，如有异常应及时停机检查，排查问题。</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6.4其他维护内容</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按照系统说明书或作业指导书要求定期更换阀膜、色谱柱等重要耗材。做好周期性维护，及时清洁气动阀阀芯、散热风扇、氢火焰离子化检测器等重要部件。</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如运行维护涉及对气路上的关键硬件部分进行拆卸、打开，维护操作完成后，应按照系统说明书、作业指导书等要求对系统进行验漏。</w:t>
      </w:r>
    </w:p>
    <w:p>
      <w:pPr>
        <w:spacing w:before="120" w:after="120" w:line="264" w:lineRule="auto"/>
        <w:ind w:firstLine="420" w:firstLineChars="200"/>
        <w:rPr>
          <w:color w:val="auto"/>
          <w:highlight w:val="none"/>
        </w:rPr>
      </w:pPr>
      <w:r>
        <w:rPr>
          <w:color w:val="auto"/>
          <w:highlight w:val="none"/>
        </w:rPr>
        <w:t>6.5系统质量控制要求</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6.5.1每日质控</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检查仪器保留时间漂移情况，以确保非甲烷总烃测量的准确性。</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6.5.2 每周质控</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完成点检并做好记录，包括：氢气发生器、载气和零空气供应情况以及主要性能指标检查，并做好定量保留时间范围校准记录；开展空白检查，若甲烷和非甲烷总烃测定浓度大于方法检出限，应重新校准；开展标点（甲烷2000 ppb 和丙烷500 ppb）检查，若定量误差超出 </w:t>
      </w:r>
      <w:r>
        <w:rPr>
          <w:rFonts w:hint="eastAsia" w:ascii="Times New Roman" w:hAnsi="Times New Roman" w:cs="Times New Roman"/>
          <w:color w:val="auto"/>
          <w:sz w:val="21"/>
          <w:szCs w:val="21"/>
          <w:highlight w:val="none"/>
        </w:rPr>
        <w:t>±</w:t>
      </w:r>
      <w:r>
        <w:rPr>
          <w:rFonts w:ascii="Times New Roman" w:hAnsi="Times New Roman" w:cs="Times New Roman"/>
          <w:color w:val="auto"/>
          <w:sz w:val="21"/>
          <w:szCs w:val="21"/>
          <w:highlight w:val="none"/>
        </w:rPr>
        <w:t>10%，应重新校准。</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6.5.3 每月质控</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至少进行一次采样流量检查，当误差超过</w:t>
      </w:r>
      <w:r>
        <w:rPr>
          <w:rFonts w:hint="eastAsia" w:ascii="Times New Roman" w:hAnsi="Times New Roman" w:cs="Times New Roman"/>
          <w:color w:val="auto"/>
          <w:sz w:val="21"/>
          <w:szCs w:val="21"/>
          <w:highlight w:val="none"/>
        </w:rPr>
        <w:t>±</w:t>
      </w:r>
      <w:r>
        <w:rPr>
          <w:rFonts w:ascii="Times New Roman" w:hAnsi="Times New Roman" w:cs="Times New Roman"/>
          <w:color w:val="auto"/>
          <w:sz w:val="21"/>
          <w:szCs w:val="21"/>
          <w:highlight w:val="none"/>
        </w:rPr>
        <w:t>10%，应对仪器流量进行校准。</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6.5.4 每季质控</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使用标准气体更新多点校准曲线。要求甲烷和非甲烷总烃校准曲线的相关系数R</w:t>
      </w:r>
      <w:r>
        <w:rPr>
          <w:rFonts w:ascii="Times New Roman" w:hAnsi="Times New Roman" w:cs="Times New Roman"/>
          <w:color w:val="auto"/>
          <w:sz w:val="21"/>
          <w:szCs w:val="21"/>
          <w:highlight w:val="none"/>
          <w:vertAlign w:val="superscript"/>
        </w:rPr>
        <w:t>2</w:t>
      </w:r>
      <w:r>
        <w:rPr>
          <w:rFonts w:ascii="Times New Roman" w:hAnsi="Times New Roman" w:cs="Times New Roman"/>
          <w:color w:val="auto"/>
          <w:sz w:val="21"/>
          <w:szCs w:val="21"/>
          <w:highlight w:val="none"/>
        </w:rPr>
        <w:t>≥0.999，校准曲线上各浓度点残差与理论浓度的比值应在</w:t>
      </w:r>
      <w:r>
        <w:rPr>
          <w:rFonts w:hint="eastAsia" w:ascii="Times New Roman" w:hAnsi="Times New Roman" w:cs="Times New Roman"/>
          <w:color w:val="auto"/>
          <w:sz w:val="21"/>
          <w:szCs w:val="21"/>
          <w:highlight w:val="none"/>
        </w:rPr>
        <w:t>±</w:t>
      </w:r>
      <w:r>
        <w:rPr>
          <w:rFonts w:ascii="Times New Roman" w:hAnsi="Times New Roman" w:cs="Times New Roman"/>
          <w:color w:val="auto"/>
          <w:sz w:val="21"/>
          <w:szCs w:val="21"/>
          <w:highlight w:val="none"/>
        </w:rPr>
        <w:t>10%以内。</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6.5.5半年质控</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应每半年至少对动态校准仪进行一次质量流量准确度检查。标准气体应为国家二级气体标准物质及以上。</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6.5.6 每年质控</w:t>
      </w:r>
    </w:p>
    <w:p>
      <w:pPr>
        <w:pStyle w:val="38"/>
        <w:shd w:val="clear" w:color="auto" w:fill="FFFFFF"/>
        <w:spacing w:before="120" w:beforeAutospacing="0" w:after="120" w:afterAutospacing="0" w:line="264" w:lineRule="auto"/>
        <w:ind w:firstLine="420" w:firstLineChars="20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应至少进行一次监测仪器的系统保养，对采样管路、仪器内部进样管路和检测器进行清洗等；更换必要的耗材与配件。保养及维修后，应进行多点校准以及重复性和检出限的测定，以确保仪器在维护前后数据的准确性和可比性。</w:t>
      </w:r>
    </w:p>
    <w:p>
      <w:pPr>
        <w:rPr>
          <w:b/>
          <w:bCs/>
          <w:color w:val="auto"/>
          <w:highlight w:val="none"/>
        </w:rPr>
      </w:pPr>
    </w:p>
    <w:p>
      <w:pPr>
        <w:ind w:firstLine="422" w:firstLineChars="200"/>
        <w:rPr>
          <w:b/>
          <w:bCs/>
          <w:color w:val="auto"/>
          <w:highlight w:val="none"/>
        </w:rPr>
      </w:pPr>
      <w:r>
        <w:rPr>
          <w:rFonts w:hint="eastAsia"/>
          <w:b/>
          <w:bCs/>
          <w:color w:val="auto"/>
          <w:highlight w:val="none"/>
        </w:rPr>
        <w:t>包2：省中心及汾湖超站新增颗粒物组分特征仪器运维服务</w:t>
      </w:r>
    </w:p>
    <w:p>
      <w:pPr>
        <w:jc w:val="left"/>
        <w:rPr>
          <w:b/>
          <w:color w:val="auto"/>
          <w:szCs w:val="21"/>
          <w:highlight w:val="none"/>
        </w:rPr>
      </w:pPr>
      <w:r>
        <w:rPr>
          <w:b/>
          <w:color w:val="auto"/>
          <w:szCs w:val="21"/>
          <w:highlight w:val="none"/>
        </w:rPr>
        <w:t>一、基本概况：</w:t>
      </w:r>
    </w:p>
    <w:p>
      <w:pPr>
        <w:spacing w:before="120" w:after="120" w:line="264" w:lineRule="auto"/>
        <w:ind w:firstLine="420" w:firstLineChars="200"/>
        <w:rPr>
          <w:color w:val="auto"/>
          <w:szCs w:val="21"/>
          <w:highlight w:val="none"/>
        </w:rPr>
      </w:pPr>
      <w:r>
        <w:rPr>
          <w:color w:val="auto"/>
          <w:szCs w:val="21"/>
          <w:highlight w:val="none"/>
        </w:rPr>
        <w:t>2022年以来，江苏省环境监测中心</w:t>
      </w:r>
      <w:r>
        <w:rPr>
          <w:rFonts w:hint="eastAsia"/>
          <w:color w:val="auto"/>
          <w:szCs w:val="21"/>
          <w:highlight w:val="none"/>
        </w:rPr>
        <w:t>通过填平补齐项目为汾湖超站</w:t>
      </w:r>
      <w:r>
        <w:rPr>
          <w:color w:val="auto"/>
          <w:szCs w:val="21"/>
          <w:highlight w:val="none"/>
        </w:rPr>
        <w:t>配置了在线气体组分及气溶胶监测系统——MARGA</w:t>
      </w:r>
      <w:r>
        <w:rPr>
          <w:rFonts w:hint="eastAsia"/>
          <w:color w:val="auto"/>
          <w:szCs w:val="21"/>
          <w:highlight w:val="none"/>
        </w:rPr>
        <w:t>、飞行时间-细颗粒物质谱仪（TOF</w:t>
      </w:r>
      <w:r>
        <w:rPr>
          <w:color w:val="auto"/>
          <w:szCs w:val="21"/>
          <w:highlight w:val="none"/>
        </w:rPr>
        <w:t>-</w:t>
      </w:r>
      <w:r>
        <w:rPr>
          <w:rFonts w:hint="eastAsia"/>
          <w:color w:val="auto"/>
          <w:szCs w:val="21"/>
          <w:highlight w:val="none"/>
        </w:rPr>
        <w:t>ACSM），</w:t>
      </w:r>
      <w:r>
        <w:rPr>
          <w:color w:val="auto"/>
          <w:szCs w:val="21"/>
          <w:highlight w:val="none"/>
        </w:rPr>
        <w:t>目前</w:t>
      </w:r>
      <w:r>
        <w:rPr>
          <w:rFonts w:hint="eastAsia"/>
          <w:color w:val="auto"/>
          <w:szCs w:val="21"/>
          <w:highlight w:val="none"/>
        </w:rPr>
        <w:t>上述</w:t>
      </w:r>
      <w:r>
        <w:rPr>
          <w:color w:val="auto"/>
          <w:szCs w:val="21"/>
          <w:highlight w:val="none"/>
        </w:rPr>
        <w:t>设备运行状况良好，处于连续采样、分析状态</w:t>
      </w:r>
      <w:r>
        <w:rPr>
          <w:rFonts w:hint="eastAsia"/>
          <w:color w:val="auto"/>
          <w:szCs w:val="21"/>
          <w:highlight w:val="none"/>
        </w:rPr>
        <w:t>（详见表2-</w:t>
      </w:r>
      <w:r>
        <w:rPr>
          <w:color w:val="auto"/>
          <w:szCs w:val="21"/>
          <w:highlight w:val="none"/>
        </w:rPr>
        <w:t>1</w:t>
      </w:r>
      <w:r>
        <w:rPr>
          <w:rFonts w:hint="eastAsia"/>
          <w:color w:val="auto"/>
          <w:szCs w:val="21"/>
          <w:highlight w:val="none"/>
        </w:rPr>
        <w:t>）。</w:t>
      </w:r>
      <w:r>
        <w:rPr>
          <w:color w:val="auto"/>
          <w:szCs w:val="21"/>
          <w:highlight w:val="none"/>
        </w:rPr>
        <w:t>汾湖超级站位于苏州市芦墟大渠荡生态公园</w:t>
      </w:r>
      <w:r>
        <w:rPr>
          <w:rFonts w:hint="eastAsia"/>
          <w:color w:val="auto"/>
          <w:szCs w:val="21"/>
          <w:highlight w:val="none"/>
        </w:rPr>
        <w:t>、</w:t>
      </w:r>
      <w:r>
        <w:rPr>
          <w:color w:val="auto"/>
          <w:szCs w:val="21"/>
          <w:highlight w:val="none"/>
        </w:rPr>
        <w:t>省级大气多参数站位于南京市建邺区中和路</w:t>
      </w:r>
      <w:r>
        <w:rPr>
          <w:rFonts w:hint="eastAsia"/>
          <w:color w:val="auto"/>
          <w:szCs w:val="21"/>
          <w:highlight w:val="none"/>
        </w:rPr>
        <w:t>1</w:t>
      </w:r>
      <w:r>
        <w:rPr>
          <w:color w:val="auto"/>
          <w:szCs w:val="21"/>
          <w:highlight w:val="none"/>
        </w:rPr>
        <w:t>00号江苏省环境监测中心。</w:t>
      </w:r>
    </w:p>
    <w:p>
      <w:pPr>
        <w:ind w:left="420" w:leftChars="200"/>
        <w:jc w:val="center"/>
        <w:rPr>
          <w:bCs/>
          <w:color w:val="auto"/>
          <w:szCs w:val="21"/>
          <w:highlight w:val="none"/>
        </w:rPr>
      </w:pPr>
      <w:r>
        <w:rPr>
          <w:color w:val="auto"/>
          <w:szCs w:val="21"/>
          <w:highlight w:val="none"/>
        </w:rPr>
        <w:t xml:space="preserve">表2-1 </w:t>
      </w:r>
      <w:r>
        <w:rPr>
          <w:bCs/>
          <w:color w:val="auto"/>
          <w:szCs w:val="21"/>
          <w:highlight w:val="none"/>
        </w:rPr>
        <w:t>设备清单及分项预算</w:t>
      </w:r>
    </w:p>
    <w:tbl>
      <w:tblPr>
        <w:tblStyle w:val="44"/>
        <w:tblW w:w="8327" w:type="dxa"/>
        <w:jc w:val="center"/>
        <w:tblLayout w:type="autofit"/>
        <w:tblCellMar>
          <w:top w:w="0" w:type="dxa"/>
          <w:left w:w="108" w:type="dxa"/>
          <w:bottom w:w="0" w:type="dxa"/>
          <w:right w:w="108" w:type="dxa"/>
        </w:tblCellMar>
      </w:tblPr>
      <w:tblGrid>
        <w:gridCol w:w="696"/>
        <w:gridCol w:w="2544"/>
        <w:gridCol w:w="1380"/>
        <w:gridCol w:w="891"/>
        <w:gridCol w:w="1476"/>
        <w:gridCol w:w="1340"/>
      </w:tblGrid>
      <w:tr>
        <w:tblPrEx>
          <w:tblCellMar>
            <w:top w:w="0" w:type="dxa"/>
            <w:left w:w="108" w:type="dxa"/>
            <w:bottom w:w="0" w:type="dxa"/>
            <w:right w:w="108" w:type="dxa"/>
          </w:tblCellMar>
        </w:tblPrEx>
        <w:trPr>
          <w:trHeight w:val="270"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pPr>
              <w:widowControl/>
              <w:jc w:val="center"/>
              <w:rPr>
                <w:rFonts w:cs="宋体"/>
                <w:color w:val="auto"/>
                <w:kern w:val="0"/>
                <w:szCs w:val="21"/>
                <w:highlight w:val="none"/>
              </w:rPr>
            </w:pPr>
            <w:r>
              <w:rPr>
                <w:rFonts w:hint="eastAsia" w:cs="宋体"/>
                <w:color w:val="auto"/>
                <w:kern w:val="0"/>
                <w:szCs w:val="21"/>
                <w:highlight w:val="none"/>
              </w:rPr>
              <w:t>序号</w:t>
            </w:r>
          </w:p>
        </w:tc>
        <w:tc>
          <w:tcPr>
            <w:tcW w:w="2544" w:type="dxa"/>
            <w:tcBorders>
              <w:top w:val="single" w:color="auto" w:sz="4" w:space="0"/>
              <w:left w:val="nil"/>
              <w:bottom w:val="single" w:color="auto" w:sz="4" w:space="0"/>
              <w:right w:val="single" w:color="auto" w:sz="4" w:space="0"/>
            </w:tcBorders>
            <w:shd w:val="clear" w:color="auto" w:fill="FFFFFF" w:themeFill="background1"/>
            <w:vAlign w:val="center"/>
          </w:tcPr>
          <w:p>
            <w:pPr>
              <w:widowControl/>
              <w:jc w:val="center"/>
              <w:rPr>
                <w:rFonts w:cs="宋体"/>
                <w:color w:val="auto"/>
                <w:kern w:val="0"/>
                <w:szCs w:val="21"/>
                <w:highlight w:val="none"/>
              </w:rPr>
            </w:pPr>
            <w:r>
              <w:rPr>
                <w:rFonts w:hint="eastAsia" w:cs="宋体"/>
                <w:color w:val="auto"/>
                <w:kern w:val="0"/>
                <w:szCs w:val="21"/>
                <w:highlight w:val="none"/>
              </w:rPr>
              <w:t>仪器名称</w:t>
            </w:r>
          </w:p>
        </w:tc>
        <w:tc>
          <w:tcPr>
            <w:tcW w:w="1380" w:type="dxa"/>
            <w:tcBorders>
              <w:top w:val="single" w:color="auto" w:sz="4" w:space="0"/>
              <w:left w:val="nil"/>
              <w:bottom w:val="single" w:color="auto" w:sz="4" w:space="0"/>
              <w:right w:val="single" w:color="auto" w:sz="4" w:space="0"/>
            </w:tcBorders>
            <w:shd w:val="clear" w:color="auto" w:fill="FFFFFF" w:themeFill="background1"/>
            <w:vAlign w:val="center"/>
          </w:tcPr>
          <w:p>
            <w:pPr>
              <w:widowControl/>
              <w:jc w:val="center"/>
              <w:rPr>
                <w:rFonts w:cs="宋体"/>
                <w:color w:val="auto"/>
                <w:kern w:val="0"/>
                <w:szCs w:val="21"/>
                <w:highlight w:val="none"/>
              </w:rPr>
            </w:pPr>
            <w:r>
              <w:rPr>
                <w:rFonts w:hint="eastAsia" w:cs="宋体"/>
                <w:color w:val="auto"/>
                <w:kern w:val="0"/>
                <w:szCs w:val="21"/>
                <w:highlight w:val="none"/>
              </w:rPr>
              <w:t>品牌</w:t>
            </w:r>
          </w:p>
        </w:tc>
        <w:tc>
          <w:tcPr>
            <w:tcW w:w="891" w:type="dxa"/>
            <w:tcBorders>
              <w:top w:val="single" w:color="auto" w:sz="4" w:space="0"/>
              <w:left w:val="nil"/>
              <w:bottom w:val="single" w:color="auto" w:sz="4" w:space="0"/>
              <w:right w:val="single" w:color="auto" w:sz="4" w:space="0"/>
            </w:tcBorders>
            <w:shd w:val="clear" w:color="auto" w:fill="FFFFFF" w:themeFill="background1"/>
            <w:vAlign w:val="center"/>
          </w:tcPr>
          <w:p>
            <w:pPr>
              <w:widowControl/>
              <w:jc w:val="center"/>
              <w:rPr>
                <w:rFonts w:cs="宋体"/>
                <w:color w:val="auto"/>
                <w:kern w:val="0"/>
                <w:szCs w:val="21"/>
                <w:highlight w:val="none"/>
              </w:rPr>
            </w:pPr>
            <w:r>
              <w:rPr>
                <w:rFonts w:hint="eastAsia" w:cs="宋体"/>
                <w:color w:val="auto"/>
                <w:kern w:val="0"/>
                <w:szCs w:val="21"/>
                <w:highlight w:val="none"/>
              </w:rPr>
              <w:t>型号</w:t>
            </w:r>
          </w:p>
        </w:tc>
        <w:tc>
          <w:tcPr>
            <w:tcW w:w="1476" w:type="dxa"/>
            <w:tcBorders>
              <w:top w:val="single" w:color="auto" w:sz="4" w:space="0"/>
              <w:left w:val="nil"/>
              <w:bottom w:val="single" w:color="auto" w:sz="4" w:space="0"/>
              <w:right w:val="single" w:color="auto" w:sz="4" w:space="0"/>
            </w:tcBorders>
            <w:shd w:val="clear" w:color="auto" w:fill="FFFFFF" w:themeFill="background1"/>
            <w:vAlign w:val="center"/>
          </w:tcPr>
          <w:p>
            <w:pPr>
              <w:widowControl/>
              <w:jc w:val="center"/>
              <w:rPr>
                <w:rFonts w:cs="宋体"/>
                <w:color w:val="auto"/>
                <w:kern w:val="0"/>
                <w:szCs w:val="21"/>
                <w:highlight w:val="none"/>
              </w:rPr>
            </w:pPr>
            <w:r>
              <w:rPr>
                <w:rFonts w:hint="eastAsia" w:cs="宋体"/>
                <w:color w:val="auto"/>
                <w:kern w:val="0"/>
                <w:szCs w:val="21"/>
                <w:highlight w:val="none"/>
              </w:rPr>
              <w:t>存放地</w:t>
            </w:r>
          </w:p>
        </w:tc>
        <w:tc>
          <w:tcPr>
            <w:tcW w:w="1340" w:type="dxa"/>
            <w:tcBorders>
              <w:top w:val="single" w:color="auto" w:sz="4" w:space="0"/>
              <w:left w:val="nil"/>
              <w:bottom w:val="single" w:color="auto" w:sz="4" w:space="0"/>
              <w:right w:val="single" w:color="auto" w:sz="4" w:space="0"/>
            </w:tcBorders>
            <w:shd w:val="clear" w:color="auto" w:fill="FFFFFF" w:themeFill="background1"/>
            <w:vAlign w:val="center"/>
          </w:tcPr>
          <w:p>
            <w:pPr>
              <w:jc w:val="center"/>
              <w:rPr>
                <w:color w:val="auto"/>
                <w:szCs w:val="21"/>
                <w:highlight w:val="none"/>
              </w:rPr>
            </w:pPr>
            <w:r>
              <w:rPr>
                <w:color w:val="auto"/>
                <w:szCs w:val="21"/>
                <w:highlight w:val="none"/>
              </w:rPr>
              <w:t>分项预算</w:t>
            </w:r>
          </w:p>
          <w:p>
            <w:pPr>
              <w:widowControl/>
              <w:jc w:val="center"/>
              <w:rPr>
                <w:rFonts w:cs="宋体"/>
                <w:color w:val="auto"/>
                <w:kern w:val="0"/>
                <w:szCs w:val="21"/>
                <w:highlight w:val="none"/>
              </w:rPr>
            </w:pPr>
            <w:r>
              <w:rPr>
                <w:rFonts w:hint="eastAsia"/>
                <w:color w:val="auto"/>
                <w:szCs w:val="21"/>
                <w:highlight w:val="none"/>
              </w:rPr>
              <w:t>（万元/年）</w:t>
            </w:r>
          </w:p>
        </w:tc>
      </w:tr>
      <w:tr>
        <w:tblPrEx>
          <w:tblCellMar>
            <w:top w:w="0" w:type="dxa"/>
            <w:left w:w="108" w:type="dxa"/>
            <w:bottom w:w="0" w:type="dxa"/>
            <w:right w:w="108" w:type="dxa"/>
          </w:tblCellMar>
        </w:tblPrEx>
        <w:trPr>
          <w:trHeight w:val="270" w:hRule="atLeast"/>
          <w:jc w:val="center"/>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color w:val="auto"/>
                <w:kern w:val="0"/>
                <w:szCs w:val="21"/>
                <w:highlight w:val="none"/>
              </w:rPr>
            </w:pPr>
            <w:r>
              <w:rPr>
                <w:rFonts w:hint="eastAsia" w:cs="宋体"/>
                <w:color w:val="auto"/>
                <w:kern w:val="0"/>
                <w:szCs w:val="21"/>
                <w:highlight w:val="none"/>
              </w:rPr>
              <w:t>1</w:t>
            </w:r>
          </w:p>
        </w:tc>
        <w:tc>
          <w:tcPr>
            <w:tcW w:w="2544"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水溶性离子在线分析仪</w:t>
            </w:r>
          </w:p>
        </w:tc>
        <w:tc>
          <w:tcPr>
            <w:tcW w:w="1380"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Marga</w:t>
            </w:r>
          </w:p>
        </w:tc>
        <w:tc>
          <w:tcPr>
            <w:tcW w:w="891"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2060</w:t>
            </w:r>
          </w:p>
        </w:tc>
        <w:tc>
          <w:tcPr>
            <w:tcW w:w="1476"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汾湖超站</w:t>
            </w:r>
          </w:p>
        </w:tc>
        <w:tc>
          <w:tcPr>
            <w:tcW w:w="1340" w:type="dxa"/>
            <w:tcBorders>
              <w:top w:val="nil"/>
              <w:left w:val="nil"/>
              <w:bottom w:val="single" w:color="auto" w:sz="4" w:space="0"/>
              <w:right w:val="single" w:color="auto" w:sz="4" w:space="0"/>
            </w:tcBorders>
            <w:vAlign w:val="center"/>
          </w:tcPr>
          <w:p>
            <w:pPr>
              <w:widowControl/>
              <w:jc w:val="center"/>
              <w:rPr>
                <w:rFonts w:cs="宋体"/>
                <w:color w:val="auto"/>
                <w:kern w:val="0"/>
                <w:szCs w:val="21"/>
                <w:highlight w:val="none"/>
              </w:rPr>
            </w:pPr>
            <w:r>
              <w:rPr>
                <w:rFonts w:cs="宋体"/>
                <w:color w:val="auto"/>
                <w:kern w:val="0"/>
                <w:szCs w:val="21"/>
                <w:highlight w:val="none"/>
              </w:rPr>
              <w:t>32</w:t>
            </w:r>
          </w:p>
        </w:tc>
      </w:tr>
      <w:tr>
        <w:tblPrEx>
          <w:tblCellMar>
            <w:top w:w="0" w:type="dxa"/>
            <w:left w:w="108" w:type="dxa"/>
            <w:bottom w:w="0" w:type="dxa"/>
            <w:right w:w="108" w:type="dxa"/>
          </w:tblCellMar>
        </w:tblPrEx>
        <w:trPr>
          <w:trHeight w:val="270" w:hRule="atLeast"/>
          <w:jc w:val="center"/>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color w:val="auto"/>
                <w:kern w:val="0"/>
                <w:szCs w:val="21"/>
                <w:highlight w:val="none"/>
              </w:rPr>
            </w:pPr>
            <w:r>
              <w:rPr>
                <w:rFonts w:hint="eastAsia" w:cs="宋体"/>
                <w:color w:val="auto"/>
                <w:kern w:val="0"/>
                <w:szCs w:val="21"/>
                <w:highlight w:val="none"/>
              </w:rPr>
              <w:t>2</w:t>
            </w:r>
          </w:p>
        </w:tc>
        <w:tc>
          <w:tcPr>
            <w:tcW w:w="2544"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细颗粒物质谱仪</w:t>
            </w:r>
          </w:p>
        </w:tc>
        <w:tc>
          <w:tcPr>
            <w:tcW w:w="1380"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Aerodyne</w:t>
            </w:r>
          </w:p>
        </w:tc>
        <w:tc>
          <w:tcPr>
            <w:tcW w:w="891"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TOF</w:t>
            </w:r>
          </w:p>
        </w:tc>
        <w:tc>
          <w:tcPr>
            <w:tcW w:w="1476"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大气多参数站</w:t>
            </w:r>
          </w:p>
        </w:tc>
        <w:tc>
          <w:tcPr>
            <w:tcW w:w="1340" w:type="dxa"/>
            <w:tcBorders>
              <w:top w:val="nil"/>
              <w:left w:val="nil"/>
              <w:bottom w:val="single" w:color="auto" w:sz="4" w:space="0"/>
              <w:right w:val="single" w:color="auto" w:sz="4" w:space="0"/>
            </w:tcBorders>
            <w:vAlign w:val="center"/>
          </w:tcPr>
          <w:p>
            <w:pPr>
              <w:widowControl/>
              <w:jc w:val="center"/>
              <w:rPr>
                <w:rFonts w:cs="宋体"/>
                <w:color w:val="auto"/>
                <w:kern w:val="0"/>
                <w:szCs w:val="21"/>
                <w:highlight w:val="none"/>
              </w:rPr>
            </w:pPr>
            <w:r>
              <w:rPr>
                <w:rFonts w:hint="eastAsia" w:cs="宋体"/>
                <w:color w:val="auto"/>
                <w:kern w:val="0"/>
                <w:szCs w:val="21"/>
                <w:highlight w:val="none"/>
              </w:rPr>
              <w:t>1</w:t>
            </w:r>
            <w:r>
              <w:rPr>
                <w:rFonts w:cs="宋体"/>
                <w:color w:val="auto"/>
                <w:kern w:val="0"/>
                <w:szCs w:val="21"/>
                <w:highlight w:val="none"/>
              </w:rPr>
              <w:t>3</w:t>
            </w:r>
          </w:p>
        </w:tc>
      </w:tr>
    </w:tbl>
    <w:p>
      <w:pPr>
        <w:ind w:firstLine="420" w:firstLineChars="200"/>
        <w:jc w:val="left"/>
        <w:rPr>
          <w:color w:val="auto"/>
          <w:szCs w:val="21"/>
          <w:highlight w:val="none"/>
        </w:rPr>
      </w:pPr>
    </w:p>
    <w:p>
      <w:pPr>
        <w:jc w:val="left"/>
        <w:rPr>
          <w:b/>
          <w:color w:val="auto"/>
          <w:szCs w:val="21"/>
          <w:highlight w:val="none"/>
        </w:rPr>
      </w:pPr>
      <w:r>
        <w:rPr>
          <w:b/>
          <w:color w:val="auto"/>
          <w:szCs w:val="21"/>
          <w:highlight w:val="none"/>
        </w:rPr>
        <w:t>二、项目需求：</w:t>
      </w:r>
    </w:p>
    <w:p>
      <w:pPr>
        <w:spacing w:before="120" w:after="120" w:line="264" w:lineRule="auto"/>
        <w:ind w:firstLine="420" w:firstLineChars="200"/>
        <w:jc w:val="left"/>
        <w:rPr>
          <w:color w:val="auto"/>
          <w:szCs w:val="21"/>
          <w:highlight w:val="none"/>
        </w:rPr>
      </w:pPr>
      <w:r>
        <w:rPr>
          <w:color w:val="auto"/>
          <w:szCs w:val="21"/>
          <w:highlight w:val="none"/>
        </w:rPr>
        <w:t>该设备运维服务需求为技术运维服务，包含仪器运行所使用的耗材、配件等，具体要求如下：</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2.1总体要求</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2.1.1投标单位应</w:t>
      </w:r>
      <w:r>
        <w:rPr>
          <w:rFonts w:hint="eastAsia"/>
          <w:color w:val="auto"/>
          <w:szCs w:val="21"/>
          <w:highlight w:val="none"/>
        </w:rPr>
        <w:t>配备运维工作所需要的</w:t>
      </w:r>
      <w:r>
        <w:rPr>
          <w:color w:val="auto"/>
          <w:szCs w:val="21"/>
          <w:highlight w:val="none"/>
        </w:rPr>
        <w:t>专用仪器维修工具（包括万用表、工具箱等）、通讯调试工具（包括各种硬件接口线、改线工具、接口调试软件及常用零部件等）；</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2.1.2投标单位应提供完整的运维人员管理方案，</w:t>
      </w:r>
      <w:r>
        <w:rPr>
          <w:rFonts w:hint="eastAsia"/>
          <w:color w:val="auto"/>
          <w:szCs w:val="21"/>
          <w:highlight w:val="none"/>
        </w:rPr>
        <w:t>具备应对人员流动的应急预案，</w:t>
      </w:r>
      <w:r>
        <w:rPr>
          <w:color w:val="auto"/>
          <w:szCs w:val="21"/>
          <w:highlight w:val="none"/>
        </w:rPr>
        <w:t>提出解决</w:t>
      </w:r>
      <w:r>
        <w:rPr>
          <w:rFonts w:hint="eastAsia"/>
          <w:color w:val="auto"/>
          <w:szCs w:val="21"/>
          <w:highlight w:val="none"/>
        </w:rPr>
        <w:t>技术</w:t>
      </w:r>
      <w:r>
        <w:rPr>
          <w:color w:val="auto"/>
          <w:szCs w:val="21"/>
          <w:highlight w:val="none"/>
        </w:rPr>
        <w:t>人员队伍稳定的措施；</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2.1.3投标单位应提供详细的运维管理服务方案</w:t>
      </w:r>
      <w:r>
        <w:rPr>
          <w:rFonts w:hint="eastAsia"/>
          <w:color w:val="auto"/>
          <w:szCs w:val="21"/>
          <w:highlight w:val="none"/>
        </w:rPr>
        <w:t>、质量控制方案和应急服务保障方案</w:t>
      </w:r>
      <w:r>
        <w:rPr>
          <w:color w:val="auto"/>
          <w:szCs w:val="21"/>
          <w:highlight w:val="none"/>
        </w:rPr>
        <w:t>；</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2.1.4在该设备代维及管理期间，投标单位应严格按照业主要求的操作规范和规章制度（详见技术运维要求部分），对所管理的系统及仪器设备进行规范操作和精心维护及必要维修，保证系统及仪器设备的正常运行，满足省环境监测中心提出的系统及仪器设备考核指标要求。</w:t>
      </w:r>
    </w:p>
    <w:p>
      <w:pPr>
        <w:tabs>
          <w:tab w:val="left" w:pos="540"/>
          <w:tab w:val="left" w:pos="900"/>
        </w:tabs>
        <w:spacing w:before="120" w:after="120" w:line="264" w:lineRule="auto"/>
        <w:ind w:firstLine="420" w:firstLineChars="200"/>
        <w:jc w:val="left"/>
        <w:rPr>
          <w:color w:val="auto"/>
          <w:szCs w:val="21"/>
          <w:highlight w:val="none"/>
        </w:rPr>
      </w:pPr>
      <w:r>
        <w:rPr>
          <w:bCs/>
          <w:color w:val="auto"/>
          <w:szCs w:val="21"/>
          <w:highlight w:val="none"/>
        </w:rPr>
        <w:t>2.1.5</w:t>
      </w:r>
      <w:r>
        <w:rPr>
          <w:rFonts w:hint="eastAsia"/>
          <w:bCs/>
          <w:color w:val="auto"/>
          <w:szCs w:val="21"/>
          <w:highlight w:val="none"/>
        </w:rPr>
        <w:t>在该设备代维及管理期间，未经允许，承担运维单位不得以直接、间接、口头或书面等形式将观测数据披露给其他人员或第三方单位，因数据泄露而造成业主损失，业主将通过法律途径向投标单位索赔。</w:t>
      </w:r>
    </w:p>
    <w:p>
      <w:pPr>
        <w:tabs>
          <w:tab w:val="left" w:pos="540"/>
          <w:tab w:val="left" w:pos="900"/>
        </w:tabs>
        <w:spacing w:before="120" w:after="120" w:line="264" w:lineRule="auto"/>
        <w:ind w:firstLine="420" w:firstLineChars="200"/>
        <w:jc w:val="left"/>
        <w:rPr>
          <w:color w:val="auto"/>
          <w:szCs w:val="21"/>
          <w:highlight w:val="none"/>
        </w:rPr>
      </w:pPr>
      <w:r>
        <w:rPr>
          <w:rFonts w:hint="eastAsia"/>
          <w:bCs/>
          <w:color w:val="auto"/>
          <w:szCs w:val="21"/>
          <w:highlight w:val="none"/>
        </w:rPr>
        <w:t>2</w:t>
      </w:r>
      <w:r>
        <w:rPr>
          <w:bCs/>
          <w:color w:val="auto"/>
          <w:szCs w:val="21"/>
          <w:highlight w:val="none"/>
        </w:rPr>
        <w:t xml:space="preserve">.1.6 </w:t>
      </w:r>
      <w:r>
        <w:rPr>
          <w:rFonts w:hint="eastAsia"/>
          <w:bCs/>
          <w:color w:val="auto"/>
          <w:szCs w:val="21"/>
          <w:highlight w:val="none"/>
        </w:rPr>
        <w:t>数据分析和审核：每季度提供一份数据分析报告。</w:t>
      </w:r>
      <w:r>
        <w:rPr>
          <w:color w:val="auto"/>
          <w:szCs w:val="21"/>
          <w:highlight w:val="none"/>
        </w:rPr>
        <w:t>按业主要求</w:t>
      </w:r>
      <w:r>
        <w:rPr>
          <w:rFonts w:hint="eastAsia"/>
          <w:color w:val="auto"/>
          <w:szCs w:val="21"/>
          <w:highlight w:val="none"/>
        </w:rPr>
        <w:t>，</w:t>
      </w:r>
      <w:r>
        <w:rPr>
          <w:color w:val="auto"/>
          <w:szCs w:val="21"/>
          <w:highlight w:val="none"/>
        </w:rPr>
        <w:t>开展</w:t>
      </w:r>
      <w:r>
        <w:rPr>
          <w:rFonts w:hint="eastAsia"/>
          <w:color w:val="auto"/>
          <w:szCs w:val="21"/>
          <w:highlight w:val="none"/>
        </w:rPr>
        <w:t>平台上</w:t>
      </w:r>
      <w:r>
        <w:rPr>
          <w:color w:val="auto"/>
          <w:szCs w:val="21"/>
          <w:highlight w:val="none"/>
        </w:rPr>
        <w:t>每日数据在线审核工作</w:t>
      </w:r>
      <w:r>
        <w:rPr>
          <w:rFonts w:hint="eastAsia"/>
          <w:color w:val="auto"/>
          <w:szCs w:val="21"/>
          <w:highlight w:val="none"/>
        </w:rPr>
        <w:t>。</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2.1.7大型活动保障。质控服务方依据用户提前通知的要求，在年度内有大型赛事、活动和重污染物天气时间段内，提供加密质控保障工作。</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2.1.8</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故障响应：</w:t>
      </w:r>
      <w:r>
        <w:rPr>
          <w:color w:val="auto"/>
          <w:szCs w:val="21"/>
          <w:highlight w:val="none"/>
        </w:rPr>
        <w:t>接到用户故障信息后，2小时内远程协助，24小时内到达现场。</w:t>
      </w:r>
    </w:p>
    <w:p>
      <w:pPr>
        <w:tabs>
          <w:tab w:val="left" w:pos="540"/>
          <w:tab w:val="left" w:pos="900"/>
        </w:tabs>
        <w:spacing w:before="120" w:after="120" w:line="264" w:lineRule="auto"/>
        <w:ind w:firstLine="420" w:firstLineChars="200"/>
        <w:jc w:val="left"/>
        <w:rPr>
          <w:color w:val="auto"/>
          <w:szCs w:val="21"/>
          <w:highlight w:val="none"/>
        </w:rPr>
      </w:pPr>
      <w:r>
        <w:rPr>
          <w:color w:val="auto"/>
          <w:highlight w:val="none"/>
        </w:rPr>
        <w:t>2.1</w:t>
      </w:r>
      <w:r>
        <w:rPr>
          <w:rFonts w:hint="eastAsia"/>
          <w:color w:val="auto"/>
          <w:highlight w:val="none"/>
        </w:rPr>
        <w:t>.</w:t>
      </w:r>
      <w:r>
        <w:rPr>
          <w:color w:val="auto"/>
          <w:highlight w:val="none"/>
        </w:rPr>
        <w:t>9投标单位中标后</w:t>
      </w:r>
      <w:r>
        <w:rPr>
          <w:rFonts w:hint="eastAsia"/>
          <w:color w:val="auto"/>
          <w:highlight w:val="none"/>
        </w:rPr>
        <w:t>需</w:t>
      </w:r>
      <w:r>
        <w:rPr>
          <w:color w:val="auto"/>
          <w:highlight w:val="none"/>
        </w:rPr>
        <w:t>承担汾湖超站运行70</w:t>
      </w:r>
      <w:r>
        <w:rPr>
          <w:rFonts w:hint="eastAsia"/>
          <w:color w:val="auto"/>
          <w:highlight w:val="none"/>
        </w:rPr>
        <w:t>%</w:t>
      </w:r>
      <w:r>
        <w:rPr>
          <w:color w:val="auto"/>
          <w:highlight w:val="none"/>
        </w:rPr>
        <w:t>的电费支出</w:t>
      </w:r>
      <w:r>
        <w:rPr>
          <w:rFonts w:hint="eastAsia"/>
          <w:color w:val="auto"/>
          <w:highlight w:val="none"/>
        </w:rPr>
        <w:t>。</w:t>
      </w:r>
    </w:p>
    <w:p>
      <w:pPr>
        <w:spacing w:before="120" w:after="120" w:line="264" w:lineRule="auto"/>
        <w:ind w:firstLine="420" w:firstLineChars="200"/>
        <w:jc w:val="left"/>
        <w:rPr>
          <w:color w:val="auto"/>
          <w:szCs w:val="21"/>
          <w:highlight w:val="none"/>
        </w:rPr>
      </w:pPr>
      <w:r>
        <w:rPr>
          <w:color w:val="auto"/>
          <w:szCs w:val="21"/>
          <w:highlight w:val="none"/>
        </w:rPr>
        <w:t>2.1.10  运维记录与报告</w:t>
      </w:r>
    </w:p>
    <w:p>
      <w:pPr>
        <w:spacing w:before="120" w:after="120" w:line="264" w:lineRule="auto"/>
        <w:ind w:firstLine="420" w:firstLineChars="200"/>
        <w:jc w:val="left"/>
        <w:rPr>
          <w:color w:val="auto"/>
          <w:szCs w:val="21"/>
          <w:highlight w:val="none"/>
        </w:rPr>
      </w:pPr>
      <w:r>
        <w:rPr>
          <w:color w:val="auto"/>
          <w:szCs w:val="21"/>
          <w:highlight w:val="none"/>
        </w:rPr>
        <w:t>2.1. 10.1依据仪器特性及上述运维要求，编制相应运维、质控记录表单。</w:t>
      </w:r>
    </w:p>
    <w:p>
      <w:pPr>
        <w:spacing w:before="120" w:after="120" w:line="264" w:lineRule="auto"/>
        <w:ind w:firstLine="420" w:firstLineChars="200"/>
        <w:jc w:val="left"/>
        <w:rPr>
          <w:color w:val="auto"/>
          <w:szCs w:val="21"/>
          <w:highlight w:val="none"/>
        </w:rPr>
      </w:pPr>
      <w:r>
        <w:rPr>
          <w:color w:val="auto"/>
          <w:szCs w:val="21"/>
          <w:highlight w:val="none"/>
        </w:rPr>
        <w:t>2.1. 10.2依据技术运维要求，每月提交相应技术运维记录。</w:t>
      </w:r>
    </w:p>
    <w:p>
      <w:pPr>
        <w:spacing w:before="120" w:after="120" w:line="264" w:lineRule="auto"/>
        <w:ind w:firstLine="420" w:firstLineChars="200"/>
        <w:jc w:val="left"/>
        <w:rPr>
          <w:color w:val="auto"/>
          <w:szCs w:val="21"/>
          <w:highlight w:val="none"/>
        </w:rPr>
      </w:pPr>
      <w:r>
        <w:rPr>
          <w:color w:val="auto"/>
          <w:szCs w:val="21"/>
          <w:highlight w:val="none"/>
        </w:rPr>
        <w:t>2.1. 10.3</w:t>
      </w:r>
      <w:r>
        <w:rPr>
          <w:rFonts w:hint="eastAsia"/>
          <w:color w:val="auto"/>
          <w:szCs w:val="21"/>
          <w:highlight w:val="none"/>
        </w:rPr>
        <w:t>每年度</w:t>
      </w:r>
      <w:r>
        <w:rPr>
          <w:color w:val="auto"/>
          <w:szCs w:val="21"/>
          <w:highlight w:val="none"/>
        </w:rPr>
        <w:t>提交运维总结报告。运维总结报告需包含履行运维工作期间开展的所有运维工作内容及相关原始技术记录，并附开展现场运维、质控工作时的现场照片，并统计所有质控样品结果，并进行符合性分析；同时结合履行运维服务期间仪器运行、质控、故障、维修等情况，提出改善性建议。</w:t>
      </w:r>
    </w:p>
    <w:p>
      <w:pPr>
        <w:spacing w:before="120" w:after="120" w:line="264" w:lineRule="auto"/>
        <w:ind w:firstLine="420" w:firstLineChars="200"/>
        <w:jc w:val="left"/>
        <w:rPr>
          <w:color w:val="auto"/>
          <w:szCs w:val="21"/>
          <w:highlight w:val="none"/>
        </w:rPr>
      </w:pPr>
      <w:r>
        <w:rPr>
          <w:color w:val="auto"/>
          <w:szCs w:val="21"/>
          <w:highlight w:val="none"/>
        </w:rPr>
        <w:t>2.1. 10.4依据运维总结报告制作汇报材料（PPT）向业主进行总结性汇报。</w:t>
      </w:r>
    </w:p>
    <w:p>
      <w:pPr>
        <w:spacing w:before="120" w:after="120" w:line="264" w:lineRule="auto"/>
        <w:ind w:firstLine="420" w:firstLineChars="200"/>
        <w:jc w:val="left"/>
        <w:rPr>
          <w:color w:val="auto"/>
          <w:szCs w:val="21"/>
          <w:highlight w:val="none"/>
        </w:rPr>
      </w:pPr>
      <w:r>
        <w:rPr>
          <w:color w:val="auto"/>
          <w:szCs w:val="21"/>
          <w:highlight w:val="none"/>
        </w:rPr>
        <w:t>2.1.11</w:t>
      </w:r>
      <w:r>
        <w:rPr>
          <w:rFonts w:hint="eastAsia"/>
          <w:color w:val="auto"/>
          <w:szCs w:val="21"/>
          <w:highlight w:val="none"/>
        </w:rPr>
        <w:t xml:space="preserve"> </w:t>
      </w:r>
      <w:r>
        <w:rPr>
          <w:color w:val="auto"/>
          <w:szCs w:val="21"/>
          <w:highlight w:val="none"/>
        </w:rPr>
        <w:t xml:space="preserve"> 辅助服务要求</w:t>
      </w:r>
    </w:p>
    <w:p>
      <w:pPr>
        <w:spacing w:before="120" w:after="120" w:line="264" w:lineRule="auto"/>
        <w:ind w:firstLine="420" w:firstLineChars="200"/>
        <w:jc w:val="left"/>
        <w:rPr>
          <w:color w:val="auto"/>
          <w:szCs w:val="21"/>
          <w:highlight w:val="none"/>
        </w:rPr>
      </w:pPr>
      <w:r>
        <w:rPr>
          <w:color w:val="auto"/>
          <w:szCs w:val="21"/>
          <w:highlight w:val="none"/>
        </w:rPr>
        <w:t>2.1.11</w:t>
      </w:r>
      <w:r>
        <w:rPr>
          <w:rFonts w:hint="eastAsia"/>
          <w:color w:val="auto"/>
          <w:szCs w:val="21"/>
          <w:highlight w:val="none"/>
        </w:rPr>
        <w:t>.</w:t>
      </w:r>
      <w:r>
        <w:rPr>
          <w:color w:val="auto"/>
          <w:szCs w:val="21"/>
          <w:highlight w:val="none"/>
        </w:rPr>
        <w:t>1仪器发生故障时，配合业主开展仪器维修相关工作；</w:t>
      </w:r>
    </w:p>
    <w:p>
      <w:pPr>
        <w:spacing w:before="120" w:after="120" w:line="264" w:lineRule="auto"/>
        <w:ind w:firstLine="420" w:firstLineChars="200"/>
        <w:jc w:val="left"/>
        <w:rPr>
          <w:color w:val="auto"/>
          <w:szCs w:val="21"/>
          <w:highlight w:val="none"/>
        </w:rPr>
      </w:pPr>
      <w:r>
        <w:rPr>
          <w:color w:val="auto"/>
          <w:szCs w:val="21"/>
          <w:highlight w:val="none"/>
        </w:rPr>
        <w:t>2.1.11</w:t>
      </w:r>
      <w:r>
        <w:rPr>
          <w:rFonts w:hint="eastAsia"/>
          <w:color w:val="auto"/>
          <w:szCs w:val="21"/>
          <w:highlight w:val="none"/>
        </w:rPr>
        <w:t>.</w:t>
      </w:r>
      <w:r>
        <w:rPr>
          <w:color w:val="auto"/>
          <w:szCs w:val="21"/>
          <w:highlight w:val="none"/>
        </w:rPr>
        <w:t>2定期配合业主开展仪器配件、耗材库存清点工作，制定采购规划；</w:t>
      </w:r>
    </w:p>
    <w:p>
      <w:pPr>
        <w:spacing w:before="120" w:after="120" w:line="264" w:lineRule="auto"/>
        <w:ind w:firstLine="420" w:firstLineChars="200"/>
        <w:jc w:val="left"/>
        <w:rPr>
          <w:color w:val="auto"/>
          <w:szCs w:val="21"/>
          <w:highlight w:val="none"/>
        </w:rPr>
      </w:pPr>
      <w:r>
        <w:rPr>
          <w:color w:val="auto"/>
          <w:szCs w:val="21"/>
          <w:highlight w:val="none"/>
        </w:rPr>
        <w:t>2.1.11</w:t>
      </w:r>
      <w:r>
        <w:rPr>
          <w:rFonts w:hint="eastAsia"/>
          <w:color w:val="auto"/>
          <w:szCs w:val="21"/>
          <w:highlight w:val="none"/>
        </w:rPr>
        <w:t>.</w:t>
      </w:r>
      <w:r>
        <w:rPr>
          <w:color w:val="auto"/>
          <w:szCs w:val="21"/>
          <w:highlight w:val="none"/>
        </w:rPr>
        <w:t>3</w:t>
      </w:r>
      <w:r>
        <w:rPr>
          <w:rFonts w:hint="eastAsia"/>
          <w:color w:val="auto"/>
          <w:szCs w:val="21"/>
          <w:highlight w:val="none"/>
        </w:rPr>
        <w:t>每次运维工作完成后对工作区域进行清洁整理；</w:t>
      </w:r>
    </w:p>
    <w:p>
      <w:pPr>
        <w:spacing w:before="120" w:after="120" w:line="264" w:lineRule="auto"/>
        <w:ind w:firstLine="420" w:firstLineChars="200"/>
        <w:jc w:val="left"/>
        <w:rPr>
          <w:color w:val="auto"/>
          <w:szCs w:val="21"/>
          <w:highlight w:val="none"/>
        </w:rPr>
      </w:pPr>
      <w:r>
        <w:rPr>
          <w:color w:val="auto"/>
          <w:szCs w:val="21"/>
          <w:highlight w:val="none"/>
        </w:rPr>
        <w:t>2.1.11</w:t>
      </w:r>
      <w:r>
        <w:rPr>
          <w:rFonts w:hint="eastAsia"/>
          <w:color w:val="auto"/>
          <w:szCs w:val="21"/>
          <w:highlight w:val="none"/>
        </w:rPr>
        <w:t>.</w:t>
      </w:r>
      <w:r>
        <w:rPr>
          <w:color w:val="auto"/>
          <w:szCs w:val="21"/>
          <w:highlight w:val="none"/>
        </w:rPr>
        <w:t>4</w:t>
      </w:r>
      <w:r>
        <w:rPr>
          <w:rFonts w:hint="eastAsia"/>
          <w:color w:val="auto"/>
          <w:szCs w:val="21"/>
          <w:highlight w:val="none"/>
        </w:rPr>
        <w:t>按业主安排的值班表每周在站房值班1天，开展清洁卫生和安全检查工作；</w:t>
      </w:r>
    </w:p>
    <w:p>
      <w:pPr>
        <w:spacing w:before="120" w:after="120" w:line="264" w:lineRule="auto"/>
        <w:ind w:firstLine="420" w:firstLineChars="200"/>
        <w:jc w:val="left"/>
        <w:rPr>
          <w:color w:val="auto"/>
          <w:szCs w:val="21"/>
          <w:highlight w:val="none"/>
        </w:rPr>
      </w:pPr>
      <w:r>
        <w:rPr>
          <w:color w:val="auto"/>
          <w:szCs w:val="21"/>
          <w:highlight w:val="none"/>
        </w:rPr>
        <w:t>2.1.11</w:t>
      </w:r>
      <w:r>
        <w:rPr>
          <w:rFonts w:hint="eastAsia"/>
          <w:color w:val="auto"/>
          <w:szCs w:val="21"/>
          <w:highlight w:val="none"/>
        </w:rPr>
        <w:t>.</w:t>
      </w:r>
      <w:r>
        <w:rPr>
          <w:color w:val="auto"/>
          <w:szCs w:val="21"/>
          <w:highlight w:val="none"/>
        </w:rPr>
        <w:t>5运维期满后，配合业主进行仪器交接，交接期间承担仪器正常运维工作（不包括质控工作</w:t>
      </w:r>
      <w:r>
        <w:rPr>
          <w:rFonts w:hint="eastAsia"/>
          <w:color w:val="auto"/>
          <w:szCs w:val="21"/>
          <w:highlight w:val="none"/>
        </w:rPr>
        <w:t>；</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2.2运行维护工作目标</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2.2.1设备在线率：开展运维服务期间，需确保仪器在线率不得低于90%（仪器在线率=仪器实际运行时间/仪器可运行时间）</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注：仪器实际运行时间为仪器开机运行且仪器内能获取监测数据的时间；仪器可运行时间=约定的总时间-仪器停机维护时-仪器校准时间-不可抗力停机时间（如停电等）</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2.2.2有效数据获取率：开展运维服务期间，需确保仪器有效数据获取率不得低于85%（有效数据获取率=有效监测数据量/获取监测数据量）</w:t>
      </w:r>
    </w:p>
    <w:p>
      <w:pPr>
        <w:tabs>
          <w:tab w:val="left" w:pos="540"/>
          <w:tab w:val="left" w:pos="900"/>
        </w:tabs>
        <w:spacing w:before="120" w:after="120" w:line="264" w:lineRule="auto"/>
        <w:ind w:firstLine="420" w:firstLineChars="200"/>
        <w:jc w:val="left"/>
        <w:rPr>
          <w:color w:val="auto"/>
          <w:szCs w:val="21"/>
          <w:highlight w:val="none"/>
        </w:rPr>
      </w:pPr>
      <w:r>
        <w:rPr>
          <w:rFonts w:hint="eastAsia"/>
          <w:color w:val="auto"/>
          <w:szCs w:val="21"/>
          <w:highlight w:val="none"/>
        </w:rPr>
        <w:t>2</w:t>
      </w:r>
      <w:r>
        <w:rPr>
          <w:color w:val="auto"/>
          <w:szCs w:val="21"/>
          <w:highlight w:val="none"/>
        </w:rPr>
        <w:t xml:space="preserve">.2.3 </w:t>
      </w:r>
      <w:r>
        <w:rPr>
          <w:rFonts w:hint="eastAsia"/>
          <w:color w:val="auto"/>
          <w:szCs w:val="21"/>
          <w:highlight w:val="none"/>
        </w:rPr>
        <w:t>数据联网率：配合业主完成设备的联网工作，并保障数据的联网率在</w:t>
      </w:r>
      <w:r>
        <w:rPr>
          <w:color w:val="auto"/>
          <w:szCs w:val="21"/>
          <w:highlight w:val="none"/>
        </w:rPr>
        <w:t>95%以上； （</w:t>
      </w:r>
      <w:r>
        <w:rPr>
          <w:rFonts w:hint="eastAsia"/>
          <w:color w:val="auto"/>
          <w:szCs w:val="21"/>
          <w:highlight w:val="none"/>
        </w:rPr>
        <w:t>数据联网率</w:t>
      </w:r>
      <w:r>
        <w:rPr>
          <w:color w:val="auto"/>
          <w:szCs w:val="21"/>
          <w:highlight w:val="none"/>
        </w:rPr>
        <w:t>=</w:t>
      </w:r>
      <w:r>
        <w:rPr>
          <w:rFonts w:hint="eastAsia"/>
          <w:color w:val="auto"/>
          <w:szCs w:val="21"/>
          <w:highlight w:val="none"/>
        </w:rPr>
        <w:t>平台上</w:t>
      </w:r>
      <w:r>
        <w:rPr>
          <w:color w:val="auto"/>
          <w:szCs w:val="21"/>
          <w:highlight w:val="none"/>
        </w:rPr>
        <w:t>有效监测数据量/获取监测数据量）</w:t>
      </w:r>
    </w:p>
    <w:p>
      <w:pPr>
        <w:spacing w:before="120" w:after="120" w:line="264" w:lineRule="auto"/>
        <w:ind w:firstLine="420" w:firstLineChars="200"/>
        <w:rPr>
          <w:bCs/>
          <w:color w:val="auto"/>
          <w:szCs w:val="21"/>
          <w:highlight w:val="none"/>
        </w:rPr>
      </w:pPr>
      <w:r>
        <w:rPr>
          <w:rFonts w:hint="eastAsia"/>
          <w:bCs/>
          <w:color w:val="auto"/>
          <w:szCs w:val="21"/>
          <w:highlight w:val="none"/>
        </w:rPr>
        <w:t>2</w:t>
      </w:r>
      <w:r>
        <w:rPr>
          <w:bCs/>
          <w:color w:val="auto"/>
          <w:szCs w:val="21"/>
          <w:highlight w:val="none"/>
        </w:rPr>
        <w:t xml:space="preserve">.3 </w:t>
      </w:r>
      <w:r>
        <w:rPr>
          <w:rFonts w:hint="eastAsia"/>
          <w:bCs/>
          <w:color w:val="auto"/>
          <w:szCs w:val="21"/>
          <w:highlight w:val="none"/>
        </w:rPr>
        <w:t>电费：承担汾湖超站所有运行电费的</w:t>
      </w:r>
      <w:r>
        <w:rPr>
          <w:bCs/>
          <w:color w:val="auto"/>
          <w:szCs w:val="21"/>
          <w:highlight w:val="none"/>
        </w:rPr>
        <w:t>20%</w:t>
      </w:r>
    </w:p>
    <w:p>
      <w:pPr>
        <w:spacing w:before="120" w:after="120" w:line="264" w:lineRule="auto"/>
        <w:ind w:firstLine="200"/>
        <w:jc w:val="left"/>
        <w:rPr>
          <w:b/>
          <w:color w:val="auto"/>
          <w:szCs w:val="21"/>
          <w:highlight w:val="none"/>
        </w:rPr>
      </w:pPr>
      <w:r>
        <w:rPr>
          <w:rFonts w:hint="eastAsia"/>
          <w:b/>
          <w:color w:val="auto"/>
          <w:szCs w:val="21"/>
          <w:highlight w:val="none"/>
        </w:rPr>
        <w:t>三</w:t>
      </w:r>
      <w:r>
        <w:rPr>
          <w:b/>
          <w:color w:val="auto"/>
          <w:szCs w:val="21"/>
          <w:highlight w:val="none"/>
        </w:rPr>
        <w:t>、</w:t>
      </w:r>
      <w:r>
        <w:rPr>
          <w:rFonts w:hint="eastAsia"/>
          <w:b/>
          <w:color w:val="auto"/>
          <w:szCs w:val="21"/>
          <w:highlight w:val="none"/>
        </w:rPr>
        <w:t>在线离子色谱运维需求</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3.1技术运维要求</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3.1.1每日例行质量控制检查：每日远程登陆仪器检查阴、阳离子柱压，采样流量，内标响应状况等仪器参数，及时填写日质控记录；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3.1.2、每周例行质控：现场更换仪器工作所需的纯水和配制相应的试剂，依据周期更换采样单元过滤头、吸收液和淋洗液，检查进样系统是否有气泡，数据库数据检查、备份，负责对仪器工作区域进行保洁，及时填写质量控制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3.1.3、每月预防性质量查核：清洗室外切割器，排除管路气泡，更换保护柱滤芯，对各传动部件进行相应的清理和润滑工作，保证仪器良好的状况，填写预防性维护记录。</w:t>
      </w:r>
      <w:r>
        <w:rPr>
          <w:rFonts w:hint="eastAsia"/>
          <w:color w:val="auto"/>
          <w:szCs w:val="21"/>
          <w:highlight w:val="none"/>
        </w:rPr>
        <w:t>每月进行一次采样流量核查工作，确保与仪器规定的采样流量相符，如果流量误差超出5%的偏差需进行多点校准。</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3.1.4、每季度系统性质量控制：每季度需进行一次分析单元标定及采样单元的清洗工作</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3.1.4.1每季度清洗采样总管一次，依据阴、阳离子柱状态，在需要的情况下及时更换色谱柱，对所有配制和储存溶液的容器进行除菌，及时填写相关记录。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3.1.4.2每季度进行一次采样单元与样品前端收集单元清洗，每次清洗时间不得低于12小时，系统自清洗状态恢复至分析状态不得低于4小时。</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3.1.4.</w:t>
      </w:r>
      <w:bookmarkStart w:id="16" w:name="_Hlk498518045"/>
      <w:r>
        <w:rPr>
          <w:color w:val="auto"/>
          <w:szCs w:val="21"/>
          <w:highlight w:val="none"/>
        </w:rPr>
        <w:t>3根据用户需求配置不同浓度标液对分析单元进行标定并及时填写记录</w:t>
      </w:r>
      <w:bookmarkEnd w:id="16"/>
      <w:r>
        <w:rPr>
          <w:color w:val="auto"/>
          <w:szCs w:val="21"/>
          <w:highlight w:val="none"/>
        </w:rPr>
        <w:t>，若系统维护与质控期间出现秸秆焚烧、沙尘、重污染等特殊天气时，上述维护和质控工作可依据用户需求进行延期。</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3.1.5、每半年质量查核：每半年更换阴阳离子进样系统定量环，更换阴阳离子柱淋洗液过滤头，及时填写相关记录。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3.1.6、每年</w:t>
      </w:r>
      <w:r>
        <w:rPr>
          <w:rFonts w:hint="eastAsia"/>
          <w:color w:val="auto"/>
          <w:szCs w:val="21"/>
          <w:highlight w:val="none"/>
        </w:rPr>
        <w:t>核查一次</w:t>
      </w:r>
      <w:r>
        <w:rPr>
          <w:color w:val="auto"/>
          <w:szCs w:val="21"/>
          <w:highlight w:val="none"/>
        </w:rPr>
        <w:t>Marga的系统背景值，并根据用户需求配置不同浓度的SO2标准品，验证全系统对SO2的回收效率，并及时填写记录。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3.1.7、每年质量评价：每年度对MARGA进行全年运行质量评价，及时填写相关记录，并编制年度质量控制报告。</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3.1.8、根据仪器状况及时更换仪器所需的配件，以保证仪器正常运行。</w:t>
      </w:r>
      <w:r>
        <w:rPr>
          <w:rFonts w:hint="eastAsia"/>
          <w:color w:val="auto"/>
          <w:szCs w:val="21"/>
          <w:highlight w:val="none"/>
        </w:rPr>
        <w:t>更换后的耗材应留存备查。主要耗材更换的频率不少于每年4根阴离子柱、4根阳离子柱、1</w:t>
      </w:r>
      <w:r>
        <w:rPr>
          <w:color w:val="auto"/>
          <w:szCs w:val="21"/>
          <w:highlight w:val="none"/>
        </w:rPr>
        <w:t>0</w:t>
      </w:r>
      <w:r>
        <w:rPr>
          <w:rFonts w:hint="eastAsia"/>
          <w:color w:val="auto"/>
          <w:szCs w:val="21"/>
          <w:highlight w:val="none"/>
        </w:rPr>
        <w:t>根保护柱，过滤头、泵管、电磁阀、过滤芯等耗材应根据实际耗损情况及时更换。</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3.1.9</w:t>
      </w:r>
      <w:r>
        <w:rPr>
          <w:rFonts w:hint="eastAsia"/>
          <w:color w:val="auto"/>
          <w:szCs w:val="21"/>
          <w:highlight w:val="none"/>
        </w:rPr>
        <w:t>、辅助设备保障：依据周期更换颗粒物水溶性组分质控比对分析仪的淋洗液、保护柱滤芯、阴、阳离子色谱柱等耗材，定期开展设备标定工作，保证仪器正常稳定运行。</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3.2质控要求</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3.2.1、仪器运行期间，根据用户需求每季度配置不同浓度标液对分析单元进行标定并及时填写记录。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3.2.2、每</w:t>
      </w:r>
      <w:r>
        <w:rPr>
          <w:rFonts w:hint="eastAsia"/>
          <w:color w:val="auto"/>
          <w:szCs w:val="21"/>
          <w:highlight w:val="none"/>
        </w:rPr>
        <w:t>月</w:t>
      </w:r>
      <w:r>
        <w:rPr>
          <w:color w:val="auto"/>
          <w:szCs w:val="21"/>
          <w:highlight w:val="none"/>
        </w:rPr>
        <w:t>进行一次采样流量核查工作，如果流量误差超出5%的偏差需进行多点校准。</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w:t>
      </w:r>
      <w:r>
        <w:rPr>
          <w:rFonts w:hint="eastAsia"/>
          <w:color w:val="auto"/>
          <w:szCs w:val="21"/>
          <w:highlight w:val="none"/>
        </w:rPr>
        <w:t>辅助要求</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3.3.1配合业主开展离线样品分析工作。</w:t>
      </w:r>
    </w:p>
    <w:p>
      <w:pPr>
        <w:spacing w:before="120" w:after="120" w:line="264" w:lineRule="auto"/>
        <w:ind w:firstLine="422" w:firstLineChars="200"/>
        <w:rPr>
          <w:b/>
          <w:color w:val="auto"/>
          <w:szCs w:val="21"/>
          <w:highlight w:val="none"/>
        </w:rPr>
      </w:pPr>
      <w:r>
        <w:rPr>
          <w:rFonts w:hint="eastAsia"/>
          <w:b/>
          <w:color w:val="auto"/>
          <w:szCs w:val="21"/>
          <w:highlight w:val="none"/>
        </w:rPr>
        <w:t>四</w:t>
      </w:r>
      <w:r>
        <w:rPr>
          <w:b/>
          <w:color w:val="auto"/>
          <w:szCs w:val="21"/>
          <w:highlight w:val="none"/>
        </w:rPr>
        <w:t>、飞行时间细颗粒物质谱仪（Tof-ACSM）运维招标服务：</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4.1技术运维要求</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4.1.1、每日例行检查</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运维人员每天需远程登录一次查看仪器各项参数是否正常，包括进气口压力，分子泵工作情况以及谱图有无异常，如有异常需立刻到场进行处理。</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4.1.2、每周例行运维:运维人员需每周清洗一次orifice，防止堵塞。</w:t>
      </w:r>
      <w:r>
        <w:rPr>
          <w:rFonts w:hint="eastAsia"/>
          <w:bCs/>
          <w:color w:val="auto"/>
          <w:szCs w:val="21"/>
          <w:highlight w:val="none"/>
        </w:rPr>
        <w:t>至少每周更换一次干燥剂，如遇湿度较大的天气，干燥剂超过2</w:t>
      </w:r>
      <w:r>
        <w:rPr>
          <w:bCs/>
          <w:color w:val="auto"/>
          <w:szCs w:val="21"/>
          <w:highlight w:val="none"/>
        </w:rPr>
        <w:t>/3</w:t>
      </w:r>
      <w:r>
        <w:rPr>
          <w:rFonts w:hint="eastAsia"/>
          <w:bCs/>
          <w:color w:val="auto"/>
          <w:szCs w:val="21"/>
          <w:highlight w:val="none"/>
        </w:rPr>
        <w:t>变色，应及时更换。</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4.1.3每月例行运维:运维人员需要每月进行一次流量标定，并清洗切割器。如遇重污染天气应在其后三天之内进行清洗。</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4.1.4每季度质量控制:每季度更换全部过滤器；及时填写系统维护与质控记录（若系统维护与质控期间出现秸秆焚烧、沙尘、雾霾等重污染特殊天气，上述质控工作可依据用户需求进行延期）；</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4.1.5每年度质控和运维：每年对仪器进行一次整机评估测试，每半年进行一次硝酸铵和硫酸铵标定。对年度获取监测数据有效性进行分析与评价，及时填写相关记录</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4.2质控要求</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4.2.1仪器运行期间，每月进行一次流量校准，并做好相应记录。</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4.2.2每年进行一次硝酸铵和硫酸铵标定。</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4.2.3 每月协助业主进行一次ACSM数据和PM</w:t>
      </w:r>
      <w:r>
        <w:rPr>
          <w:bCs/>
          <w:color w:val="auto"/>
          <w:szCs w:val="21"/>
          <w:highlight w:val="none"/>
          <w:vertAlign w:val="subscript"/>
        </w:rPr>
        <w:t>2.5</w:t>
      </w:r>
      <w:r>
        <w:rPr>
          <w:bCs/>
          <w:color w:val="auto"/>
          <w:szCs w:val="21"/>
          <w:highlight w:val="none"/>
        </w:rPr>
        <w:t>数据的比对核查。</w:t>
      </w:r>
    </w:p>
    <w:p>
      <w:pPr>
        <w:spacing w:before="120" w:after="120" w:line="264" w:lineRule="auto"/>
        <w:ind w:firstLine="420" w:firstLineChars="200"/>
        <w:rPr>
          <w:bCs/>
          <w:color w:val="auto"/>
          <w:szCs w:val="21"/>
          <w:highlight w:val="none"/>
        </w:rPr>
      </w:pPr>
      <w:r>
        <w:rPr>
          <w:bCs/>
          <w:color w:val="auto"/>
          <w:szCs w:val="21"/>
          <w:highlight w:val="none"/>
        </w:rPr>
        <w:t>4</w:t>
      </w:r>
      <w:r>
        <w:rPr>
          <w:rFonts w:hint="eastAsia"/>
          <w:bCs/>
          <w:color w:val="auto"/>
          <w:szCs w:val="21"/>
          <w:highlight w:val="none"/>
        </w:rPr>
        <w:t>.</w:t>
      </w:r>
      <w:r>
        <w:rPr>
          <w:bCs/>
          <w:color w:val="auto"/>
          <w:szCs w:val="21"/>
          <w:highlight w:val="none"/>
        </w:rPr>
        <w:t>2</w:t>
      </w:r>
      <w:r>
        <w:rPr>
          <w:rFonts w:hint="eastAsia"/>
          <w:bCs/>
          <w:color w:val="auto"/>
          <w:szCs w:val="21"/>
          <w:highlight w:val="none"/>
        </w:rPr>
        <w:t>.4 每月使用PMF等源解析软件对监测数据开展一次分析，并提供源解析相关结果。</w:t>
      </w:r>
    </w:p>
    <w:p>
      <w:pPr>
        <w:spacing w:before="120" w:after="120" w:line="264" w:lineRule="auto"/>
        <w:ind w:firstLine="420" w:firstLineChars="200"/>
        <w:rPr>
          <w:bCs/>
          <w:color w:val="auto"/>
          <w:szCs w:val="21"/>
          <w:highlight w:val="none"/>
        </w:rPr>
      </w:pPr>
      <w:r>
        <w:rPr>
          <w:bCs/>
          <w:color w:val="auto"/>
          <w:szCs w:val="21"/>
          <w:highlight w:val="none"/>
        </w:rPr>
        <w:t>4</w:t>
      </w:r>
      <w:r>
        <w:rPr>
          <w:rFonts w:hint="eastAsia"/>
          <w:bCs/>
          <w:color w:val="auto"/>
          <w:szCs w:val="21"/>
          <w:highlight w:val="none"/>
        </w:rPr>
        <w:t>.3  根据仪器状况及时更换仪器所需的配件，以保证仪器正常运行。更换后的耗材应留存备查。每年应至少更换一次质谱仪灯丝，其它耗材应根据实际耗损情况及时更换。</w:t>
      </w:r>
    </w:p>
    <w:p>
      <w:pPr>
        <w:rPr>
          <w:b/>
          <w:bCs/>
          <w:color w:val="auto"/>
          <w:highlight w:val="none"/>
        </w:rPr>
      </w:pPr>
    </w:p>
    <w:p>
      <w:pPr>
        <w:ind w:firstLine="211" w:firstLineChars="100"/>
        <w:rPr>
          <w:b/>
          <w:bCs/>
          <w:color w:val="auto"/>
          <w:highlight w:val="none"/>
        </w:rPr>
      </w:pPr>
      <w:r>
        <w:rPr>
          <w:rFonts w:hint="eastAsia"/>
          <w:b/>
          <w:bCs/>
          <w:color w:val="auto"/>
          <w:highlight w:val="none"/>
        </w:rPr>
        <w:t>包</w:t>
      </w:r>
      <w:r>
        <w:rPr>
          <w:b/>
          <w:bCs/>
          <w:color w:val="auto"/>
          <w:highlight w:val="none"/>
        </w:rPr>
        <w:t>3</w:t>
      </w:r>
      <w:r>
        <w:rPr>
          <w:rFonts w:hint="eastAsia"/>
          <w:b/>
          <w:bCs/>
          <w:color w:val="auto"/>
          <w:highlight w:val="none"/>
        </w:rPr>
        <w:t>：省中心及汾湖超站新增光化学及雷达仪器运维服务</w:t>
      </w:r>
    </w:p>
    <w:p>
      <w:pPr>
        <w:ind w:firstLine="211" w:firstLineChars="100"/>
        <w:jc w:val="left"/>
        <w:rPr>
          <w:b/>
          <w:color w:val="auto"/>
          <w:szCs w:val="21"/>
          <w:highlight w:val="none"/>
        </w:rPr>
      </w:pPr>
      <w:r>
        <w:rPr>
          <w:b/>
          <w:color w:val="auto"/>
          <w:szCs w:val="21"/>
          <w:highlight w:val="none"/>
        </w:rPr>
        <w:t>一、基本概况：</w:t>
      </w:r>
    </w:p>
    <w:p>
      <w:pPr>
        <w:spacing w:before="120" w:after="120" w:line="264" w:lineRule="auto"/>
        <w:ind w:firstLine="420" w:firstLineChars="200"/>
        <w:rPr>
          <w:color w:val="auto"/>
          <w:szCs w:val="21"/>
          <w:highlight w:val="none"/>
        </w:rPr>
      </w:pPr>
      <w:r>
        <w:rPr>
          <w:color w:val="auto"/>
          <w:szCs w:val="21"/>
          <w:highlight w:val="none"/>
        </w:rPr>
        <w:t>2022年以来，江苏省环境监测中心</w:t>
      </w:r>
      <w:r>
        <w:rPr>
          <w:rFonts w:hint="eastAsia"/>
          <w:color w:val="auto"/>
          <w:szCs w:val="21"/>
          <w:highlight w:val="none"/>
        </w:rPr>
        <w:t>通过填平补齐项目为汾湖超站</w:t>
      </w:r>
      <w:r>
        <w:rPr>
          <w:color w:val="auto"/>
          <w:szCs w:val="21"/>
          <w:highlight w:val="none"/>
        </w:rPr>
        <w:t>配置了</w:t>
      </w:r>
      <w:r>
        <w:rPr>
          <w:rFonts w:hint="eastAsia"/>
          <w:color w:val="auto"/>
          <w:szCs w:val="21"/>
          <w:highlight w:val="none"/>
        </w:rPr>
        <w:t>挥发性有机物监测仪、颗粒物激光雷达，为省中心超站配备了臭氧激光雷达、</w:t>
      </w:r>
      <w:r>
        <w:rPr>
          <w:color w:val="auto"/>
          <w:szCs w:val="21"/>
          <w:highlight w:val="none"/>
        </w:rPr>
        <w:t>HNO</w:t>
      </w:r>
      <w:r>
        <w:rPr>
          <w:color w:val="auto"/>
          <w:szCs w:val="21"/>
          <w:highlight w:val="none"/>
          <w:vertAlign w:val="subscript"/>
        </w:rPr>
        <w:t>2</w:t>
      </w:r>
      <w:r>
        <w:rPr>
          <w:color w:val="auto"/>
          <w:szCs w:val="21"/>
          <w:highlight w:val="none"/>
        </w:rPr>
        <w:t>在线分析仪</w:t>
      </w:r>
      <w:r>
        <w:rPr>
          <w:rFonts w:hint="eastAsia"/>
          <w:color w:val="auto"/>
          <w:szCs w:val="21"/>
          <w:highlight w:val="none"/>
        </w:rPr>
        <w:t>、甲醛在线分析仪。</w:t>
      </w:r>
      <w:r>
        <w:rPr>
          <w:color w:val="auto"/>
          <w:szCs w:val="21"/>
          <w:highlight w:val="none"/>
        </w:rPr>
        <w:t>目前</w:t>
      </w:r>
      <w:r>
        <w:rPr>
          <w:rFonts w:hint="eastAsia"/>
          <w:color w:val="auto"/>
          <w:szCs w:val="21"/>
          <w:highlight w:val="none"/>
        </w:rPr>
        <w:t>上述</w:t>
      </w:r>
      <w:r>
        <w:rPr>
          <w:color w:val="auto"/>
          <w:szCs w:val="21"/>
          <w:highlight w:val="none"/>
        </w:rPr>
        <w:t>设备运行状况良好，处于连续采样、分析状态</w:t>
      </w:r>
      <w:r>
        <w:rPr>
          <w:rFonts w:hint="eastAsia"/>
          <w:color w:val="auto"/>
          <w:szCs w:val="21"/>
          <w:highlight w:val="none"/>
        </w:rPr>
        <w:t>（详见表</w:t>
      </w:r>
      <w:r>
        <w:rPr>
          <w:color w:val="auto"/>
          <w:szCs w:val="21"/>
          <w:highlight w:val="none"/>
        </w:rPr>
        <w:t>3</w:t>
      </w:r>
      <w:r>
        <w:rPr>
          <w:rFonts w:hint="eastAsia"/>
          <w:color w:val="auto"/>
          <w:szCs w:val="21"/>
          <w:highlight w:val="none"/>
        </w:rPr>
        <w:t>-</w:t>
      </w:r>
      <w:r>
        <w:rPr>
          <w:color w:val="auto"/>
          <w:szCs w:val="21"/>
          <w:highlight w:val="none"/>
        </w:rPr>
        <w:t>1</w:t>
      </w:r>
      <w:r>
        <w:rPr>
          <w:rFonts w:hint="eastAsia"/>
          <w:color w:val="auto"/>
          <w:szCs w:val="21"/>
          <w:highlight w:val="none"/>
        </w:rPr>
        <w:t>）。</w:t>
      </w:r>
      <w:r>
        <w:rPr>
          <w:color w:val="auto"/>
          <w:szCs w:val="21"/>
          <w:highlight w:val="none"/>
        </w:rPr>
        <w:t>汾湖超级站位于苏州市芦墟大渠荡生态公园</w:t>
      </w:r>
      <w:r>
        <w:rPr>
          <w:rFonts w:hint="eastAsia"/>
          <w:color w:val="auto"/>
          <w:szCs w:val="21"/>
          <w:highlight w:val="none"/>
        </w:rPr>
        <w:t>、</w:t>
      </w:r>
      <w:r>
        <w:rPr>
          <w:color w:val="auto"/>
          <w:szCs w:val="21"/>
          <w:highlight w:val="none"/>
        </w:rPr>
        <w:t>省级大气多参数站位于南京市建邺区中和路</w:t>
      </w:r>
      <w:r>
        <w:rPr>
          <w:rFonts w:hint="eastAsia"/>
          <w:color w:val="auto"/>
          <w:szCs w:val="21"/>
          <w:highlight w:val="none"/>
        </w:rPr>
        <w:t>1</w:t>
      </w:r>
      <w:r>
        <w:rPr>
          <w:color w:val="auto"/>
          <w:szCs w:val="21"/>
          <w:highlight w:val="none"/>
        </w:rPr>
        <w:t>00号江苏省环境监测中心。</w:t>
      </w:r>
    </w:p>
    <w:p>
      <w:pPr>
        <w:ind w:left="420" w:leftChars="200"/>
        <w:jc w:val="center"/>
        <w:rPr>
          <w:bCs/>
          <w:color w:val="auto"/>
          <w:szCs w:val="21"/>
          <w:highlight w:val="none"/>
        </w:rPr>
      </w:pPr>
      <w:r>
        <w:rPr>
          <w:color w:val="auto"/>
          <w:szCs w:val="21"/>
          <w:highlight w:val="none"/>
        </w:rPr>
        <w:t xml:space="preserve">表3-1 </w:t>
      </w:r>
      <w:r>
        <w:rPr>
          <w:bCs/>
          <w:color w:val="auto"/>
          <w:szCs w:val="21"/>
          <w:highlight w:val="none"/>
        </w:rPr>
        <w:t>设备清单及分项预算</w:t>
      </w:r>
    </w:p>
    <w:tbl>
      <w:tblPr>
        <w:tblStyle w:val="44"/>
        <w:tblW w:w="8500" w:type="dxa"/>
        <w:jc w:val="center"/>
        <w:tblLayout w:type="autofit"/>
        <w:tblCellMar>
          <w:top w:w="0" w:type="dxa"/>
          <w:left w:w="108" w:type="dxa"/>
          <w:bottom w:w="0" w:type="dxa"/>
          <w:right w:w="108" w:type="dxa"/>
        </w:tblCellMar>
      </w:tblPr>
      <w:tblGrid>
        <w:gridCol w:w="560"/>
        <w:gridCol w:w="1970"/>
        <w:gridCol w:w="1299"/>
        <w:gridCol w:w="1885"/>
        <w:gridCol w:w="1495"/>
        <w:gridCol w:w="1291"/>
      </w:tblGrid>
      <w:tr>
        <w:tblPrEx>
          <w:tblCellMar>
            <w:top w:w="0" w:type="dxa"/>
            <w:left w:w="108" w:type="dxa"/>
            <w:bottom w:w="0" w:type="dxa"/>
            <w:right w:w="108" w:type="dxa"/>
          </w:tblCellMar>
        </w:tblPrEx>
        <w:trPr>
          <w:trHeight w:val="270" w:hRule="atLeast"/>
          <w:jc w:val="center"/>
        </w:trPr>
        <w:tc>
          <w:tcPr>
            <w:tcW w:w="560"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pPr>
              <w:widowControl/>
              <w:jc w:val="center"/>
              <w:rPr>
                <w:rFonts w:cs="宋体"/>
                <w:color w:val="auto"/>
                <w:kern w:val="0"/>
                <w:szCs w:val="21"/>
                <w:highlight w:val="none"/>
              </w:rPr>
            </w:pPr>
            <w:r>
              <w:rPr>
                <w:rFonts w:hint="eastAsia" w:cs="宋体"/>
                <w:color w:val="auto"/>
                <w:kern w:val="0"/>
                <w:szCs w:val="21"/>
                <w:highlight w:val="none"/>
              </w:rPr>
              <w:t>序号</w:t>
            </w:r>
          </w:p>
        </w:tc>
        <w:tc>
          <w:tcPr>
            <w:tcW w:w="2016" w:type="dxa"/>
            <w:tcBorders>
              <w:top w:val="single" w:color="auto" w:sz="4" w:space="0"/>
              <w:left w:val="nil"/>
              <w:bottom w:val="single" w:color="auto" w:sz="4" w:space="0"/>
              <w:right w:val="single" w:color="auto" w:sz="4" w:space="0"/>
            </w:tcBorders>
            <w:shd w:val="clear" w:color="auto" w:fill="FFFFFF" w:themeFill="background1"/>
            <w:vAlign w:val="center"/>
          </w:tcPr>
          <w:p>
            <w:pPr>
              <w:widowControl/>
              <w:jc w:val="center"/>
              <w:rPr>
                <w:rFonts w:cs="宋体"/>
                <w:color w:val="auto"/>
                <w:kern w:val="0"/>
                <w:szCs w:val="21"/>
                <w:highlight w:val="none"/>
              </w:rPr>
            </w:pPr>
            <w:r>
              <w:rPr>
                <w:rFonts w:hint="eastAsia" w:cs="宋体"/>
                <w:color w:val="auto"/>
                <w:kern w:val="0"/>
                <w:szCs w:val="21"/>
                <w:highlight w:val="none"/>
              </w:rPr>
              <w:t>仪器名称</w:t>
            </w:r>
          </w:p>
        </w:tc>
        <w:tc>
          <w:tcPr>
            <w:tcW w:w="1332" w:type="dxa"/>
            <w:tcBorders>
              <w:top w:val="single" w:color="auto" w:sz="4" w:space="0"/>
              <w:left w:val="nil"/>
              <w:bottom w:val="single" w:color="auto" w:sz="4" w:space="0"/>
              <w:right w:val="single" w:color="auto" w:sz="4" w:space="0"/>
            </w:tcBorders>
            <w:shd w:val="clear" w:color="auto" w:fill="FFFFFF" w:themeFill="background1"/>
            <w:vAlign w:val="center"/>
          </w:tcPr>
          <w:p>
            <w:pPr>
              <w:widowControl/>
              <w:jc w:val="center"/>
              <w:rPr>
                <w:rFonts w:cs="宋体"/>
                <w:color w:val="auto"/>
                <w:kern w:val="0"/>
                <w:szCs w:val="21"/>
                <w:highlight w:val="none"/>
              </w:rPr>
            </w:pPr>
            <w:r>
              <w:rPr>
                <w:rFonts w:hint="eastAsia" w:cs="宋体"/>
                <w:color w:val="auto"/>
                <w:kern w:val="0"/>
                <w:szCs w:val="21"/>
                <w:highlight w:val="none"/>
              </w:rPr>
              <w:t>品牌</w:t>
            </w:r>
          </w:p>
        </w:tc>
        <w:tc>
          <w:tcPr>
            <w:tcW w:w="1740" w:type="dxa"/>
            <w:tcBorders>
              <w:top w:val="single" w:color="auto" w:sz="4" w:space="0"/>
              <w:left w:val="nil"/>
              <w:bottom w:val="single" w:color="auto" w:sz="4" w:space="0"/>
              <w:right w:val="single" w:color="auto" w:sz="4" w:space="0"/>
            </w:tcBorders>
            <w:shd w:val="clear" w:color="auto" w:fill="FFFFFF" w:themeFill="background1"/>
            <w:vAlign w:val="center"/>
          </w:tcPr>
          <w:p>
            <w:pPr>
              <w:widowControl/>
              <w:jc w:val="center"/>
              <w:rPr>
                <w:rFonts w:cs="宋体"/>
                <w:color w:val="auto"/>
                <w:kern w:val="0"/>
                <w:szCs w:val="21"/>
                <w:highlight w:val="none"/>
              </w:rPr>
            </w:pPr>
            <w:r>
              <w:rPr>
                <w:rFonts w:hint="eastAsia" w:cs="宋体"/>
                <w:color w:val="auto"/>
                <w:kern w:val="0"/>
                <w:szCs w:val="21"/>
                <w:highlight w:val="none"/>
              </w:rPr>
              <w:t>型号</w:t>
            </w:r>
          </w:p>
        </w:tc>
        <w:tc>
          <w:tcPr>
            <w:tcW w:w="1536" w:type="dxa"/>
            <w:tcBorders>
              <w:top w:val="single" w:color="auto" w:sz="4" w:space="0"/>
              <w:left w:val="nil"/>
              <w:bottom w:val="single" w:color="auto" w:sz="4" w:space="0"/>
              <w:right w:val="single" w:color="auto" w:sz="4" w:space="0"/>
            </w:tcBorders>
            <w:shd w:val="clear" w:color="auto" w:fill="FFFFFF" w:themeFill="background1"/>
            <w:vAlign w:val="center"/>
          </w:tcPr>
          <w:p>
            <w:pPr>
              <w:widowControl/>
              <w:jc w:val="center"/>
              <w:rPr>
                <w:rFonts w:cs="宋体"/>
                <w:color w:val="auto"/>
                <w:kern w:val="0"/>
                <w:szCs w:val="21"/>
                <w:highlight w:val="none"/>
              </w:rPr>
            </w:pPr>
            <w:r>
              <w:rPr>
                <w:rFonts w:hint="eastAsia" w:cs="宋体"/>
                <w:color w:val="auto"/>
                <w:kern w:val="0"/>
                <w:szCs w:val="21"/>
                <w:highlight w:val="none"/>
              </w:rPr>
              <w:t>存放地</w:t>
            </w:r>
          </w:p>
        </w:tc>
        <w:tc>
          <w:tcPr>
            <w:tcW w:w="1316" w:type="dxa"/>
            <w:tcBorders>
              <w:top w:val="single" w:color="auto" w:sz="4" w:space="0"/>
              <w:left w:val="nil"/>
              <w:bottom w:val="single" w:color="auto" w:sz="4" w:space="0"/>
              <w:right w:val="single" w:color="auto" w:sz="4" w:space="0"/>
            </w:tcBorders>
            <w:shd w:val="clear" w:color="auto" w:fill="FFFFFF" w:themeFill="background1"/>
            <w:vAlign w:val="center"/>
          </w:tcPr>
          <w:p>
            <w:pPr>
              <w:jc w:val="center"/>
              <w:rPr>
                <w:color w:val="auto"/>
                <w:szCs w:val="21"/>
                <w:highlight w:val="none"/>
              </w:rPr>
            </w:pPr>
            <w:r>
              <w:rPr>
                <w:color w:val="auto"/>
                <w:szCs w:val="21"/>
                <w:highlight w:val="none"/>
              </w:rPr>
              <w:t>分项预算</w:t>
            </w:r>
          </w:p>
          <w:p>
            <w:pPr>
              <w:widowControl/>
              <w:jc w:val="center"/>
              <w:rPr>
                <w:rFonts w:cs="宋体"/>
                <w:color w:val="auto"/>
                <w:kern w:val="0"/>
                <w:szCs w:val="21"/>
                <w:highlight w:val="none"/>
              </w:rPr>
            </w:pPr>
            <w:r>
              <w:rPr>
                <w:rFonts w:hint="eastAsia"/>
                <w:color w:val="auto"/>
                <w:szCs w:val="21"/>
                <w:highlight w:val="none"/>
              </w:rPr>
              <w:t>（万元/年）</w:t>
            </w:r>
          </w:p>
        </w:tc>
      </w:tr>
      <w:tr>
        <w:tblPrEx>
          <w:tblCellMar>
            <w:top w:w="0" w:type="dxa"/>
            <w:left w:w="108" w:type="dxa"/>
            <w:bottom w:w="0" w:type="dxa"/>
            <w:right w:w="108" w:type="dxa"/>
          </w:tblCellMar>
        </w:tblPrEx>
        <w:trPr>
          <w:trHeight w:val="270" w:hRule="atLeast"/>
          <w:jc w:val="center"/>
        </w:trPr>
        <w:tc>
          <w:tcPr>
            <w:tcW w:w="5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color w:val="auto"/>
                <w:kern w:val="0"/>
                <w:szCs w:val="21"/>
                <w:highlight w:val="none"/>
              </w:rPr>
            </w:pPr>
            <w:r>
              <w:rPr>
                <w:rFonts w:hint="eastAsia" w:cs="宋体"/>
                <w:color w:val="auto"/>
                <w:kern w:val="0"/>
                <w:szCs w:val="21"/>
                <w:highlight w:val="none"/>
              </w:rPr>
              <w:t>1</w:t>
            </w:r>
          </w:p>
        </w:tc>
        <w:tc>
          <w:tcPr>
            <w:tcW w:w="2016"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挥发性有机物监测仪</w:t>
            </w:r>
          </w:p>
        </w:tc>
        <w:tc>
          <w:tcPr>
            <w:tcW w:w="1332"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彭宇昌亚</w:t>
            </w:r>
          </w:p>
        </w:tc>
        <w:tc>
          <w:tcPr>
            <w:tcW w:w="1740"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ZF-PKU-VOC1007</w:t>
            </w:r>
          </w:p>
        </w:tc>
        <w:tc>
          <w:tcPr>
            <w:tcW w:w="1536"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汾湖超站</w:t>
            </w:r>
          </w:p>
        </w:tc>
        <w:tc>
          <w:tcPr>
            <w:tcW w:w="1316" w:type="dxa"/>
            <w:tcBorders>
              <w:top w:val="nil"/>
              <w:left w:val="nil"/>
              <w:bottom w:val="single" w:color="auto" w:sz="4" w:space="0"/>
              <w:right w:val="single" w:color="auto" w:sz="4" w:space="0"/>
            </w:tcBorders>
            <w:vAlign w:val="center"/>
          </w:tcPr>
          <w:p>
            <w:pPr>
              <w:widowControl/>
              <w:jc w:val="center"/>
              <w:rPr>
                <w:rFonts w:cs="宋体"/>
                <w:color w:val="auto"/>
                <w:kern w:val="0"/>
                <w:szCs w:val="21"/>
                <w:highlight w:val="none"/>
              </w:rPr>
            </w:pPr>
            <w:r>
              <w:rPr>
                <w:rFonts w:cs="宋体"/>
                <w:color w:val="auto"/>
                <w:kern w:val="0"/>
                <w:szCs w:val="21"/>
                <w:highlight w:val="none"/>
              </w:rPr>
              <w:t>32</w:t>
            </w:r>
          </w:p>
        </w:tc>
      </w:tr>
      <w:tr>
        <w:tblPrEx>
          <w:tblCellMar>
            <w:top w:w="0" w:type="dxa"/>
            <w:left w:w="108" w:type="dxa"/>
            <w:bottom w:w="0" w:type="dxa"/>
            <w:right w:w="108" w:type="dxa"/>
          </w:tblCellMar>
        </w:tblPrEx>
        <w:trPr>
          <w:trHeight w:val="270" w:hRule="atLeast"/>
          <w:jc w:val="center"/>
        </w:trPr>
        <w:tc>
          <w:tcPr>
            <w:tcW w:w="5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color w:val="auto"/>
                <w:kern w:val="0"/>
                <w:szCs w:val="21"/>
                <w:highlight w:val="none"/>
              </w:rPr>
            </w:pPr>
            <w:r>
              <w:rPr>
                <w:rFonts w:hint="eastAsia" w:cs="宋体"/>
                <w:color w:val="auto"/>
                <w:kern w:val="0"/>
                <w:szCs w:val="21"/>
                <w:highlight w:val="none"/>
              </w:rPr>
              <w:t>2</w:t>
            </w:r>
          </w:p>
        </w:tc>
        <w:tc>
          <w:tcPr>
            <w:tcW w:w="2016"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颗粒物激光雷达</w:t>
            </w:r>
          </w:p>
        </w:tc>
        <w:tc>
          <w:tcPr>
            <w:tcW w:w="1332"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中科光电</w:t>
            </w:r>
          </w:p>
        </w:tc>
        <w:tc>
          <w:tcPr>
            <w:tcW w:w="1740"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AGHJ-I-LIDAR</w:t>
            </w:r>
          </w:p>
        </w:tc>
        <w:tc>
          <w:tcPr>
            <w:tcW w:w="1536"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汾湖超站</w:t>
            </w:r>
          </w:p>
        </w:tc>
        <w:tc>
          <w:tcPr>
            <w:tcW w:w="1316" w:type="dxa"/>
            <w:tcBorders>
              <w:top w:val="nil"/>
              <w:left w:val="nil"/>
              <w:bottom w:val="single" w:color="auto" w:sz="4" w:space="0"/>
              <w:right w:val="single" w:color="auto" w:sz="4" w:space="0"/>
            </w:tcBorders>
            <w:vAlign w:val="center"/>
          </w:tcPr>
          <w:p>
            <w:pPr>
              <w:widowControl/>
              <w:jc w:val="center"/>
              <w:rPr>
                <w:rFonts w:cs="宋体"/>
                <w:color w:val="auto"/>
                <w:kern w:val="0"/>
                <w:szCs w:val="21"/>
                <w:highlight w:val="none"/>
              </w:rPr>
            </w:pPr>
            <w:r>
              <w:rPr>
                <w:rFonts w:hint="eastAsia" w:cs="宋体"/>
                <w:color w:val="auto"/>
                <w:kern w:val="0"/>
                <w:szCs w:val="21"/>
                <w:highlight w:val="none"/>
              </w:rPr>
              <w:t>9</w:t>
            </w:r>
          </w:p>
        </w:tc>
      </w:tr>
      <w:tr>
        <w:tblPrEx>
          <w:tblCellMar>
            <w:top w:w="0" w:type="dxa"/>
            <w:left w:w="108" w:type="dxa"/>
            <w:bottom w:w="0" w:type="dxa"/>
            <w:right w:w="108" w:type="dxa"/>
          </w:tblCellMar>
        </w:tblPrEx>
        <w:trPr>
          <w:trHeight w:val="270" w:hRule="atLeast"/>
          <w:jc w:val="center"/>
        </w:trPr>
        <w:tc>
          <w:tcPr>
            <w:tcW w:w="5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color w:val="auto"/>
                <w:kern w:val="0"/>
                <w:szCs w:val="21"/>
                <w:highlight w:val="none"/>
              </w:rPr>
            </w:pPr>
            <w:r>
              <w:rPr>
                <w:rFonts w:hint="eastAsia" w:cs="宋体"/>
                <w:color w:val="auto"/>
                <w:kern w:val="0"/>
                <w:szCs w:val="21"/>
                <w:highlight w:val="none"/>
              </w:rPr>
              <w:t>3</w:t>
            </w:r>
          </w:p>
        </w:tc>
        <w:tc>
          <w:tcPr>
            <w:tcW w:w="2016"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臭氧激光雷达</w:t>
            </w:r>
          </w:p>
        </w:tc>
        <w:tc>
          <w:tcPr>
            <w:tcW w:w="1332"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中科光电</w:t>
            </w:r>
          </w:p>
        </w:tc>
        <w:tc>
          <w:tcPr>
            <w:tcW w:w="1740"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LIDAR-G-2000</w:t>
            </w:r>
          </w:p>
        </w:tc>
        <w:tc>
          <w:tcPr>
            <w:tcW w:w="1536"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大气多参数站</w:t>
            </w:r>
          </w:p>
        </w:tc>
        <w:tc>
          <w:tcPr>
            <w:tcW w:w="1316" w:type="dxa"/>
            <w:tcBorders>
              <w:top w:val="nil"/>
              <w:left w:val="nil"/>
              <w:bottom w:val="single" w:color="auto" w:sz="4" w:space="0"/>
              <w:right w:val="single" w:color="auto" w:sz="4" w:space="0"/>
            </w:tcBorders>
            <w:vAlign w:val="center"/>
          </w:tcPr>
          <w:p>
            <w:pPr>
              <w:widowControl/>
              <w:jc w:val="center"/>
              <w:rPr>
                <w:rFonts w:cs="宋体"/>
                <w:color w:val="auto"/>
                <w:kern w:val="0"/>
                <w:szCs w:val="21"/>
                <w:highlight w:val="none"/>
              </w:rPr>
            </w:pPr>
            <w:r>
              <w:rPr>
                <w:rFonts w:hint="eastAsia" w:cs="宋体"/>
                <w:color w:val="auto"/>
                <w:kern w:val="0"/>
                <w:szCs w:val="21"/>
                <w:highlight w:val="none"/>
              </w:rPr>
              <w:t>2</w:t>
            </w:r>
            <w:r>
              <w:rPr>
                <w:rFonts w:cs="宋体"/>
                <w:color w:val="auto"/>
                <w:kern w:val="0"/>
                <w:szCs w:val="21"/>
                <w:highlight w:val="none"/>
              </w:rPr>
              <w:t>5</w:t>
            </w:r>
          </w:p>
        </w:tc>
      </w:tr>
      <w:tr>
        <w:tblPrEx>
          <w:tblCellMar>
            <w:top w:w="0" w:type="dxa"/>
            <w:left w:w="108" w:type="dxa"/>
            <w:bottom w:w="0" w:type="dxa"/>
            <w:right w:w="108" w:type="dxa"/>
          </w:tblCellMar>
        </w:tblPrEx>
        <w:trPr>
          <w:trHeight w:val="270" w:hRule="atLeast"/>
          <w:jc w:val="center"/>
        </w:trPr>
        <w:tc>
          <w:tcPr>
            <w:tcW w:w="5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color w:val="auto"/>
                <w:kern w:val="0"/>
                <w:szCs w:val="21"/>
                <w:highlight w:val="none"/>
              </w:rPr>
            </w:pPr>
            <w:r>
              <w:rPr>
                <w:rFonts w:hint="eastAsia" w:cs="宋体"/>
                <w:color w:val="auto"/>
                <w:kern w:val="0"/>
                <w:szCs w:val="21"/>
                <w:highlight w:val="none"/>
              </w:rPr>
              <w:t>4</w:t>
            </w:r>
          </w:p>
        </w:tc>
        <w:tc>
          <w:tcPr>
            <w:tcW w:w="2016"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HNO2在线分析仪</w:t>
            </w:r>
          </w:p>
        </w:tc>
        <w:tc>
          <w:tcPr>
            <w:tcW w:w="1332"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志晨</w:t>
            </w:r>
          </w:p>
        </w:tc>
        <w:tc>
          <w:tcPr>
            <w:tcW w:w="1740"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HONO—WLPAP</w:t>
            </w:r>
          </w:p>
        </w:tc>
        <w:tc>
          <w:tcPr>
            <w:tcW w:w="1536"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大气多参数站</w:t>
            </w:r>
          </w:p>
        </w:tc>
        <w:tc>
          <w:tcPr>
            <w:tcW w:w="1316" w:type="dxa"/>
            <w:tcBorders>
              <w:top w:val="nil"/>
              <w:left w:val="nil"/>
              <w:bottom w:val="single" w:color="auto" w:sz="4" w:space="0"/>
              <w:right w:val="single" w:color="auto" w:sz="4" w:space="0"/>
            </w:tcBorders>
            <w:vAlign w:val="center"/>
          </w:tcPr>
          <w:p>
            <w:pPr>
              <w:widowControl/>
              <w:jc w:val="center"/>
              <w:rPr>
                <w:rFonts w:cs="宋体"/>
                <w:color w:val="auto"/>
                <w:kern w:val="0"/>
                <w:szCs w:val="21"/>
                <w:highlight w:val="none"/>
              </w:rPr>
            </w:pPr>
            <w:r>
              <w:rPr>
                <w:rFonts w:hint="eastAsia" w:cs="宋体"/>
                <w:color w:val="auto"/>
                <w:kern w:val="0"/>
                <w:szCs w:val="21"/>
                <w:highlight w:val="none"/>
              </w:rPr>
              <w:t>6</w:t>
            </w:r>
          </w:p>
        </w:tc>
      </w:tr>
      <w:tr>
        <w:tblPrEx>
          <w:tblCellMar>
            <w:top w:w="0" w:type="dxa"/>
            <w:left w:w="108" w:type="dxa"/>
            <w:bottom w:w="0" w:type="dxa"/>
            <w:right w:w="108" w:type="dxa"/>
          </w:tblCellMar>
        </w:tblPrEx>
        <w:trPr>
          <w:trHeight w:val="270" w:hRule="atLeast"/>
          <w:jc w:val="center"/>
        </w:trPr>
        <w:tc>
          <w:tcPr>
            <w:tcW w:w="5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宋体"/>
                <w:color w:val="auto"/>
                <w:kern w:val="0"/>
                <w:szCs w:val="21"/>
                <w:highlight w:val="none"/>
              </w:rPr>
            </w:pPr>
            <w:r>
              <w:rPr>
                <w:rFonts w:hint="eastAsia" w:cs="宋体"/>
                <w:color w:val="auto"/>
                <w:kern w:val="0"/>
                <w:szCs w:val="21"/>
                <w:highlight w:val="none"/>
              </w:rPr>
              <w:t>5</w:t>
            </w:r>
          </w:p>
        </w:tc>
        <w:tc>
          <w:tcPr>
            <w:tcW w:w="2016"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甲醛在线分析仪</w:t>
            </w:r>
          </w:p>
        </w:tc>
        <w:tc>
          <w:tcPr>
            <w:tcW w:w="1332"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志晨</w:t>
            </w:r>
          </w:p>
        </w:tc>
        <w:tc>
          <w:tcPr>
            <w:tcW w:w="1740"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HCHO—WLPAP</w:t>
            </w:r>
          </w:p>
        </w:tc>
        <w:tc>
          <w:tcPr>
            <w:tcW w:w="1536" w:type="dxa"/>
            <w:tcBorders>
              <w:top w:val="nil"/>
              <w:left w:val="nil"/>
              <w:bottom w:val="single" w:color="auto" w:sz="4" w:space="0"/>
              <w:right w:val="single" w:color="auto" w:sz="4" w:space="0"/>
            </w:tcBorders>
            <w:shd w:val="clear" w:color="auto" w:fill="auto"/>
            <w:vAlign w:val="center"/>
          </w:tcPr>
          <w:p>
            <w:pPr>
              <w:widowControl/>
              <w:jc w:val="center"/>
              <w:rPr>
                <w:rFonts w:cs="宋体"/>
                <w:color w:val="auto"/>
                <w:kern w:val="0"/>
                <w:szCs w:val="21"/>
                <w:highlight w:val="none"/>
              </w:rPr>
            </w:pPr>
            <w:r>
              <w:rPr>
                <w:rFonts w:hint="eastAsia" w:cs="宋体"/>
                <w:color w:val="auto"/>
                <w:kern w:val="0"/>
                <w:szCs w:val="21"/>
                <w:highlight w:val="none"/>
              </w:rPr>
              <w:t>大气多参数站</w:t>
            </w:r>
          </w:p>
        </w:tc>
        <w:tc>
          <w:tcPr>
            <w:tcW w:w="1316" w:type="dxa"/>
            <w:tcBorders>
              <w:top w:val="nil"/>
              <w:left w:val="nil"/>
              <w:bottom w:val="single" w:color="auto" w:sz="4" w:space="0"/>
              <w:right w:val="single" w:color="auto" w:sz="4" w:space="0"/>
            </w:tcBorders>
            <w:vAlign w:val="center"/>
          </w:tcPr>
          <w:p>
            <w:pPr>
              <w:widowControl/>
              <w:jc w:val="center"/>
              <w:rPr>
                <w:rFonts w:cs="宋体"/>
                <w:color w:val="auto"/>
                <w:kern w:val="0"/>
                <w:szCs w:val="21"/>
                <w:highlight w:val="none"/>
              </w:rPr>
            </w:pPr>
            <w:r>
              <w:rPr>
                <w:rFonts w:hint="eastAsia" w:cs="宋体"/>
                <w:color w:val="auto"/>
                <w:kern w:val="0"/>
                <w:szCs w:val="21"/>
                <w:highlight w:val="none"/>
              </w:rPr>
              <w:t>6</w:t>
            </w:r>
          </w:p>
        </w:tc>
      </w:tr>
    </w:tbl>
    <w:p>
      <w:pPr>
        <w:ind w:firstLine="420" w:firstLineChars="200"/>
        <w:jc w:val="left"/>
        <w:rPr>
          <w:color w:val="auto"/>
          <w:szCs w:val="21"/>
          <w:highlight w:val="none"/>
        </w:rPr>
      </w:pPr>
    </w:p>
    <w:p>
      <w:pPr>
        <w:jc w:val="left"/>
        <w:rPr>
          <w:b/>
          <w:color w:val="auto"/>
          <w:szCs w:val="21"/>
          <w:highlight w:val="none"/>
        </w:rPr>
      </w:pPr>
      <w:r>
        <w:rPr>
          <w:b/>
          <w:color w:val="auto"/>
          <w:szCs w:val="21"/>
          <w:highlight w:val="none"/>
        </w:rPr>
        <w:t>二、项目需求：</w:t>
      </w:r>
    </w:p>
    <w:p>
      <w:pPr>
        <w:spacing w:before="120" w:after="120" w:line="264" w:lineRule="auto"/>
        <w:ind w:firstLine="420" w:firstLineChars="200"/>
        <w:jc w:val="left"/>
        <w:rPr>
          <w:color w:val="auto"/>
          <w:szCs w:val="21"/>
          <w:highlight w:val="none"/>
        </w:rPr>
      </w:pPr>
      <w:r>
        <w:rPr>
          <w:color w:val="auto"/>
          <w:szCs w:val="21"/>
          <w:highlight w:val="none"/>
        </w:rPr>
        <w:t>该设备运维服务需求为技术运维服务，包含仪器运行所使用的耗材、配件等，具体要求如下：</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2.1总体要求</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2.1.1投标单位应</w:t>
      </w:r>
      <w:r>
        <w:rPr>
          <w:rFonts w:hint="eastAsia"/>
          <w:color w:val="auto"/>
          <w:szCs w:val="21"/>
          <w:highlight w:val="none"/>
        </w:rPr>
        <w:t>配备运维工作所需要的</w:t>
      </w:r>
      <w:r>
        <w:rPr>
          <w:color w:val="auto"/>
          <w:szCs w:val="21"/>
          <w:highlight w:val="none"/>
        </w:rPr>
        <w:t>专用仪器维修工具（包括万用表、工具箱等）、通讯调试工具（包括各种硬件接口线、改线工具、接口调试软件及常用零部件等）；</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2.1.2投标单位应提供完整的运维人员管理方案，</w:t>
      </w:r>
      <w:r>
        <w:rPr>
          <w:rFonts w:hint="eastAsia"/>
          <w:color w:val="auto"/>
          <w:szCs w:val="21"/>
          <w:highlight w:val="none"/>
        </w:rPr>
        <w:t>具备应对人员流动的应急预案，</w:t>
      </w:r>
      <w:r>
        <w:rPr>
          <w:color w:val="auto"/>
          <w:szCs w:val="21"/>
          <w:highlight w:val="none"/>
        </w:rPr>
        <w:t>提出解决</w:t>
      </w:r>
      <w:r>
        <w:rPr>
          <w:rFonts w:hint="eastAsia"/>
          <w:color w:val="auto"/>
          <w:szCs w:val="21"/>
          <w:highlight w:val="none"/>
        </w:rPr>
        <w:t>技术</w:t>
      </w:r>
      <w:r>
        <w:rPr>
          <w:color w:val="auto"/>
          <w:szCs w:val="21"/>
          <w:highlight w:val="none"/>
        </w:rPr>
        <w:t>人员队伍稳定的措施；</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2.1.3投标单位应提供详细的运维管理服务方案</w:t>
      </w:r>
      <w:r>
        <w:rPr>
          <w:rFonts w:hint="eastAsia"/>
          <w:color w:val="auto"/>
          <w:szCs w:val="21"/>
          <w:highlight w:val="none"/>
        </w:rPr>
        <w:t>、质量控制方案和应急服务保障方案</w:t>
      </w:r>
      <w:r>
        <w:rPr>
          <w:color w:val="auto"/>
          <w:szCs w:val="21"/>
          <w:highlight w:val="none"/>
        </w:rPr>
        <w:t>；</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2.1.4在该设备代维及管理期间，投标单位应严格按照业主要求的操作规范和规章制度（详见技术运维要求部分），对所管理的系统及仪器设备进行规范操作和精心维护及必要维修，保证系统及仪器设备的正常运行，满足省环境监测中心提出的系统及仪器设备考核指标要求。</w:t>
      </w:r>
    </w:p>
    <w:p>
      <w:pPr>
        <w:tabs>
          <w:tab w:val="left" w:pos="540"/>
          <w:tab w:val="left" w:pos="900"/>
        </w:tabs>
        <w:spacing w:before="120" w:after="120" w:line="264" w:lineRule="auto"/>
        <w:ind w:firstLine="420" w:firstLineChars="200"/>
        <w:jc w:val="left"/>
        <w:rPr>
          <w:color w:val="auto"/>
          <w:szCs w:val="21"/>
          <w:highlight w:val="none"/>
        </w:rPr>
      </w:pPr>
      <w:r>
        <w:rPr>
          <w:bCs/>
          <w:color w:val="auto"/>
          <w:szCs w:val="21"/>
          <w:highlight w:val="none"/>
        </w:rPr>
        <w:t>2.1.5</w:t>
      </w:r>
      <w:r>
        <w:rPr>
          <w:rFonts w:hint="eastAsia"/>
          <w:bCs/>
          <w:color w:val="auto"/>
          <w:szCs w:val="21"/>
          <w:highlight w:val="none"/>
        </w:rPr>
        <w:t>在该设备代维及管理期间，未经允许，承担运维单位不得以直接、间接、口头或书面等形式将观测数据披露给其他人员或第三方单位，因数据泄露而造成业主损失，业主将通过法律途径向投标单位索赔。</w:t>
      </w:r>
    </w:p>
    <w:p>
      <w:pPr>
        <w:tabs>
          <w:tab w:val="left" w:pos="540"/>
          <w:tab w:val="left" w:pos="900"/>
        </w:tabs>
        <w:spacing w:before="120" w:after="120" w:line="264" w:lineRule="auto"/>
        <w:ind w:firstLine="420" w:firstLineChars="200"/>
        <w:jc w:val="left"/>
        <w:rPr>
          <w:color w:val="auto"/>
          <w:szCs w:val="21"/>
          <w:highlight w:val="none"/>
        </w:rPr>
      </w:pPr>
      <w:r>
        <w:rPr>
          <w:rFonts w:hint="eastAsia"/>
          <w:bCs/>
          <w:color w:val="auto"/>
          <w:szCs w:val="21"/>
          <w:highlight w:val="none"/>
        </w:rPr>
        <w:t>2</w:t>
      </w:r>
      <w:r>
        <w:rPr>
          <w:bCs/>
          <w:color w:val="auto"/>
          <w:szCs w:val="21"/>
          <w:highlight w:val="none"/>
        </w:rPr>
        <w:t xml:space="preserve">.1.6 </w:t>
      </w:r>
      <w:r>
        <w:rPr>
          <w:rFonts w:hint="eastAsia"/>
          <w:bCs/>
          <w:color w:val="auto"/>
          <w:szCs w:val="21"/>
          <w:highlight w:val="none"/>
        </w:rPr>
        <w:t>数据分析和审核：每季度提供一份数据分析报告。</w:t>
      </w:r>
      <w:r>
        <w:rPr>
          <w:color w:val="auto"/>
          <w:szCs w:val="21"/>
          <w:highlight w:val="none"/>
        </w:rPr>
        <w:t>按业主要求</w:t>
      </w:r>
      <w:r>
        <w:rPr>
          <w:rFonts w:hint="eastAsia"/>
          <w:color w:val="auto"/>
          <w:szCs w:val="21"/>
          <w:highlight w:val="none"/>
        </w:rPr>
        <w:t>，</w:t>
      </w:r>
      <w:r>
        <w:rPr>
          <w:color w:val="auto"/>
          <w:szCs w:val="21"/>
          <w:highlight w:val="none"/>
        </w:rPr>
        <w:t>开展</w:t>
      </w:r>
      <w:r>
        <w:rPr>
          <w:rFonts w:hint="eastAsia"/>
          <w:color w:val="auto"/>
          <w:szCs w:val="21"/>
          <w:highlight w:val="none"/>
        </w:rPr>
        <w:t>平台上</w:t>
      </w:r>
      <w:r>
        <w:rPr>
          <w:color w:val="auto"/>
          <w:szCs w:val="21"/>
          <w:highlight w:val="none"/>
        </w:rPr>
        <w:t>每日数据在线审核工作</w:t>
      </w:r>
      <w:r>
        <w:rPr>
          <w:rFonts w:hint="eastAsia"/>
          <w:color w:val="auto"/>
          <w:szCs w:val="21"/>
          <w:highlight w:val="none"/>
        </w:rPr>
        <w:t>。</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2.1.7大型活动保障。质控服务方依据用户提前通知的要求，在年度内有大型赛事、活动和重污染物天气时间段内，提供加密质控保障工作。</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2.1.8</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故障响应：</w:t>
      </w:r>
      <w:r>
        <w:rPr>
          <w:color w:val="auto"/>
          <w:szCs w:val="21"/>
          <w:highlight w:val="none"/>
        </w:rPr>
        <w:t>接到用户故障信息后，2小时内远程协助，24小时内到达现场。</w:t>
      </w:r>
    </w:p>
    <w:p>
      <w:pPr>
        <w:tabs>
          <w:tab w:val="left" w:pos="540"/>
          <w:tab w:val="left" w:pos="900"/>
        </w:tabs>
        <w:spacing w:before="120" w:after="120" w:line="264" w:lineRule="auto"/>
        <w:ind w:firstLine="420" w:firstLineChars="200"/>
        <w:jc w:val="left"/>
        <w:rPr>
          <w:color w:val="auto"/>
          <w:szCs w:val="21"/>
          <w:highlight w:val="none"/>
        </w:rPr>
      </w:pPr>
      <w:r>
        <w:rPr>
          <w:color w:val="auto"/>
          <w:highlight w:val="none"/>
        </w:rPr>
        <w:t>2.1</w:t>
      </w:r>
      <w:r>
        <w:rPr>
          <w:rFonts w:hint="eastAsia"/>
          <w:color w:val="auto"/>
          <w:highlight w:val="none"/>
        </w:rPr>
        <w:t>.</w:t>
      </w:r>
      <w:r>
        <w:rPr>
          <w:color w:val="auto"/>
          <w:highlight w:val="none"/>
        </w:rPr>
        <w:t>9投标单位中标后</w:t>
      </w:r>
      <w:r>
        <w:rPr>
          <w:rFonts w:hint="eastAsia"/>
          <w:color w:val="auto"/>
          <w:highlight w:val="none"/>
        </w:rPr>
        <w:t>需</w:t>
      </w:r>
      <w:r>
        <w:rPr>
          <w:color w:val="auto"/>
          <w:highlight w:val="none"/>
        </w:rPr>
        <w:t>承担汾湖超站运行70</w:t>
      </w:r>
      <w:r>
        <w:rPr>
          <w:rFonts w:hint="eastAsia"/>
          <w:color w:val="auto"/>
          <w:highlight w:val="none"/>
        </w:rPr>
        <w:t>%</w:t>
      </w:r>
      <w:r>
        <w:rPr>
          <w:color w:val="auto"/>
          <w:highlight w:val="none"/>
        </w:rPr>
        <w:t>的电费支出</w:t>
      </w:r>
      <w:r>
        <w:rPr>
          <w:rFonts w:hint="eastAsia"/>
          <w:color w:val="auto"/>
          <w:highlight w:val="none"/>
        </w:rPr>
        <w:t>。</w:t>
      </w:r>
    </w:p>
    <w:p>
      <w:pPr>
        <w:spacing w:before="120" w:after="120" w:line="264" w:lineRule="auto"/>
        <w:ind w:firstLine="420" w:firstLineChars="200"/>
        <w:jc w:val="left"/>
        <w:rPr>
          <w:color w:val="auto"/>
          <w:szCs w:val="21"/>
          <w:highlight w:val="none"/>
        </w:rPr>
      </w:pPr>
      <w:r>
        <w:rPr>
          <w:color w:val="auto"/>
          <w:szCs w:val="21"/>
          <w:highlight w:val="none"/>
        </w:rPr>
        <w:t>2.1.10  运维记录与报告</w:t>
      </w:r>
    </w:p>
    <w:p>
      <w:pPr>
        <w:spacing w:before="120" w:after="120" w:line="264" w:lineRule="auto"/>
        <w:ind w:firstLine="420" w:firstLineChars="200"/>
        <w:jc w:val="left"/>
        <w:rPr>
          <w:color w:val="auto"/>
          <w:szCs w:val="21"/>
          <w:highlight w:val="none"/>
        </w:rPr>
      </w:pPr>
      <w:r>
        <w:rPr>
          <w:color w:val="auto"/>
          <w:szCs w:val="21"/>
          <w:highlight w:val="none"/>
        </w:rPr>
        <w:t>2.1. 10.1依据仪器特性及上述运维要求，编制相应运维、质控记录表单。</w:t>
      </w:r>
    </w:p>
    <w:p>
      <w:pPr>
        <w:spacing w:before="120" w:after="120" w:line="264" w:lineRule="auto"/>
        <w:ind w:firstLine="420" w:firstLineChars="200"/>
        <w:jc w:val="left"/>
        <w:rPr>
          <w:color w:val="auto"/>
          <w:szCs w:val="21"/>
          <w:highlight w:val="none"/>
        </w:rPr>
      </w:pPr>
      <w:r>
        <w:rPr>
          <w:color w:val="auto"/>
          <w:szCs w:val="21"/>
          <w:highlight w:val="none"/>
        </w:rPr>
        <w:t>2.1. 10.2依据技术运维要求，每月提交相应技术运维记录。</w:t>
      </w:r>
    </w:p>
    <w:p>
      <w:pPr>
        <w:spacing w:before="120" w:after="120" w:line="264" w:lineRule="auto"/>
        <w:ind w:firstLine="420" w:firstLineChars="200"/>
        <w:jc w:val="left"/>
        <w:rPr>
          <w:color w:val="auto"/>
          <w:szCs w:val="21"/>
          <w:highlight w:val="none"/>
        </w:rPr>
      </w:pPr>
      <w:r>
        <w:rPr>
          <w:color w:val="auto"/>
          <w:szCs w:val="21"/>
          <w:highlight w:val="none"/>
        </w:rPr>
        <w:t>2.1. 10.3</w:t>
      </w:r>
      <w:r>
        <w:rPr>
          <w:rFonts w:hint="eastAsia"/>
          <w:color w:val="auto"/>
          <w:szCs w:val="21"/>
          <w:highlight w:val="none"/>
        </w:rPr>
        <w:t>每年度</w:t>
      </w:r>
      <w:r>
        <w:rPr>
          <w:color w:val="auto"/>
          <w:szCs w:val="21"/>
          <w:highlight w:val="none"/>
        </w:rPr>
        <w:t>提交运维总结报告。运维总结报告需包含履行运维工作期间开展的所有运维工作内容及相关原始技术记录，并附开展现场运维、质控工作时的现场照片，并统计所有质控样品结果，并进行符合性分析；同时结合履行运维服务期间仪器运行、质控、故障、维修等情况，提出改善性建议。</w:t>
      </w:r>
    </w:p>
    <w:p>
      <w:pPr>
        <w:spacing w:before="120" w:after="120" w:line="264" w:lineRule="auto"/>
        <w:ind w:firstLine="420" w:firstLineChars="200"/>
        <w:jc w:val="left"/>
        <w:rPr>
          <w:color w:val="auto"/>
          <w:szCs w:val="21"/>
          <w:highlight w:val="none"/>
        </w:rPr>
      </w:pPr>
      <w:r>
        <w:rPr>
          <w:color w:val="auto"/>
          <w:szCs w:val="21"/>
          <w:highlight w:val="none"/>
        </w:rPr>
        <w:t>2.1. 10.4依据运维总结报告制作汇报材料（PPT）向业主进行总结性汇报。</w:t>
      </w:r>
    </w:p>
    <w:p>
      <w:pPr>
        <w:spacing w:before="120" w:after="120" w:line="264" w:lineRule="auto"/>
        <w:ind w:firstLine="420" w:firstLineChars="200"/>
        <w:jc w:val="left"/>
        <w:rPr>
          <w:color w:val="auto"/>
          <w:szCs w:val="21"/>
          <w:highlight w:val="none"/>
        </w:rPr>
      </w:pPr>
      <w:r>
        <w:rPr>
          <w:color w:val="auto"/>
          <w:szCs w:val="21"/>
          <w:highlight w:val="none"/>
        </w:rPr>
        <w:t>2.1.11</w:t>
      </w:r>
      <w:r>
        <w:rPr>
          <w:rFonts w:hint="eastAsia"/>
          <w:color w:val="auto"/>
          <w:szCs w:val="21"/>
          <w:highlight w:val="none"/>
        </w:rPr>
        <w:t xml:space="preserve"> </w:t>
      </w:r>
      <w:r>
        <w:rPr>
          <w:color w:val="auto"/>
          <w:szCs w:val="21"/>
          <w:highlight w:val="none"/>
        </w:rPr>
        <w:t xml:space="preserve"> 辅助服务要求</w:t>
      </w:r>
    </w:p>
    <w:p>
      <w:pPr>
        <w:spacing w:before="120" w:after="120" w:line="264" w:lineRule="auto"/>
        <w:ind w:firstLine="420" w:firstLineChars="200"/>
        <w:jc w:val="left"/>
        <w:rPr>
          <w:color w:val="auto"/>
          <w:szCs w:val="21"/>
          <w:highlight w:val="none"/>
        </w:rPr>
      </w:pPr>
      <w:r>
        <w:rPr>
          <w:color w:val="auto"/>
          <w:szCs w:val="21"/>
          <w:highlight w:val="none"/>
        </w:rPr>
        <w:t>2.1.11</w:t>
      </w:r>
      <w:r>
        <w:rPr>
          <w:rFonts w:hint="eastAsia"/>
          <w:color w:val="auto"/>
          <w:szCs w:val="21"/>
          <w:highlight w:val="none"/>
        </w:rPr>
        <w:t>.</w:t>
      </w:r>
      <w:r>
        <w:rPr>
          <w:color w:val="auto"/>
          <w:szCs w:val="21"/>
          <w:highlight w:val="none"/>
        </w:rPr>
        <w:t>1仪器发生故障时，配合业主开展仪器维修相关工作；</w:t>
      </w:r>
    </w:p>
    <w:p>
      <w:pPr>
        <w:spacing w:before="120" w:after="120" w:line="264" w:lineRule="auto"/>
        <w:ind w:firstLine="420" w:firstLineChars="200"/>
        <w:jc w:val="left"/>
        <w:rPr>
          <w:color w:val="auto"/>
          <w:szCs w:val="21"/>
          <w:highlight w:val="none"/>
        </w:rPr>
      </w:pPr>
      <w:r>
        <w:rPr>
          <w:color w:val="auto"/>
          <w:szCs w:val="21"/>
          <w:highlight w:val="none"/>
        </w:rPr>
        <w:t>2.1.11</w:t>
      </w:r>
      <w:r>
        <w:rPr>
          <w:rFonts w:hint="eastAsia"/>
          <w:color w:val="auto"/>
          <w:szCs w:val="21"/>
          <w:highlight w:val="none"/>
        </w:rPr>
        <w:t>.</w:t>
      </w:r>
      <w:r>
        <w:rPr>
          <w:color w:val="auto"/>
          <w:szCs w:val="21"/>
          <w:highlight w:val="none"/>
        </w:rPr>
        <w:t>2定期配合业主开展仪器配件、耗材库存清点工作，制定采购规划；</w:t>
      </w:r>
    </w:p>
    <w:p>
      <w:pPr>
        <w:spacing w:before="120" w:after="120" w:line="264" w:lineRule="auto"/>
        <w:ind w:firstLine="420" w:firstLineChars="200"/>
        <w:jc w:val="left"/>
        <w:rPr>
          <w:color w:val="auto"/>
          <w:szCs w:val="21"/>
          <w:highlight w:val="none"/>
        </w:rPr>
      </w:pPr>
      <w:r>
        <w:rPr>
          <w:color w:val="auto"/>
          <w:szCs w:val="21"/>
          <w:highlight w:val="none"/>
        </w:rPr>
        <w:t>2.1.11</w:t>
      </w:r>
      <w:r>
        <w:rPr>
          <w:rFonts w:hint="eastAsia"/>
          <w:color w:val="auto"/>
          <w:szCs w:val="21"/>
          <w:highlight w:val="none"/>
        </w:rPr>
        <w:t>.</w:t>
      </w:r>
      <w:r>
        <w:rPr>
          <w:color w:val="auto"/>
          <w:szCs w:val="21"/>
          <w:highlight w:val="none"/>
        </w:rPr>
        <w:t>3</w:t>
      </w:r>
      <w:r>
        <w:rPr>
          <w:rFonts w:hint="eastAsia"/>
          <w:color w:val="auto"/>
          <w:szCs w:val="21"/>
          <w:highlight w:val="none"/>
        </w:rPr>
        <w:t>每次运维工作完成后对工作区域进行清洁整理；</w:t>
      </w:r>
    </w:p>
    <w:p>
      <w:pPr>
        <w:spacing w:before="120" w:after="120" w:line="264" w:lineRule="auto"/>
        <w:ind w:firstLine="420" w:firstLineChars="200"/>
        <w:jc w:val="left"/>
        <w:rPr>
          <w:color w:val="auto"/>
          <w:szCs w:val="21"/>
          <w:highlight w:val="none"/>
        </w:rPr>
      </w:pPr>
      <w:r>
        <w:rPr>
          <w:color w:val="auto"/>
          <w:szCs w:val="21"/>
          <w:highlight w:val="none"/>
        </w:rPr>
        <w:t>2.1.11</w:t>
      </w:r>
      <w:r>
        <w:rPr>
          <w:rFonts w:hint="eastAsia"/>
          <w:color w:val="auto"/>
          <w:szCs w:val="21"/>
          <w:highlight w:val="none"/>
        </w:rPr>
        <w:t>.</w:t>
      </w:r>
      <w:r>
        <w:rPr>
          <w:color w:val="auto"/>
          <w:szCs w:val="21"/>
          <w:highlight w:val="none"/>
        </w:rPr>
        <w:t>4</w:t>
      </w:r>
      <w:r>
        <w:rPr>
          <w:rFonts w:hint="eastAsia"/>
          <w:color w:val="auto"/>
          <w:szCs w:val="21"/>
          <w:highlight w:val="none"/>
        </w:rPr>
        <w:t>按业主安排的值班表每周在站房值班1天，开展清洁卫生和安全检查工作；</w:t>
      </w:r>
    </w:p>
    <w:p>
      <w:pPr>
        <w:spacing w:before="120" w:after="120" w:line="264" w:lineRule="auto"/>
        <w:ind w:firstLine="420" w:firstLineChars="200"/>
        <w:jc w:val="left"/>
        <w:rPr>
          <w:color w:val="auto"/>
          <w:szCs w:val="21"/>
          <w:highlight w:val="none"/>
        </w:rPr>
      </w:pPr>
      <w:r>
        <w:rPr>
          <w:color w:val="auto"/>
          <w:szCs w:val="21"/>
          <w:highlight w:val="none"/>
        </w:rPr>
        <w:t>2.1.11</w:t>
      </w:r>
      <w:r>
        <w:rPr>
          <w:rFonts w:hint="eastAsia"/>
          <w:color w:val="auto"/>
          <w:szCs w:val="21"/>
          <w:highlight w:val="none"/>
        </w:rPr>
        <w:t>.</w:t>
      </w:r>
      <w:r>
        <w:rPr>
          <w:color w:val="auto"/>
          <w:szCs w:val="21"/>
          <w:highlight w:val="none"/>
        </w:rPr>
        <w:t>5运维期满后，配合业主进行仪器交接，交接期间承担仪器正常运维工作（不包括质控工作</w:t>
      </w:r>
      <w:r>
        <w:rPr>
          <w:rFonts w:hint="eastAsia"/>
          <w:color w:val="auto"/>
          <w:szCs w:val="21"/>
          <w:highlight w:val="none"/>
        </w:rPr>
        <w:t>；</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2.2运行维护工作目标</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2.2.1设备在线率：开展运维服务期间，需确保仪器在线率不得低于90%（仪器在线率=仪器实际运行时间/仪器可运行时间）</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注：仪器实际运行时间为仪器开机运行且仪器内能获取监测数据的时间；仪器可运行时间=约定的总时间-仪器停机维护时-仪器校准时间-不可抗力停机时间（如停电等）</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2.2.2有效数据获取率：开展运维服务期间，需确保仪器有效数据获取率不得低于85%（有效数据获取率=有效监测数据量/获取监测数据量）</w:t>
      </w:r>
    </w:p>
    <w:p>
      <w:pPr>
        <w:tabs>
          <w:tab w:val="left" w:pos="540"/>
          <w:tab w:val="left" w:pos="900"/>
        </w:tabs>
        <w:spacing w:before="120" w:after="120" w:line="264" w:lineRule="auto"/>
        <w:ind w:firstLine="420" w:firstLineChars="200"/>
        <w:jc w:val="left"/>
        <w:rPr>
          <w:color w:val="auto"/>
          <w:szCs w:val="21"/>
          <w:highlight w:val="none"/>
        </w:rPr>
      </w:pPr>
      <w:r>
        <w:rPr>
          <w:rFonts w:hint="eastAsia"/>
          <w:color w:val="auto"/>
          <w:szCs w:val="21"/>
          <w:highlight w:val="none"/>
        </w:rPr>
        <w:t>2</w:t>
      </w:r>
      <w:r>
        <w:rPr>
          <w:color w:val="auto"/>
          <w:szCs w:val="21"/>
          <w:highlight w:val="none"/>
        </w:rPr>
        <w:t xml:space="preserve">.2.3 </w:t>
      </w:r>
      <w:r>
        <w:rPr>
          <w:rFonts w:hint="eastAsia"/>
          <w:color w:val="auto"/>
          <w:szCs w:val="21"/>
          <w:highlight w:val="none"/>
        </w:rPr>
        <w:t>数据联网率：配合业主完成设备的联网工作，并保障数据的联网率在</w:t>
      </w:r>
      <w:r>
        <w:rPr>
          <w:color w:val="auto"/>
          <w:szCs w:val="21"/>
          <w:highlight w:val="none"/>
        </w:rPr>
        <w:t>95%以上； （</w:t>
      </w:r>
      <w:r>
        <w:rPr>
          <w:rFonts w:hint="eastAsia"/>
          <w:color w:val="auto"/>
          <w:szCs w:val="21"/>
          <w:highlight w:val="none"/>
        </w:rPr>
        <w:t>数据联网率</w:t>
      </w:r>
      <w:r>
        <w:rPr>
          <w:color w:val="auto"/>
          <w:szCs w:val="21"/>
          <w:highlight w:val="none"/>
        </w:rPr>
        <w:t>=</w:t>
      </w:r>
      <w:r>
        <w:rPr>
          <w:rFonts w:hint="eastAsia"/>
          <w:color w:val="auto"/>
          <w:szCs w:val="21"/>
          <w:highlight w:val="none"/>
        </w:rPr>
        <w:t>平台上</w:t>
      </w:r>
      <w:r>
        <w:rPr>
          <w:color w:val="auto"/>
          <w:szCs w:val="21"/>
          <w:highlight w:val="none"/>
        </w:rPr>
        <w:t>有效监测数据量/获取监测数据量）</w:t>
      </w:r>
    </w:p>
    <w:p>
      <w:pPr>
        <w:spacing w:before="120" w:after="120" w:line="264" w:lineRule="auto"/>
        <w:ind w:firstLine="420" w:firstLineChars="200"/>
        <w:rPr>
          <w:bCs/>
          <w:color w:val="auto"/>
          <w:szCs w:val="21"/>
          <w:highlight w:val="none"/>
        </w:rPr>
      </w:pPr>
      <w:r>
        <w:rPr>
          <w:rFonts w:hint="eastAsia"/>
          <w:bCs/>
          <w:color w:val="auto"/>
          <w:szCs w:val="21"/>
          <w:highlight w:val="none"/>
        </w:rPr>
        <w:t>2</w:t>
      </w:r>
      <w:r>
        <w:rPr>
          <w:bCs/>
          <w:color w:val="auto"/>
          <w:szCs w:val="21"/>
          <w:highlight w:val="none"/>
        </w:rPr>
        <w:t xml:space="preserve">.3 </w:t>
      </w:r>
      <w:r>
        <w:rPr>
          <w:rFonts w:hint="eastAsia"/>
          <w:bCs/>
          <w:color w:val="auto"/>
          <w:szCs w:val="21"/>
          <w:highlight w:val="none"/>
        </w:rPr>
        <w:t>电费：承担汾湖超站所有运行电费的4</w:t>
      </w:r>
      <w:r>
        <w:rPr>
          <w:bCs/>
          <w:color w:val="auto"/>
          <w:szCs w:val="21"/>
          <w:highlight w:val="none"/>
        </w:rPr>
        <w:t>0%</w:t>
      </w:r>
    </w:p>
    <w:p>
      <w:pPr>
        <w:tabs>
          <w:tab w:val="left" w:pos="540"/>
          <w:tab w:val="left" w:pos="900"/>
        </w:tabs>
        <w:spacing w:before="120" w:after="120" w:line="264" w:lineRule="auto"/>
        <w:ind w:firstLine="420" w:firstLineChars="200"/>
        <w:jc w:val="left"/>
        <w:rPr>
          <w:color w:val="auto"/>
          <w:szCs w:val="21"/>
          <w:highlight w:val="none"/>
        </w:rPr>
      </w:pPr>
    </w:p>
    <w:p>
      <w:pPr>
        <w:spacing w:before="120" w:after="120" w:line="264" w:lineRule="auto"/>
        <w:ind w:firstLine="200"/>
        <w:jc w:val="left"/>
        <w:rPr>
          <w:b/>
          <w:color w:val="auto"/>
          <w:szCs w:val="21"/>
          <w:highlight w:val="none"/>
        </w:rPr>
      </w:pPr>
      <w:r>
        <w:rPr>
          <w:rFonts w:hint="eastAsia"/>
          <w:b/>
          <w:color w:val="auto"/>
          <w:szCs w:val="21"/>
          <w:highlight w:val="none"/>
        </w:rPr>
        <w:t>三</w:t>
      </w:r>
      <w:r>
        <w:rPr>
          <w:b/>
          <w:color w:val="auto"/>
          <w:szCs w:val="21"/>
          <w:highlight w:val="none"/>
        </w:rPr>
        <w:t>、</w:t>
      </w:r>
      <w:r>
        <w:rPr>
          <w:rFonts w:hint="eastAsia"/>
          <w:b/>
          <w:color w:val="auto"/>
          <w:szCs w:val="21"/>
          <w:highlight w:val="none"/>
        </w:rPr>
        <w:t>汾湖超站挥发性有机物监测仪运维服务</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3.1技术运维要求</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3.1.1、每日例行质量控制检查：定期手动或自动使用外部标样验证系统的准确性，每日登陆仪器检查内外标响应，内外标和采样进气量，仪器状态，峰型状况，在仪器的运行过程中，当所需控制外标物种（详见表1）分析结果与目标标准品浓度超出允许误差范围（±20%）时，需及时使用外标法重新积分该物种监测数据；当上述误差范围超出±30%时，需重新编辑定量方法；每天观察仪器运行和数据运行情况，查看日校准数据，可根据日校准数据判断仪器是否需要重新标定，并及时更改积分参数文件，保证所有化合物积分正确，个别小时个别化合物可手动积分，及时填写日质控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3.2.1、每周例行质控：对仪器所有配器及气体发生器（氢气发生器等）进行维护，对数据库数据检查、备份，检查内、外标准品压力，及时填写质量控制记录；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3.2.2、每月预防性质量查核：每月对整套系统（包括样品采集、预处理及分析单元）进行预防性质量查核，对样品预处理单元及分析单元系统进行验漏，检查各辅助设备（载气压力、配气系统运行状况等）是否正常运行，解析当月质控数据，填写预防性质量查核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3.2.3、每季度质量控制：每季度对GC/MS进行一次自动调谐（保证仪器灵敏度、正确的峰宽、正确的质量分配，必要时清洗离子源），同时对工作曲线重新标定（数据标定主要包括全扫描、SIM分组、7点校准（包含零点））；及时填写系统维护与质控记录（若系统维护与质控期间出现秸秆焚烧、沙尘、雾霾等重污染特殊天气，上述质控工作可依据用户需求进行延期）；</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3.2.4、每半年质量查核：每半年对GCMS进行检查，及时更换氧化去除剂、管路气密性配件，及时填写相关记录；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3.2.5、每年质量评价：每年度对GC/MS/FID分析单元进行全年运行质量评价，对MS、FID检测器年度获取监测数据有效性进行分析与评价，评价前段样品采集及预处理单元运行质量（包括稳定性）及时填写相关记录，并编制年度质量控制报告。</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3.3质控要求</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3.3.1、仪器运行期间，每天零点自动进入一定浓度PAMS标准品，用于考核前一日监测数据有效性，若相对误差在±30%以内，且内标响应均在允许误差范围内，视前一日数据有效。</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3.3.2、每月依据控制目标物种配置2ppb标准品，使用手工进样方式，进行外标核查，并手工积分标准品浓度，计算相对误差；</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3.4.3、每半年重新统计、计算各目标化合物的检出限与不确定度；</w:t>
      </w:r>
    </w:p>
    <w:p>
      <w:pPr>
        <w:tabs>
          <w:tab w:val="left" w:pos="540"/>
          <w:tab w:val="left" w:pos="900"/>
        </w:tabs>
        <w:spacing w:before="120" w:after="120" w:line="264" w:lineRule="auto"/>
        <w:ind w:firstLine="420" w:firstLineChars="200"/>
        <w:jc w:val="left"/>
        <w:rPr>
          <w:color w:val="auto"/>
          <w:szCs w:val="21"/>
          <w:highlight w:val="none"/>
        </w:rPr>
      </w:pPr>
      <w:bookmarkStart w:id="17" w:name="OLE_LINK1"/>
      <w:r>
        <w:rPr>
          <w:color w:val="auto"/>
          <w:szCs w:val="21"/>
          <w:highlight w:val="none"/>
        </w:rPr>
        <w:t>3.4根据仪器状况及时更换仪器所需的配件，以保证仪器正常运行。</w:t>
      </w:r>
      <w:r>
        <w:rPr>
          <w:rFonts w:hint="eastAsia"/>
          <w:color w:val="auto"/>
          <w:szCs w:val="21"/>
          <w:highlight w:val="none"/>
        </w:rPr>
        <w:t>更换后的耗材应留存备查。主要耗材更换的频率不少于每年4根灯丝、FID捕集柱组件4根、MS捕集柱组件4根，二氧化碳去除管、颗粒物过滤膜、氮气、氦气等等耗材应根据实际耗损情况及时更换。</w:t>
      </w:r>
    </w:p>
    <w:bookmarkEnd w:id="17"/>
    <w:p>
      <w:pPr>
        <w:jc w:val="center"/>
        <w:rPr>
          <w:color w:val="auto"/>
          <w:szCs w:val="21"/>
          <w:highlight w:val="none"/>
        </w:rPr>
      </w:pPr>
      <w:r>
        <w:rPr>
          <w:color w:val="auto"/>
          <w:szCs w:val="21"/>
          <w:highlight w:val="none"/>
        </w:rPr>
        <w:t>表4-1  外标法（每日连续校准CC）所需控制物种清单</w:t>
      </w:r>
    </w:p>
    <w:tbl>
      <w:tblPr>
        <w:tblStyle w:val="44"/>
        <w:tblW w:w="4659" w:type="pct"/>
        <w:jc w:val="center"/>
        <w:tblLayout w:type="autofit"/>
        <w:tblCellMar>
          <w:top w:w="0" w:type="dxa"/>
          <w:left w:w="108" w:type="dxa"/>
          <w:bottom w:w="0" w:type="dxa"/>
          <w:right w:w="108" w:type="dxa"/>
        </w:tblCellMar>
      </w:tblPr>
      <w:tblGrid>
        <w:gridCol w:w="916"/>
        <w:gridCol w:w="3095"/>
        <w:gridCol w:w="1239"/>
        <w:gridCol w:w="2983"/>
      </w:tblGrid>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序号</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中文名</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序号</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中文名</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乙烷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29</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2,3-</w:t>
            </w:r>
            <w:r>
              <w:rPr>
                <w:rStyle w:val="86"/>
                <w:rFonts w:hint="default"/>
                <w:color w:val="auto"/>
                <w:sz w:val="21"/>
                <w:szCs w:val="21"/>
                <w:highlight w:val="none"/>
                <w:lang w:bidi="ar"/>
              </w:rPr>
              <w:t>二甲基戊烷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乙烯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30</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w:t>
            </w:r>
            <w:r>
              <w:rPr>
                <w:rStyle w:val="86"/>
                <w:rFonts w:hint="default"/>
                <w:color w:val="auto"/>
                <w:sz w:val="21"/>
                <w:szCs w:val="21"/>
                <w:highlight w:val="none"/>
                <w:lang w:bidi="ar"/>
              </w:rPr>
              <w:t>甲基己烷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丙烷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31</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2,2,4-</w:t>
            </w:r>
            <w:r>
              <w:rPr>
                <w:rStyle w:val="86"/>
                <w:rFonts w:hint="default"/>
                <w:color w:val="auto"/>
                <w:sz w:val="21"/>
                <w:szCs w:val="21"/>
                <w:highlight w:val="none"/>
                <w:lang w:bidi="ar"/>
              </w:rPr>
              <w:t>三甲基戊烷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4</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丙烯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32</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正庚烷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5</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异丁烷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33</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甲基环己烷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6</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正丁烷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34</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2,3,4-</w:t>
            </w:r>
            <w:r>
              <w:rPr>
                <w:rStyle w:val="86"/>
                <w:rFonts w:hint="default"/>
                <w:color w:val="auto"/>
                <w:sz w:val="21"/>
                <w:szCs w:val="21"/>
                <w:highlight w:val="none"/>
                <w:lang w:bidi="ar"/>
              </w:rPr>
              <w:t>三甲基戊烷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7</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乙炔</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35</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甲苯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8</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反-2-</w:t>
            </w:r>
            <w:r>
              <w:rPr>
                <w:rStyle w:val="86"/>
                <w:rFonts w:hint="default"/>
                <w:color w:val="auto"/>
                <w:sz w:val="21"/>
                <w:szCs w:val="21"/>
                <w:highlight w:val="none"/>
                <w:lang w:bidi="ar"/>
              </w:rPr>
              <w:t>丁烯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36</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w:t>
            </w:r>
            <w:r>
              <w:rPr>
                <w:rStyle w:val="86"/>
                <w:rFonts w:hint="default"/>
                <w:color w:val="auto"/>
                <w:sz w:val="21"/>
                <w:szCs w:val="21"/>
                <w:highlight w:val="none"/>
                <w:lang w:bidi="ar"/>
              </w:rPr>
              <w:t>甲基庚烷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9</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w:t>
            </w:r>
            <w:r>
              <w:rPr>
                <w:rStyle w:val="86"/>
                <w:rFonts w:hint="default"/>
                <w:color w:val="auto"/>
                <w:sz w:val="21"/>
                <w:szCs w:val="21"/>
                <w:highlight w:val="none"/>
                <w:lang w:bidi="ar"/>
              </w:rPr>
              <w:t>丁烯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37</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w:t>
            </w:r>
            <w:r>
              <w:rPr>
                <w:rStyle w:val="86"/>
                <w:rFonts w:hint="default"/>
                <w:color w:val="auto"/>
                <w:sz w:val="21"/>
                <w:szCs w:val="21"/>
                <w:highlight w:val="none"/>
                <w:lang w:bidi="ar"/>
              </w:rPr>
              <w:t>甲基庚烷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10</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顺-2-</w:t>
            </w:r>
            <w:r>
              <w:rPr>
                <w:rStyle w:val="86"/>
                <w:rFonts w:hint="default"/>
                <w:color w:val="auto"/>
                <w:sz w:val="21"/>
                <w:szCs w:val="21"/>
                <w:highlight w:val="none"/>
                <w:lang w:bidi="ar"/>
              </w:rPr>
              <w:t>丁烯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38</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正辛烷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环戊烷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39</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乙苯</w:t>
            </w:r>
          </w:p>
        </w:tc>
      </w:tr>
      <w:tr>
        <w:tblPrEx>
          <w:tblCellMar>
            <w:top w:w="0" w:type="dxa"/>
            <w:left w:w="108" w:type="dxa"/>
            <w:bottom w:w="0" w:type="dxa"/>
            <w:right w:w="108" w:type="dxa"/>
          </w:tblCellMar>
        </w:tblPrEx>
        <w:trPr>
          <w:trHeight w:val="348" w:hRule="atLeast"/>
          <w:jc w:val="center"/>
        </w:trPr>
        <w:tc>
          <w:tcPr>
            <w:tcW w:w="5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12</w:t>
            </w:r>
          </w:p>
        </w:tc>
        <w:tc>
          <w:tcPr>
            <w:tcW w:w="187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异戊烷</w:t>
            </w:r>
          </w:p>
        </w:tc>
        <w:tc>
          <w:tcPr>
            <w:tcW w:w="75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40/41</w:t>
            </w:r>
          </w:p>
        </w:tc>
        <w:tc>
          <w:tcPr>
            <w:tcW w:w="18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间、对-</w:t>
            </w:r>
            <w:r>
              <w:rPr>
                <w:rStyle w:val="86"/>
                <w:rFonts w:hint="default"/>
                <w:color w:val="auto"/>
                <w:sz w:val="21"/>
                <w:szCs w:val="21"/>
                <w:highlight w:val="none"/>
                <w:lang w:bidi="ar"/>
              </w:rPr>
              <w:t>二甲苯</w:t>
            </w:r>
          </w:p>
        </w:tc>
      </w:tr>
      <w:tr>
        <w:tblPrEx>
          <w:tblCellMar>
            <w:top w:w="0" w:type="dxa"/>
            <w:left w:w="108" w:type="dxa"/>
            <w:bottom w:w="0" w:type="dxa"/>
            <w:right w:w="108" w:type="dxa"/>
          </w:tblCellMar>
        </w:tblPrEx>
        <w:trPr>
          <w:trHeight w:val="348" w:hRule="atLeast"/>
          <w:jc w:val="center"/>
        </w:trPr>
        <w:tc>
          <w:tcPr>
            <w:tcW w:w="5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color w:val="auto"/>
                <w:szCs w:val="21"/>
                <w:highlight w:val="none"/>
              </w:rPr>
            </w:pPr>
          </w:p>
        </w:tc>
        <w:tc>
          <w:tcPr>
            <w:tcW w:w="18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color w:val="auto"/>
                <w:szCs w:val="21"/>
                <w:highlight w:val="none"/>
              </w:rPr>
            </w:pPr>
          </w:p>
        </w:tc>
        <w:tc>
          <w:tcPr>
            <w:tcW w:w="75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color w:val="auto"/>
                <w:szCs w:val="21"/>
                <w:highlight w:val="none"/>
              </w:rPr>
            </w:pPr>
          </w:p>
        </w:tc>
        <w:tc>
          <w:tcPr>
            <w:tcW w:w="18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color w:val="auto"/>
                <w:szCs w:val="21"/>
                <w:highlight w:val="none"/>
              </w:rPr>
            </w:pP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13</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正戊烷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42</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苯乙烯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14</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反-2-</w:t>
            </w:r>
            <w:r>
              <w:rPr>
                <w:rStyle w:val="86"/>
                <w:rFonts w:hint="default"/>
                <w:color w:val="auto"/>
                <w:sz w:val="21"/>
                <w:szCs w:val="21"/>
                <w:highlight w:val="none"/>
                <w:lang w:bidi="ar"/>
              </w:rPr>
              <w:t>戊烯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43</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邻-</w:t>
            </w:r>
            <w:r>
              <w:rPr>
                <w:rStyle w:val="86"/>
                <w:rFonts w:hint="default"/>
                <w:color w:val="auto"/>
                <w:sz w:val="21"/>
                <w:szCs w:val="21"/>
                <w:highlight w:val="none"/>
                <w:lang w:bidi="ar"/>
              </w:rPr>
              <w:t>二甲苯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15</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w:t>
            </w:r>
            <w:r>
              <w:rPr>
                <w:rStyle w:val="86"/>
                <w:rFonts w:hint="default"/>
                <w:color w:val="auto"/>
                <w:sz w:val="21"/>
                <w:szCs w:val="21"/>
                <w:highlight w:val="none"/>
                <w:lang w:bidi="ar"/>
              </w:rPr>
              <w:t>戊烯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44</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正壬烷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16</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顺-2-</w:t>
            </w:r>
            <w:r>
              <w:rPr>
                <w:rStyle w:val="86"/>
                <w:rFonts w:hint="default"/>
                <w:color w:val="auto"/>
                <w:sz w:val="21"/>
                <w:szCs w:val="21"/>
                <w:highlight w:val="none"/>
                <w:lang w:bidi="ar"/>
              </w:rPr>
              <w:t>戊烯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45</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异丙苯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17</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2,2-</w:t>
            </w:r>
            <w:r>
              <w:rPr>
                <w:rStyle w:val="86"/>
                <w:rFonts w:hint="default"/>
                <w:color w:val="auto"/>
                <w:sz w:val="21"/>
                <w:szCs w:val="21"/>
                <w:highlight w:val="none"/>
                <w:lang w:bidi="ar"/>
              </w:rPr>
              <w:t>二甲基丁烷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46</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正丙苯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18</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2,3-</w:t>
            </w:r>
            <w:r>
              <w:rPr>
                <w:rStyle w:val="86"/>
                <w:rFonts w:hint="default"/>
                <w:color w:val="auto"/>
                <w:sz w:val="21"/>
                <w:szCs w:val="21"/>
                <w:highlight w:val="none"/>
                <w:lang w:bidi="ar"/>
              </w:rPr>
              <w:t>二甲基丁烷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47</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间乙基甲苯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19</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w:t>
            </w:r>
            <w:r>
              <w:rPr>
                <w:rStyle w:val="86"/>
                <w:rFonts w:hint="default"/>
                <w:color w:val="auto"/>
                <w:sz w:val="21"/>
                <w:szCs w:val="21"/>
                <w:highlight w:val="none"/>
                <w:lang w:bidi="ar"/>
              </w:rPr>
              <w:t>甲基戊烷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48</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对乙基甲苯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20</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3-</w:t>
            </w:r>
            <w:r>
              <w:rPr>
                <w:rStyle w:val="86"/>
                <w:rFonts w:hint="default"/>
                <w:color w:val="auto"/>
                <w:sz w:val="21"/>
                <w:szCs w:val="21"/>
                <w:highlight w:val="none"/>
                <w:lang w:bidi="ar"/>
              </w:rPr>
              <w:t>甲基戊烷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49</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1,3,5-</w:t>
            </w:r>
            <w:r>
              <w:rPr>
                <w:rStyle w:val="86"/>
                <w:rFonts w:hint="default"/>
                <w:color w:val="auto"/>
                <w:sz w:val="21"/>
                <w:szCs w:val="21"/>
                <w:highlight w:val="none"/>
                <w:lang w:bidi="ar"/>
              </w:rPr>
              <w:t>三甲基苯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21</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异戊二烯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50</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1,2, 4-</w:t>
            </w:r>
            <w:r>
              <w:rPr>
                <w:rStyle w:val="86"/>
                <w:rFonts w:hint="default"/>
                <w:color w:val="auto"/>
                <w:sz w:val="21"/>
                <w:szCs w:val="21"/>
                <w:highlight w:val="none"/>
                <w:lang w:bidi="ar"/>
              </w:rPr>
              <w:t>三甲基苯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22</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正己烷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51</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1,2,3-</w:t>
            </w:r>
            <w:r>
              <w:rPr>
                <w:rStyle w:val="86"/>
                <w:rFonts w:hint="default"/>
                <w:color w:val="auto"/>
                <w:sz w:val="21"/>
                <w:szCs w:val="21"/>
                <w:highlight w:val="none"/>
                <w:lang w:bidi="ar"/>
              </w:rPr>
              <w:t>三甲基苯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23</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w:t>
            </w:r>
            <w:r>
              <w:rPr>
                <w:rStyle w:val="86"/>
                <w:rFonts w:hint="default"/>
                <w:color w:val="auto"/>
                <w:sz w:val="21"/>
                <w:szCs w:val="21"/>
                <w:highlight w:val="none"/>
                <w:lang w:bidi="ar"/>
              </w:rPr>
              <w:t>己烯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52</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邻乙基甲苯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24</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甲基环戊烷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53</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正癸烷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25</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2,4-</w:t>
            </w:r>
            <w:r>
              <w:rPr>
                <w:rStyle w:val="86"/>
                <w:rFonts w:hint="default"/>
                <w:color w:val="auto"/>
                <w:sz w:val="21"/>
                <w:szCs w:val="21"/>
                <w:highlight w:val="none"/>
                <w:lang w:bidi="ar"/>
              </w:rPr>
              <w:t>二甲基戊烷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54</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间二乙基苯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26</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55</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对二乙基苯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27</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环己烷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56</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正十一烷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28</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w:t>
            </w:r>
            <w:r>
              <w:rPr>
                <w:rStyle w:val="86"/>
                <w:rFonts w:hint="default"/>
                <w:color w:val="auto"/>
                <w:sz w:val="21"/>
                <w:szCs w:val="21"/>
                <w:highlight w:val="none"/>
                <w:lang w:bidi="ar"/>
              </w:rPr>
              <w:t>甲基己烷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57</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正十二烷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58</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甲醛</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65</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2 -丁酮</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59</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乙醛</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66</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正丁醛</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60</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丙烯醛</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67</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苯甲醛</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61</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丙酮</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68</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戊醛</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62</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丙醛</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69</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间甲基苯甲醛</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63</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丁烯醛</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70</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己醛</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64</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甲基丙烯醛</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95</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一溴二氯甲烷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71</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二氟二氯甲烷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96</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三氯乙烯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72</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一氯甲烷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97</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1,2-</w:t>
            </w:r>
            <w:r>
              <w:rPr>
                <w:rStyle w:val="86"/>
                <w:rFonts w:hint="default"/>
                <w:color w:val="auto"/>
                <w:sz w:val="21"/>
                <w:szCs w:val="21"/>
                <w:highlight w:val="none"/>
                <w:lang w:bidi="ar"/>
              </w:rPr>
              <w:t>二氯丙烷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73</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氯乙烯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98</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甲基丙烯酸甲酯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74</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丁二烯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99</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1,4-</w:t>
            </w:r>
            <w:r>
              <w:rPr>
                <w:rStyle w:val="86"/>
                <w:rFonts w:hint="default"/>
                <w:color w:val="auto"/>
                <w:sz w:val="21"/>
                <w:szCs w:val="21"/>
                <w:highlight w:val="none"/>
                <w:lang w:bidi="ar"/>
              </w:rPr>
              <w:t>二氧六环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75</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一溴甲烷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100</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顺式</w:t>
            </w:r>
            <w:r>
              <w:rPr>
                <w:rFonts w:hint="eastAsia" w:cs="宋体"/>
                <w:color w:val="auto"/>
                <w:kern w:val="0"/>
                <w:szCs w:val="21"/>
                <w:highlight w:val="none"/>
                <w:lang w:bidi="ar"/>
              </w:rPr>
              <w:t>-1,3-</w:t>
            </w:r>
            <w:r>
              <w:rPr>
                <w:rStyle w:val="86"/>
                <w:rFonts w:hint="default"/>
                <w:color w:val="auto"/>
                <w:sz w:val="21"/>
                <w:szCs w:val="21"/>
                <w:highlight w:val="none"/>
                <w:lang w:bidi="ar"/>
              </w:rPr>
              <w:t>二氯</w:t>
            </w:r>
            <w:r>
              <w:rPr>
                <w:rFonts w:hint="eastAsia" w:cs="宋体"/>
                <w:color w:val="auto"/>
                <w:kern w:val="0"/>
                <w:szCs w:val="21"/>
                <w:highlight w:val="none"/>
                <w:lang w:bidi="ar"/>
              </w:rPr>
              <w:t>-1-</w:t>
            </w:r>
            <w:r>
              <w:rPr>
                <w:rStyle w:val="86"/>
                <w:rFonts w:hint="default"/>
                <w:color w:val="auto"/>
                <w:sz w:val="21"/>
                <w:szCs w:val="21"/>
                <w:highlight w:val="none"/>
                <w:lang w:bidi="ar"/>
              </w:rPr>
              <w:t>丙烯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76</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1,1,2,2-</w:t>
            </w:r>
            <w:r>
              <w:rPr>
                <w:rStyle w:val="86"/>
                <w:rFonts w:hint="default"/>
                <w:color w:val="auto"/>
                <w:sz w:val="21"/>
                <w:szCs w:val="21"/>
                <w:highlight w:val="none"/>
                <w:lang w:bidi="ar"/>
              </w:rPr>
              <w:t>四氟</w:t>
            </w:r>
            <w:r>
              <w:rPr>
                <w:rFonts w:hint="eastAsia" w:cs="宋体"/>
                <w:color w:val="auto"/>
                <w:kern w:val="0"/>
                <w:szCs w:val="21"/>
                <w:highlight w:val="none"/>
                <w:lang w:bidi="ar"/>
              </w:rPr>
              <w:t>-1,2-</w:t>
            </w:r>
            <w:r>
              <w:rPr>
                <w:rStyle w:val="86"/>
                <w:rFonts w:hint="default"/>
                <w:color w:val="auto"/>
                <w:sz w:val="21"/>
                <w:szCs w:val="21"/>
                <w:highlight w:val="none"/>
                <w:lang w:bidi="ar"/>
              </w:rPr>
              <w:t>二氯乙烷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101</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反式</w:t>
            </w:r>
            <w:r>
              <w:rPr>
                <w:rFonts w:hint="eastAsia" w:cs="宋体"/>
                <w:color w:val="auto"/>
                <w:kern w:val="0"/>
                <w:szCs w:val="21"/>
                <w:highlight w:val="none"/>
                <w:lang w:bidi="ar"/>
              </w:rPr>
              <w:t>-1,3-</w:t>
            </w:r>
            <w:r>
              <w:rPr>
                <w:rStyle w:val="86"/>
                <w:rFonts w:hint="default"/>
                <w:color w:val="auto"/>
                <w:sz w:val="21"/>
                <w:szCs w:val="21"/>
                <w:highlight w:val="none"/>
                <w:lang w:bidi="ar"/>
              </w:rPr>
              <w:t>二氯</w:t>
            </w:r>
            <w:r>
              <w:rPr>
                <w:rFonts w:hint="eastAsia" w:cs="宋体"/>
                <w:color w:val="auto"/>
                <w:kern w:val="0"/>
                <w:szCs w:val="21"/>
                <w:highlight w:val="none"/>
                <w:lang w:bidi="ar"/>
              </w:rPr>
              <w:t>-1-</w:t>
            </w:r>
            <w:r>
              <w:rPr>
                <w:rStyle w:val="86"/>
                <w:rFonts w:hint="default"/>
                <w:color w:val="auto"/>
                <w:sz w:val="21"/>
                <w:szCs w:val="21"/>
                <w:highlight w:val="none"/>
                <w:lang w:bidi="ar"/>
              </w:rPr>
              <w:t>丙烯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77</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氯乙烷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102</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1,1,2-</w:t>
            </w:r>
            <w:r>
              <w:rPr>
                <w:rStyle w:val="86"/>
                <w:rFonts w:hint="default"/>
                <w:color w:val="auto"/>
                <w:sz w:val="21"/>
                <w:szCs w:val="21"/>
                <w:highlight w:val="none"/>
                <w:lang w:bidi="ar"/>
              </w:rPr>
              <w:t>三氯乙烷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78</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一氟三氯甲烷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103</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4-</w:t>
            </w:r>
            <w:r>
              <w:rPr>
                <w:rStyle w:val="86"/>
                <w:rFonts w:hint="default"/>
                <w:color w:val="auto"/>
                <w:sz w:val="21"/>
                <w:szCs w:val="21"/>
                <w:highlight w:val="none"/>
                <w:lang w:bidi="ar"/>
              </w:rPr>
              <w:t>甲基</w:t>
            </w:r>
            <w:r>
              <w:rPr>
                <w:rFonts w:hint="eastAsia" w:cs="宋体"/>
                <w:color w:val="auto"/>
                <w:kern w:val="0"/>
                <w:szCs w:val="21"/>
                <w:highlight w:val="none"/>
                <w:lang w:bidi="ar"/>
              </w:rPr>
              <w:t>-2-</w:t>
            </w:r>
            <w:r>
              <w:rPr>
                <w:rStyle w:val="86"/>
                <w:rFonts w:hint="default"/>
                <w:color w:val="auto"/>
                <w:sz w:val="21"/>
                <w:szCs w:val="21"/>
                <w:highlight w:val="none"/>
                <w:lang w:bidi="ar"/>
              </w:rPr>
              <w:t>戊酮</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79</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w:t>
            </w:r>
            <w:r>
              <w:rPr>
                <w:rStyle w:val="86"/>
                <w:rFonts w:hint="default"/>
                <w:color w:val="auto"/>
                <w:sz w:val="21"/>
                <w:szCs w:val="21"/>
                <w:highlight w:val="none"/>
                <w:lang w:bidi="ar"/>
              </w:rPr>
              <w:t>二氯乙烯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104</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二溴一氯甲烷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80</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二氯甲烷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105</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四氯乙烯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81</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二硫化碳</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106</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2-</w:t>
            </w:r>
            <w:r>
              <w:rPr>
                <w:rStyle w:val="86"/>
                <w:rFonts w:hint="default"/>
                <w:color w:val="auto"/>
                <w:sz w:val="21"/>
                <w:szCs w:val="21"/>
                <w:highlight w:val="none"/>
                <w:lang w:bidi="ar"/>
              </w:rPr>
              <w:t>己酮</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82</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1,2,2-</w:t>
            </w:r>
            <w:r>
              <w:rPr>
                <w:rStyle w:val="86"/>
                <w:rFonts w:hint="default"/>
                <w:color w:val="auto"/>
                <w:sz w:val="21"/>
                <w:szCs w:val="21"/>
                <w:highlight w:val="none"/>
                <w:lang w:bidi="ar"/>
              </w:rPr>
              <w:t>三氯</w:t>
            </w:r>
            <w:r>
              <w:rPr>
                <w:rFonts w:hint="eastAsia" w:cs="宋体"/>
                <w:color w:val="auto"/>
                <w:kern w:val="0"/>
                <w:szCs w:val="21"/>
                <w:highlight w:val="none"/>
                <w:lang w:bidi="ar"/>
              </w:rPr>
              <w:t>-1,1,2-</w:t>
            </w:r>
            <w:r>
              <w:rPr>
                <w:rStyle w:val="86"/>
                <w:rFonts w:hint="default"/>
                <w:color w:val="auto"/>
                <w:sz w:val="21"/>
                <w:szCs w:val="21"/>
                <w:highlight w:val="none"/>
                <w:lang w:bidi="ar"/>
              </w:rPr>
              <w:t>三氯乙烷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107</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1,2-</w:t>
            </w:r>
            <w:r>
              <w:rPr>
                <w:rStyle w:val="86"/>
                <w:rFonts w:hint="default"/>
                <w:color w:val="auto"/>
                <w:sz w:val="21"/>
                <w:szCs w:val="21"/>
                <w:highlight w:val="none"/>
                <w:lang w:bidi="ar"/>
              </w:rPr>
              <w:t>二溴乙烷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83</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反</w:t>
            </w:r>
            <w:r>
              <w:rPr>
                <w:rFonts w:hint="eastAsia" w:cs="宋体"/>
                <w:color w:val="auto"/>
                <w:kern w:val="0"/>
                <w:szCs w:val="21"/>
                <w:highlight w:val="none"/>
                <w:lang w:bidi="ar"/>
              </w:rPr>
              <w:t>1,2-</w:t>
            </w:r>
            <w:r>
              <w:rPr>
                <w:rStyle w:val="86"/>
                <w:rFonts w:hint="default"/>
                <w:color w:val="auto"/>
                <w:sz w:val="21"/>
                <w:szCs w:val="21"/>
                <w:highlight w:val="none"/>
                <w:lang w:bidi="ar"/>
              </w:rPr>
              <w:t>二氯乙烯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108</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氯苯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84</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甲基叔丁基醚</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109</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四氯乙烷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85</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顺</w:t>
            </w:r>
            <w:r>
              <w:rPr>
                <w:rFonts w:hint="eastAsia" w:cs="宋体"/>
                <w:color w:val="auto"/>
                <w:kern w:val="0"/>
                <w:szCs w:val="21"/>
                <w:highlight w:val="none"/>
                <w:lang w:bidi="ar"/>
              </w:rPr>
              <w:t>1,2-</w:t>
            </w:r>
            <w:r>
              <w:rPr>
                <w:rStyle w:val="86"/>
                <w:rFonts w:hint="default"/>
                <w:color w:val="auto"/>
                <w:sz w:val="21"/>
                <w:szCs w:val="21"/>
                <w:highlight w:val="none"/>
                <w:lang w:bidi="ar"/>
              </w:rPr>
              <w:t>二氯乙烯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110</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三溴甲烷</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86</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三氯甲烷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111</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1,3-</w:t>
            </w:r>
            <w:r>
              <w:rPr>
                <w:rStyle w:val="86"/>
                <w:rFonts w:hint="default"/>
                <w:color w:val="auto"/>
                <w:sz w:val="21"/>
                <w:szCs w:val="21"/>
                <w:highlight w:val="none"/>
                <w:lang w:bidi="ar"/>
              </w:rPr>
              <w:t>二氯苯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87</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四氢呋喃</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112</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对二氯苯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88</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乙酸乙烯酯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113</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氯代甲苯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89</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1,1,1-</w:t>
            </w:r>
            <w:r>
              <w:rPr>
                <w:rStyle w:val="86"/>
                <w:rFonts w:hint="default"/>
                <w:color w:val="auto"/>
                <w:sz w:val="21"/>
                <w:szCs w:val="21"/>
                <w:highlight w:val="none"/>
                <w:lang w:bidi="ar"/>
              </w:rPr>
              <w:t>三氯乙烷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114</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邻二氯苯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90</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四氯化碳</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115</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1,1,2,3,4,4-</w:t>
            </w:r>
            <w:r>
              <w:rPr>
                <w:rStyle w:val="86"/>
                <w:rFonts w:hint="default"/>
                <w:color w:val="auto"/>
                <w:sz w:val="21"/>
                <w:szCs w:val="21"/>
                <w:highlight w:val="none"/>
                <w:lang w:bidi="ar"/>
              </w:rPr>
              <w:t>六氯</w:t>
            </w:r>
            <w:r>
              <w:rPr>
                <w:rFonts w:hint="eastAsia" w:cs="宋体"/>
                <w:color w:val="auto"/>
                <w:kern w:val="0"/>
                <w:szCs w:val="21"/>
                <w:highlight w:val="none"/>
                <w:lang w:bidi="ar"/>
              </w:rPr>
              <w:t>-1,3-</w:t>
            </w:r>
            <w:r>
              <w:rPr>
                <w:rStyle w:val="86"/>
                <w:rFonts w:hint="default"/>
                <w:color w:val="auto"/>
                <w:sz w:val="21"/>
                <w:szCs w:val="21"/>
                <w:highlight w:val="none"/>
                <w:lang w:bidi="ar"/>
              </w:rPr>
              <w:t>丁二烯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91</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乙酸乙酯</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116</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萘</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92</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Style w:val="86"/>
                <w:rFonts w:hint="default"/>
                <w:color w:val="auto"/>
                <w:sz w:val="21"/>
                <w:szCs w:val="21"/>
                <w:highlight w:val="none"/>
                <w:lang w:bidi="ar"/>
              </w:rPr>
              <w:t>异丙醇</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117</w:t>
            </w:r>
          </w:p>
        </w:tc>
        <w:tc>
          <w:tcPr>
            <w:tcW w:w="18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1,2,4-</w:t>
            </w:r>
            <w:r>
              <w:rPr>
                <w:rStyle w:val="86"/>
                <w:rFonts w:hint="default"/>
                <w:color w:val="auto"/>
                <w:sz w:val="21"/>
                <w:szCs w:val="21"/>
                <w:highlight w:val="none"/>
                <w:lang w:bidi="ar"/>
              </w:rPr>
              <w:t>三氯苯</w:t>
            </w: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93</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w:t>
            </w:r>
            <w:r>
              <w:rPr>
                <w:rStyle w:val="86"/>
                <w:rFonts w:hint="default"/>
                <w:color w:val="auto"/>
                <w:sz w:val="21"/>
                <w:szCs w:val="21"/>
                <w:highlight w:val="none"/>
                <w:lang w:bidi="ar"/>
              </w:rPr>
              <w:t>二氯乙烷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118</w:t>
            </w:r>
          </w:p>
        </w:tc>
        <w:tc>
          <w:tcPr>
            <w:tcW w:w="18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bottom"/>
              <w:rPr>
                <w:rFonts w:cs="宋体"/>
                <w:color w:val="auto"/>
                <w:szCs w:val="21"/>
                <w:highlight w:val="none"/>
              </w:rPr>
            </w:pPr>
          </w:p>
        </w:tc>
      </w:tr>
      <w:tr>
        <w:tblPrEx>
          <w:tblCellMar>
            <w:top w:w="0" w:type="dxa"/>
            <w:left w:w="108" w:type="dxa"/>
            <w:bottom w:w="0" w:type="dxa"/>
            <w:right w:w="108" w:type="dxa"/>
          </w:tblCellMar>
        </w:tblPrEx>
        <w:trPr>
          <w:trHeight w:val="278" w:hRule="atLeast"/>
          <w:jc w:val="center"/>
        </w:trPr>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94</w:t>
            </w:r>
          </w:p>
        </w:tc>
        <w:tc>
          <w:tcPr>
            <w:tcW w:w="187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1,2-</w:t>
            </w:r>
            <w:r>
              <w:rPr>
                <w:rStyle w:val="86"/>
                <w:rFonts w:hint="default"/>
                <w:color w:val="auto"/>
                <w:sz w:val="21"/>
                <w:szCs w:val="21"/>
                <w:highlight w:val="none"/>
                <w:lang w:bidi="ar"/>
              </w:rPr>
              <w:t>二氯乙烷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color w:val="auto"/>
                <w:szCs w:val="21"/>
                <w:highlight w:val="none"/>
              </w:rPr>
            </w:pPr>
            <w:r>
              <w:rPr>
                <w:rFonts w:hint="eastAsia" w:cs="宋体"/>
                <w:color w:val="auto"/>
                <w:kern w:val="0"/>
                <w:szCs w:val="21"/>
                <w:highlight w:val="none"/>
                <w:lang w:bidi="ar"/>
              </w:rPr>
              <w:t>119</w:t>
            </w:r>
          </w:p>
        </w:tc>
        <w:tc>
          <w:tcPr>
            <w:tcW w:w="18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bottom"/>
              <w:rPr>
                <w:rFonts w:cs="宋体"/>
                <w:color w:val="auto"/>
                <w:szCs w:val="21"/>
                <w:highlight w:val="none"/>
              </w:rPr>
            </w:pPr>
          </w:p>
        </w:tc>
      </w:tr>
    </w:tbl>
    <w:p>
      <w:pPr>
        <w:rPr>
          <w:color w:val="auto"/>
          <w:highlight w:val="none"/>
        </w:rPr>
      </w:pPr>
    </w:p>
    <w:p>
      <w:pPr>
        <w:rPr>
          <w:color w:val="auto"/>
          <w:highlight w:val="none"/>
        </w:rPr>
      </w:pPr>
      <w:r>
        <w:rPr>
          <w:rFonts w:hint="eastAsia"/>
          <w:b/>
          <w:color w:val="auto"/>
          <w:szCs w:val="21"/>
          <w:highlight w:val="none"/>
        </w:rPr>
        <w:t>四</w:t>
      </w:r>
      <w:r>
        <w:rPr>
          <w:b/>
          <w:color w:val="auto"/>
          <w:szCs w:val="21"/>
          <w:highlight w:val="none"/>
        </w:rPr>
        <w:t>、汾湖颗粒物激光雷达运维服务</w:t>
      </w:r>
    </w:p>
    <w:p>
      <w:pPr>
        <w:tabs>
          <w:tab w:val="left" w:pos="540"/>
          <w:tab w:val="left" w:pos="900"/>
        </w:tabs>
        <w:spacing w:before="120" w:after="120" w:line="264" w:lineRule="auto"/>
        <w:ind w:left="420" w:hanging="420" w:hangingChars="200"/>
        <w:jc w:val="left"/>
        <w:rPr>
          <w:bCs/>
          <w:color w:val="auto"/>
          <w:szCs w:val="21"/>
          <w:highlight w:val="none"/>
        </w:rPr>
      </w:pPr>
      <w:r>
        <w:rPr>
          <w:bCs/>
          <w:color w:val="auto"/>
          <w:szCs w:val="21"/>
          <w:highlight w:val="none"/>
        </w:rPr>
        <w:t>4.1技术运维要求</w:t>
      </w:r>
    </w:p>
    <w:p>
      <w:pPr>
        <w:tabs>
          <w:tab w:val="left" w:pos="900"/>
        </w:tabs>
        <w:spacing w:before="120" w:after="120" w:line="264" w:lineRule="auto"/>
        <w:ind w:left="420" w:hanging="420" w:hangingChars="200"/>
        <w:jc w:val="left"/>
        <w:rPr>
          <w:bCs/>
          <w:color w:val="auto"/>
          <w:szCs w:val="21"/>
          <w:highlight w:val="none"/>
        </w:rPr>
      </w:pPr>
      <w:r>
        <w:rPr>
          <w:bCs/>
          <w:color w:val="auto"/>
          <w:szCs w:val="21"/>
          <w:highlight w:val="none"/>
        </w:rPr>
        <w:t>4.1.1、每日</w:t>
      </w:r>
      <w:r>
        <w:rPr>
          <w:rFonts w:hint="eastAsia"/>
          <w:bCs/>
          <w:color w:val="auto"/>
          <w:szCs w:val="21"/>
          <w:highlight w:val="none"/>
        </w:rPr>
        <w:t>：</w:t>
      </w:r>
      <w:r>
        <w:rPr>
          <w:bCs/>
          <w:color w:val="auto"/>
          <w:szCs w:val="21"/>
          <w:highlight w:val="none"/>
        </w:rPr>
        <w:t>远程检查仪器运行状况和工作参数是否正常，如有异常，应按照应急响应时间要求，及时处理；每日远程检查仪器采集软件是否正常运行和采集，检查原始回拨信号是否正常；每日远程检查分析软件是够正常解析，消光系数和退偏比是否连续，数据保存是否正常。</w:t>
      </w:r>
    </w:p>
    <w:p>
      <w:pPr>
        <w:tabs>
          <w:tab w:val="left" w:pos="540"/>
          <w:tab w:val="left" w:pos="900"/>
        </w:tabs>
        <w:spacing w:before="120" w:after="120" w:line="264" w:lineRule="auto"/>
        <w:ind w:left="420" w:hanging="420" w:hangingChars="200"/>
        <w:jc w:val="left"/>
        <w:rPr>
          <w:bCs/>
          <w:color w:val="auto"/>
          <w:szCs w:val="21"/>
          <w:highlight w:val="none"/>
        </w:rPr>
      </w:pPr>
      <w:r>
        <w:rPr>
          <w:bCs/>
          <w:color w:val="auto"/>
          <w:szCs w:val="21"/>
          <w:highlight w:val="none"/>
        </w:rPr>
        <w:t>4.1.2、每周</w:t>
      </w:r>
      <w:r>
        <w:rPr>
          <w:rFonts w:hint="eastAsia"/>
          <w:bCs/>
          <w:color w:val="auto"/>
          <w:szCs w:val="21"/>
          <w:highlight w:val="none"/>
        </w:rPr>
        <w:t>：</w:t>
      </w:r>
      <w:r>
        <w:rPr>
          <w:bCs/>
          <w:color w:val="auto"/>
          <w:szCs w:val="21"/>
          <w:highlight w:val="none"/>
        </w:rPr>
        <w:t>检查光学镜片表面，如有积尘或污渍，应停机使用洗耳球进行清洁，必要时使用擦镜纸进行清洁；每周检查光学镜片是否有破损情况，如有破损应及时更换；每周清洁天窗玻璃表面，检查天窗是否破裂、天窗支架及玻璃密封是否完好，有无漏水渗水等异常现象；每周检查室内外温差情况及天窗玻璃是否存在冷凝水，如有冷凝水，应调整站房温度或加装天窗玻璃加热装置；如天窗有加热装置，每周应检查其是否正常工作；采用水冷激光器的仪器，每周应检查激光器冷却溶液液位，及时添加；降雨、降雪及沙尘天气后，应及时清洁天窗玻璃。</w:t>
      </w:r>
    </w:p>
    <w:p>
      <w:pPr>
        <w:tabs>
          <w:tab w:val="left" w:pos="540"/>
          <w:tab w:val="left" w:pos="900"/>
        </w:tabs>
        <w:spacing w:before="120" w:after="120" w:line="264" w:lineRule="auto"/>
        <w:ind w:left="420" w:hanging="420" w:hangingChars="200"/>
        <w:jc w:val="left"/>
        <w:rPr>
          <w:bCs/>
          <w:color w:val="auto"/>
          <w:szCs w:val="21"/>
          <w:highlight w:val="none"/>
        </w:rPr>
      </w:pPr>
      <w:r>
        <w:rPr>
          <w:bCs/>
          <w:color w:val="auto"/>
          <w:szCs w:val="21"/>
          <w:highlight w:val="none"/>
        </w:rPr>
        <w:t>4.1.3、每月</w:t>
      </w:r>
      <w:r>
        <w:rPr>
          <w:rFonts w:hint="eastAsia"/>
          <w:bCs/>
          <w:color w:val="auto"/>
          <w:szCs w:val="21"/>
          <w:highlight w:val="none"/>
        </w:rPr>
        <w:t>：</w:t>
      </w:r>
      <w:r>
        <w:rPr>
          <w:bCs/>
          <w:color w:val="auto"/>
          <w:szCs w:val="21"/>
          <w:highlight w:val="none"/>
        </w:rPr>
        <w:t>检查激光光斑偏移情况，有偏差时应及时调整；检查记录雷达激光能量、激光光斑特征、回波信号、背景基线及噪声，如果有指标不满足指标对雷达进行维修调校以满足工作技术指标，必要时更换配件。</w:t>
      </w:r>
    </w:p>
    <w:p>
      <w:pPr>
        <w:tabs>
          <w:tab w:val="left" w:pos="540"/>
          <w:tab w:val="left" w:pos="900"/>
        </w:tabs>
        <w:spacing w:before="120" w:after="120" w:line="264" w:lineRule="auto"/>
        <w:ind w:left="420" w:hanging="420" w:hangingChars="200"/>
        <w:jc w:val="left"/>
        <w:rPr>
          <w:bCs/>
          <w:color w:val="auto"/>
          <w:szCs w:val="21"/>
          <w:highlight w:val="none"/>
        </w:rPr>
      </w:pPr>
      <w:r>
        <w:rPr>
          <w:bCs/>
          <w:color w:val="auto"/>
          <w:szCs w:val="21"/>
          <w:highlight w:val="none"/>
        </w:rPr>
        <w:t>4.1.4、每</w:t>
      </w:r>
      <w:r>
        <w:rPr>
          <w:rFonts w:hint="eastAsia"/>
          <w:bCs/>
          <w:color w:val="auto"/>
          <w:szCs w:val="21"/>
          <w:highlight w:val="none"/>
        </w:rPr>
        <w:t>半年：</w:t>
      </w:r>
      <w:r>
        <w:rPr>
          <w:bCs/>
          <w:color w:val="auto"/>
          <w:szCs w:val="21"/>
          <w:highlight w:val="none"/>
        </w:rPr>
        <w:t>进行半年度光路校准，查看光路系统有无异常，如有异常即及时维护调试；对仪器进行预防性维护，并更换相应备件。</w:t>
      </w:r>
    </w:p>
    <w:p>
      <w:pPr>
        <w:tabs>
          <w:tab w:val="left" w:pos="540"/>
          <w:tab w:val="left" w:pos="900"/>
        </w:tabs>
        <w:spacing w:before="120" w:after="120" w:line="264" w:lineRule="auto"/>
        <w:ind w:left="420" w:hanging="420" w:hangingChars="200"/>
        <w:jc w:val="left"/>
        <w:rPr>
          <w:bCs/>
          <w:color w:val="auto"/>
          <w:szCs w:val="21"/>
          <w:highlight w:val="none"/>
        </w:rPr>
      </w:pPr>
      <w:r>
        <w:rPr>
          <w:bCs/>
          <w:color w:val="auto"/>
          <w:szCs w:val="21"/>
          <w:highlight w:val="none"/>
        </w:rPr>
        <w:t>4.1.5、每年：检查雷达采集模块各个通道高压工作是否正常；进行年度激光器校准和光路校准。</w:t>
      </w:r>
    </w:p>
    <w:p>
      <w:pPr>
        <w:tabs>
          <w:tab w:val="left" w:pos="540"/>
          <w:tab w:val="left" w:pos="900"/>
        </w:tabs>
        <w:spacing w:before="120" w:after="120" w:line="264" w:lineRule="auto"/>
        <w:ind w:left="420" w:hanging="420" w:hangingChars="200"/>
        <w:jc w:val="left"/>
        <w:rPr>
          <w:bCs/>
          <w:color w:val="auto"/>
          <w:szCs w:val="21"/>
          <w:highlight w:val="none"/>
        </w:rPr>
      </w:pPr>
      <w:r>
        <w:rPr>
          <w:bCs/>
          <w:color w:val="auto"/>
          <w:szCs w:val="21"/>
          <w:highlight w:val="none"/>
        </w:rPr>
        <w:t>4.1.6、数据</w:t>
      </w:r>
      <w:r>
        <w:rPr>
          <w:rFonts w:hint="eastAsia"/>
          <w:bCs/>
          <w:color w:val="auto"/>
          <w:szCs w:val="21"/>
          <w:highlight w:val="none"/>
        </w:rPr>
        <w:t>分析</w:t>
      </w:r>
      <w:r>
        <w:rPr>
          <w:bCs/>
          <w:color w:val="auto"/>
          <w:szCs w:val="21"/>
          <w:highlight w:val="none"/>
        </w:rPr>
        <w:t>和审核</w:t>
      </w:r>
      <w:r>
        <w:rPr>
          <w:rFonts w:hint="eastAsia"/>
          <w:bCs/>
          <w:color w:val="auto"/>
          <w:szCs w:val="21"/>
          <w:highlight w:val="none"/>
        </w:rPr>
        <w:t>。</w:t>
      </w:r>
      <w:r>
        <w:rPr>
          <w:bCs/>
          <w:color w:val="auto"/>
          <w:szCs w:val="21"/>
          <w:highlight w:val="none"/>
        </w:rPr>
        <w:t>按业主要求，开展每日数据在线审核工作。</w:t>
      </w:r>
      <w:r>
        <w:rPr>
          <w:rFonts w:hint="eastAsia"/>
          <w:bCs/>
          <w:color w:val="auto"/>
          <w:szCs w:val="21"/>
          <w:highlight w:val="none"/>
        </w:rPr>
        <w:t>不定期根据用户要求提供相关时间内的数据分析报告。</w:t>
      </w:r>
    </w:p>
    <w:p>
      <w:pPr>
        <w:tabs>
          <w:tab w:val="left" w:pos="540"/>
          <w:tab w:val="left" w:pos="900"/>
        </w:tabs>
        <w:spacing w:before="120" w:after="120" w:line="264" w:lineRule="auto"/>
        <w:ind w:left="420" w:hanging="420" w:hangingChars="200"/>
        <w:jc w:val="left"/>
        <w:rPr>
          <w:bCs/>
          <w:color w:val="auto"/>
          <w:szCs w:val="21"/>
          <w:highlight w:val="none"/>
        </w:rPr>
      </w:pPr>
      <w:r>
        <w:rPr>
          <w:bCs/>
          <w:color w:val="auto"/>
          <w:szCs w:val="21"/>
          <w:highlight w:val="none"/>
        </w:rPr>
        <w:t>4.1.7、质控结果异常报警。发现设备质控数据异常后，2小时内远程检查监测数据质量，并告知用户异常情况，初步分析质控数据异常原因，为用户提供科学诊断仪器状态建议。</w:t>
      </w:r>
    </w:p>
    <w:p>
      <w:pPr>
        <w:tabs>
          <w:tab w:val="left" w:pos="540"/>
          <w:tab w:val="left" w:pos="900"/>
        </w:tabs>
        <w:spacing w:before="120" w:after="120" w:line="264" w:lineRule="auto"/>
        <w:ind w:left="420" w:hanging="420" w:hangingChars="200"/>
        <w:jc w:val="left"/>
        <w:rPr>
          <w:bCs/>
          <w:color w:val="auto"/>
          <w:szCs w:val="21"/>
          <w:highlight w:val="none"/>
        </w:rPr>
      </w:pPr>
      <w:r>
        <w:rPr>
          <w:bCs/>
          <w:color w:val="auto"/>
          <w:szCs w:val="21"/>
          <w:highlight w:val="none"/>
        </w:rPr>
        <w:t>4.1.8、大型活动保障。质控服务方依据用户提前通知的要求，在年度内有大型赛事、活动和重污染物天气时间段内，提供加密质控保障工作。</w:t>
      </w:r>
    </w:p>
    <w:p>
      <w:pPr>
        <w:tabs>
          <w:tab w:val="left" w:pos="540"/>
          <w:tab w:val="left" w:pos="900"/>
        </w:tabs>
        <w:spacing w:before="120" w:after="120" w:line="264" w:lineRule="auto"/>
        <w:ind w:left="420" w:hanging="420" w:hangingChars="200"/>
        <w:jc w:val="left"/>
        <w:rPr>
          <w:bCs/>
          <w:color w:val="auto"/>
          <w:szCs w:val="21"/>
          <w:highlight w:val="none"/>
        </w:rPr>
      </w:pPr>
      <w:r>
        <w:rPr>
          <w:bCs/>
          <w:color w:val="auto"/>
          <w:szCs w:val="21"/>
          <w:highlight w:val="none"/>
        </w:rPr>
        <w:t>4.2质控要求</w:t>
      </w:r>
    </w:p>
    <w:p>
      <w:pPr>
        <w:tabs>
          <w:tab w:val="left" w:pos="540"/>
          <w:tab w:val="left" w:pos="900"/>
        </w:tabs>
        <w:spacing w:before="120" w:after="120" w:line="264" w:lineRule="auto"/>
        <w:ind w:left="420" w:hanging="420" w:hangingChars="200"/>
        <w:jc w:val="left"/>
        <w:rPr>
          <w:bCs/>
          <w:color w:val="auto"/>
          <w:szCs w:val="21"/>
          <w:highlight w:val="none"/>
        </w:rPr>
      </w:pPr>
      <w:r>
        <w:rPr>
          <w:bCs/>
          <w:color w:val="auto"/>
          <w:szCs w:val="21"/>
          <w:highlight w:val="none"/>
        </w:rPr>
        <w:t>4.2.1、</w:t>
      </w:r>
      <w:r>
        <w:rPr>
          <w:rFonts w:hint="eastAsia"/>
          <w:bCs/>
          <w:color w:val="auto"/>
          <w:szCs w:val="21"/>
          <w:highlight w:val="none"/>
        </w:rPr>
        <w:t>每半年根据下表完成雷达自查检测项目并提交检查报告。</w:t>
      </w:r>
    </w:p>
    <w:p>
      <w:pPr>
        <w:spacing w:line="360" w:lineRule="auto"/>
        <w:jc w:val="center"/>
        <w:rPr>
          <w:color w:val="auto"/>
          <w:kern w:val="0"/>
          <w:szCs w:val="21"/>
          <w:highlight w:val="none"/>
        </w:rPr>
      </w:pPr>
      <w:r>
        <w:rPr>
          <w:rFonts w:hint="eastAsia"/>
          <w:bCs/>
          <w:color w:val="auto"/>
          <w:szCs w:val="21"/>
          <w:highlight w:val="none"/>
        </w:rPr>
        <w:t>表</w:t>
      </w:r>
      <w:r>
        <w:rPr>
          <w:bCs/>
          <w:color w:val="auto"/>
          <w:szCs w:val="21"/>
          <w:highlight w:val="none"/>
        </w:rPr>
        <w:t>4-1 气溶胶激光雷达</w:t>
      </w:r>
      <w:r>
        <w:rPr>
          <w:rFonts w:hint="eastAsia"/>
          <w:bCs/>
          <w:color w:val="auto"/>
          <w:szCs w:val="21"/>
          <w:highlight w:val="none"/>
        </w:rPr>
        <w:t>自查</w:t>
      </w:r>
      <w:r>
        <w:rPr>
          <w:bCs/>
          <w:color w:val="auto"/>
          <w:szCs w:val="21"/>
          <w:highlight w:val="none"/>
        </w:rPr>
        <w:t>检测</w:t>
      </w:r>
      <w:r>
        <w:rPr>
          <w:rFonts w:hint="eastAsia"/>
          <w:bCs/>
          <w:color w:val="auto"/>
          <w:szCs w:val="21"/>
          <w:highlight w:val="none"/>
        </w:rPr>
        <w:t>项目表</w:t>
      </w:r>
    </w:p>
    <w:tbl>
      <w:tblPr>
        <w:tblStyle w:val="4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2"/>
        <w:gridCol w:w="2126"/>
        <w:gridCol w:w="1714"/>
        <w:gridCol w:w="1444"/>
        <w:gridCol w:w="1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1185" w:type="pct"/>
            <w:vAlign w:val="center"/>
          </w:tcPr>
          <w:p>
            <w:pPr>
              <w:widowControl/>
              <w:spacing w:line="276" w:lineRule="auto"/>
              <w:jc w:val="center"/>
              <w:rPr>
                <w:b/>
                <w:color w:val="auto"/>
                <w:kern w:val="0"/>
                <w:szCs w:val="21"/>
                <w:highlight w:val="none"/>
              </w:rPr>
            </w:pPr>
            <w:r>
              <w:rPr>
                <w:rFonts w:hint="eastAsia"/>
                <w:b/>
                <w:color w:val="auto"/>
                <w:kern w:val="0"/>
                <w:szCs w:val="21"/>
                <w:highlight w:val="none"/>
              </w:rPr>
              <w:t>站点名称</w:t>
            </w:r>
          </w:p>
        </w:tc>
        <w:tc>
          <w:tcPr>
            <w:tcW w:w="3814" w:type="pct"/>
            <w:gridSpan w:val="4"/>
            <w:vAlign w:val="center"/>
          </w:tcPr>
          <w:p>
            <w:pPr>
              <w:widowControl/>
              <w:spacing w:line="276" w:lineRule="auto"/>
              <w:jc w:val="center"/>
              <w:rPr>
                <w:b/>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1185" w:type="pct"/>
            <w:vAlign w:val="center"/>
          </w:tcPr>
          <w:p>
            <w:pPr>
              <w:widowControl/>
              <w:spacing w:line="276" w:lineRule="auto"/>
              <w:jc w:val="center"/>
              <w:rPr>
                <w:b/>
                <w:color w:val="auto"/>
                <w:kern w:val="0"/>
                <w:szCs w:val="21"/>
                <w:highlight w:val="none"/>
              </w:rPr>
            </w:pPr>
            <w:r>
              <w:rPr>
                <w:rFonts w:hint="eastAsia"/>
                <w:b/>
                <w:color w:val="auto"/>
                <w:kern w:val="0"/>
                <w:szCs w:val="21"/>
                <w:highlight w:val="none"/>
              </w:rPr>
              <w:t>天气要求</w:t>
            </w:r>
          </w:p>
        </w:tc>
        <w:tc>
          <w:tcPr>
            <w:tcW w:w="3814" w:type="pct"/>
            <w:gridSpan w:val="4"/>
            <w:vAlign w:val="center"/>
          </w:tcPr>
          <w:p>
            <w:pPr>
              <w:widowControl/>
              <w:spacing w:line="276" w:lineRule="auto"/>
              <w:jc w:val="center"/>
              <w:rPr>
                <w:b/>
                <w:color w:val="auto"/>
                <w:kern w:val="0"/>
                <w:szCs w:val="21"/>
                <w:highlight w:val="none"/>
              </w:rPr>
            </w:pPr>
            <w:r>
              <w:rPr>
                <w:rFonts w:hint="eastAsia"/>
                <w:bCs/>
                <w:color w:val="auto"/>
                <w:kern w:val="0"/>
                <w:szCs w:val="21"/>
                <w:highlight w:val="none"/>
              </w:rPr>
              <w:t>晴朗天气，尽量避开云，相对湿度≤70%，轻度污染或以下（PM</w:t>
            </w:r>
            <w:r>
              <w:rPr>
                <w:rFonts w:hint="eastAsia"/>
                <w:bCs/>
                <w:color w:val="auto"/>
                <w:kern w:val="0"/>
                <w:szCs w:val="21"/>
                <w:highlight w:val="none"/>
                <w:vertAlign w:val="subscript"/>
              </w:rPr>
              <w:t>10</w:t>
            </w:r>
            <w:r>
              <w:rPr>
                <w:rFonts w:hint="eastAsia"/>
                <w:bCs/>
                <w:color w:val="auto"/>
                <w:kern w:val="0"/>
                <w:szCs w:val="21"/>
                <w:highlight w:val="none"/>
              </w:rPr>
              <w:t>≤250</w:t>
            </w:r>
            <w:r>
              <w:rPr>
                <w:bCs/>
                <w:color w:val="auto"/>
                <w:kern w:val="0"/>
                <w:szCs w:val="21"/>
                <w:highlight w:val="none"/>
              </w:rPr>
              <w:t>µg/m</w:t>
            </w:r>
            <w:r>
              <w:rPr>
                <w:bCs/>
                <w:color w:val="auto"/>
                <w:kern w:val="0"/>
                <w:szCs w:val="21"/>
                <w:highlight w:val="none"/>
                <w:vertAlign w:val="superscript"/>
              </w:rPr>
              <w:t>3</w:t>
            </w:r>
            <w:r>
              <w:rPr>
                <w:rFonts w:hint="eastAsia"/>
                <w:bCs/>
                <w:color w:val="auto"/>
                <w:kern w:val="0"/>
                <w:szCs w:val="21"/>
                <w:highlight w:val="none"/>
              </w:rPr>
              <w:t>, PM</w:t>
            </w:r>
            <w:r>
              <w:rPr>
                <w:rFonts w:hint="eastAsia"/>
                <w:bCs/>
                <w:color w:val="auto"/>
                <w:kern w:val="0"/>
                <w:szCs w:val="21"/>
                <w:highlight w:val="none"/>
                <w:vertAlign w:val="subscript"/>
              </w:rPr>
              <w:t>2.5</w:t>
            </w:r>
            <w:r>
              <w:rPr>
                <w:rFonts w:hint="eastAsia"/>
                <w:bCs/>
                <w:color w:val="auto"/>
                <w:kern w:val="0"/>
                <w:szCs w:val="21"/>
                <w:highlight w:val="none"/>
              </w:rPr>
              <w:t>≤115</w:t>
            </w:r>
            <w:r>
              <w:rPr>
                <w:bCs/>
                <w:color w:val="auto"/>
                <w:kern w:val="0"/>
                <w:szCs w:val="21"/>
                <w:highlight w:val="none"/>
              </w:rPr>
              <w:t>µg/m</w:t>
            </w:r>
            <w:r>
              <w:rPr>
                <w:bCs/>
                <w:color w:val="auto"/>
                <w:kern w:val="0"/>
                <w:szCs w:val="21"/>
                <w:highlight w:val="none"/>
                <w:vertAlign w:val="superscript"/>
              </w:rPr>
              <w:t>3</w:t>
            </w:r>
            <w:r>
              <w:rPr>
                <w:rFonts w:hint="eastAsia"/>
                <w:bCs/>
                <w:color w:val="auto"/>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1185" w:type="pct"/>
            <w:vAlign w:val="center"/>
          </w:tcPr>
          <w:p>
            <w:pPr>
              <w:widowControl/>
              <w:spacing w:line="276" w:lineRule="auto"/>
              <w:jc w:val="center"/>
              <w:rPr>
                <w:b/>
                <w:color w:val="auto"/>
                <w:kern w:val="0"/>
                <w:szCs w:val="21"/>
                <w:highlight w:val="none"/>
              </w:rPr>
            </w:pPr>
            <w:r>
              <w:rPr>
                <w:rFonts w:hint="eastAsia"/>
                <w:b/>
                <w:color w:val="auto"/>
                <w:kern w:val="0"/>
                <w:szCs w:val="21"/>
                <w:highlight w:val="none"/>
              </w:rPr>
              <w:t>时间分辨率</w:t>
            </w:r>
          </w:p>
        </w:tc>
        <w:tc>
          <w:tcPr>
            <w:tcW w:w="3814" w:type="pct"/>
            <w:gridSpan w:val="4"/>
            <w:vAlign w:val="center"/>
          </w:tcPr>
          <w:p>
            <w:pPr>
              <w:widowControl/>
              <w:spacing w:line="276" w:lineRule="auto"/>
              <w:jc w:val="center"/>
              <w:rPr>
                <w:bCs/>
                <w:color w:val="auto"/>
                <w:kern w:val="0"/>
                <w:szCs w:val="21"/>
                <w:highlight w:val="none"/>
              </w:rPr>
            </w:pPr>
            <w:r>
              <w:rPr>
                <w:rFonts w:hint="eastAsia"/>
                <w:bCs/>
                <w:color w:val="auto"/>
                <w:kern w:val="0"/>
                <w:szCs w:val="21"/>
                <w:highlight w:val="none"/>
              </w:rPr>
              <w:t>每条数据采集时间不超过2min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1185" w:type="pct"/>
            <w:vAlign w:val="center"/>
          </w:tcPr>
          <w:p>
            <w:pPr>
              <w:widowControl/>
              <w:spacing w:line="276" w:lineRule="auto"/>
              <w:jc w:val="center"/>
              <w:rPr>
                <w:b/>
                <w:color w:val="auto"/>
                <w:kern w:val="0"/>
                <w:szCs w:val="21"/>
                <w:highlight w:val="none"/>
              </w:rPr>
            </w:pPr>
            <w:r>
              <w:rPr>
                <w:rFonts w:hint="eastAsia"/>
                <w:b/>
                <w:color w:val="auto"/>
                <w:kern w:val="0"/>
                <w:szCs w:val="21"/>
                <w:highlight w:val="none"/>
              </w:rPr>
              <w:t>时间段要求</w:t>
            </w:r>
          </w:p>
        </w:tc>
        <w:tc>
          <w:tcPr>
            <w:tcW w:w="3814" w:type="pct"/>
            <w:gridSpan w:val="4"/>
            <w:vAlign w:val="center"/>
          </w:tcPr>
          <w:p>
            <w:pPr>
              <w:widowControl/>
              <w:spacing w:line="276" w:lineRule="auto"/>
              <w:jc w:val="center"/>
              <w:rPr>
                <w:color w:val="auto"/>
                <w:kern w:val="0"/>
                <w:szCs w:val="21"/>
                <w:highlight w:val="none"/>
              </w:rPr>
            </w:pPr>
            <w:r>
              <w:rPr>
                <w:rFonts w:hint="eastAsia"/>
                <w:color w:val="auto"/>
                <w:kern w:val="0"/>
                <w:szCs w:val="21"/>
                <w:highlight w:val="none"/>
              </w:rPr>
              <w:t>至少2天的连续观测数据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1185" w:type="pct"/>
            <w:vMerge w:val="restart"/>
            <w:vAlign w:val="center"/>
          </w:tcPr>
          <w:p>
            <w:pPr>
              <w:widowControl/>
              <w:spacing w:line="276" w:lineRule="auto"/>
              <w:jc w:val="center"/>
              <w:rPr>
                <w:b/>
                <w:color w:val="auto"/>
                <w:kern w:val="0"/>
                <w:szCs w:val="21"/>
                <w:highlight w:val="none"/>
                <w:lang w:val="zh-CN"/>
              </w:rPr>
            </w:pPr>
            <w:r>
              <w:rPr>
                <w:b/>
                <w:color w:val="auto"/>
                <w:kern w:val="0"/>
                <w:szCs w:val="21"/>
                <w:highlight w:val="none"/>
                <w:lang w:val="zh-CN"/>
              </w:rPr>
              <w:t>检测项目</w:t>
            </w:r>
          </w:p>
        </w:tc>
        <w:tc>
          <w:tcPr>
            <w:tcW w:w="2175" w:type="pct"/>
            <w:gridSpan w:val="2"/>
            <w:vAlign w:val="center"/>
          </w:tcPr>
          <w:p>
            <w:pPr>
              <w:widowControl/>
              <w:spacing w:line="276" w:lineRule="auto"/>
              <w:jc w:val="center"/>
              <w:rPr>
                <w:b/>
                <w:color w:val="auto"/>
                <w:kern w:val="0"/>
                <w:szCs w:val="21"/>
                <w:highlight w:val="none"/>
              </w:rPr>
            </w:pPr>
            <w:r>
              <w:rPr>
                <w:rFonts w:hint="eastAsia"/>
                <w:b/>
                <w:color w:val="auto"/>
                <w:kern w:val="0"/>
                <w:szCs w:val="21"/>
                <w:highlight w:val="none"/>
              </w:rPr>
              <w:t>性能指标</w:t>
            </w:r>
          </w:p>
        </w:tc>
        <w:tc>
          <w:tcPr>
            <w:tcW w:w="1639" w:type="pct"/>
            <w:gridSpan w:val="2"/>
            <w:vAlign w:val="center"/>
          </w:tcPr>
          <w:p>
            <w:pPr>
              <w:widowControl/>
              <w:spacing w:line="276" w:lineRule="auto"/>
              <w:jc w:val="center"/>
              <w:rPr>
                <w:b/>
                <w:color w:val="auto"/>
                <w:kern w:val="0"/>
                <w:szCs w:val="21"/>
                <w:highlight w:val="none"/>
              </w:rPr>
            </w:pPr>
            <w:r>
              <w:rPr>
                <w:rFonts w:hint="eastAsia"/>
                <w:b/>
                <w:color w:val="auto"/>
                <w:kern w:val="0"/>
                <w:szCs w:val="21"/>
                <w:highlight w:val="none"/>
              </w:rPr>
              <w:t>实际检测结果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1185" w:type="pct"/>
            <w:vMerge w:val="continue"/>
            <w:vAlign w:val="center"/>
          </w:tcPr>
          <w:p>
            <w:pPr>
              <w:widowControl/>
              <w:spacing w:line="276" w:lineRule="auto"/>
              <w:jc w:val="center"/>
              <w:rPr>
                <w:b/>
                <w:color w:val="auto"/>
                <w:kern w:val="0"/>
                <w:szCs w:val="21"/>
                <w:highlight w:val="none"/>
                <w:lang w:val="zh-CN"/>
              </w:rPr>
            </w:pPr>
          </w:p>
        </w:tc>
        <w:tc>
          <w:tcPr>
            <w:tcW w:w="1204" w:type="pct"/>
            <w:vAlign w:val="center"/>
          </w:tcPr>
          <w:p>
            <w:pPr>
              <w:widowControl/>
              <w:spacing w:line="276" w:lineRule="auto"/>
              <w:jc w:val="center"/>
              <w:rPr>
                <w:b/>
                <w:color w:val="auto"/>
                <w:kern w:val="0"/>
                <w:szCs w:val="21"/>
                <w:highlight w:val="none"/>
                <w:lang w:val="zh-CN"/>
              </w:rPr>
            </w:pPr>
            <w:r>
              <w:rPr>
                <w:b/>
                <w:color w:val="auto"/>
                <w:kern w:val="0"/>
                <w:szCs w:val="21"/>
                <w:highlight w:val="none"/>
                <w:lang w:val="zh-CN"/>
              </w:rPr>
              <w:t>355nm波长</w:t>
            </w:r>
          </w:p>
        </w:tc>
        <w:tc>
          <w:tcPr>
            <w:tcW w:w="970" w:type="pct"/>
            <w:vAlign w:val="center"/>
          </w:tcPr>
          <w:p>
            <w:pPr>
              <w:widowControl/>
              <w:spacing w:line="276" w:lineRule="auto"/>
              <w:jc w:val="center"/>
              <w:rPr>
                <w:b/>
                <w:color w:val="auto"/>
                <w:kern w:val="0"/>
                <w:szCs w:val="21"/>
                <w:highlight w:val="none"/>
                <w:lang w:val="zh-CN"/>
              </w:rPr>
            </w:pPr>
            <w:r>
              <w:rPr>
                <w:b/>
                <w:color w:val="auto"/>
                <w:kern w:val="0"/>
                <w:szCs w:val="21"/>
                <w:highlight w:val="none"/>
                <w:lang w:val="zh-CN"/>
              </w:rPr>
              <w:t>532nm波长</w:t>
            </w:r>
          </w:p>
        </w:tc>
        <w:tc>
          <w:tcPr>
            <w:tcW w:w="818" w:type="pct"/>
            <w:vAlign w:val="center"/>
          </w:tcPr>
          <w:p>
            <w:pPr>
              <w:widowControl/>
              <w:spacing w:line="276" w:lineRule="auto"/>
              <w:jc w:val="center"/>
              <w:rPr>
                <w:b/>
                <w:color w:val="auto"/>
                <w:kern w:val="0"/>
                <w:szCs w:val="21"/>
                <w:highlight w:val="none"/>
                <w:lang w:val="zh-CN"/>
              </w:rPr>
            </w:pPr>
            <w:r>
              <w:rPr>
                <w:b/>
                <w:color w:val="auto"/>
                <w:kern w:val="0"/>
                <w:szCs w:val="21"/>
                <w:highlight w:val="none"/>
                <w:lang w:val="zh-CN"/>
              </w:rPr>
              <w:t>355nm波长</w:t>
            </w:r>
          </w:p>
        </w:tc>
        <w:tc>
          <w:tcPr>
            <w:tcW w:w="821" w:type="pct"/>
            <w:vAlign w:val="center"/>
          </w:tcPr>
          <w:p>
            <w:pPr>
              <w:widowControl/>
              <w:spacing w:line="276" w:lineRule="auto"/>
              <w:jc w:val="center"/>
              <w:rPr>
                <w:b/>
                <w:color w:val="auto"/>
                <w:kern w:val="0"/>
                <w:szCs w:val="21"/>
                <w:highlight w:val="none"/>
                <w:lang w:val="zh-CN"/>
              </w:rPr>
            </w:pPr>
            <w:r>
              <w:rPr>
                <w:b/>
                <w:color w:val="auto"/>
                <w:kern w:val="0"/>
                <w:szCs w:val="21"/>
                <w:highlight w:val="none"/>
                <w:lang w:val="zh-CN"/>
              </w:rPr>
              <w:t>532nm波长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vAlign w:val="center"/>
          </w:tcPr>
          <w:p>
            <w:pPr>
              <w:widowControl/>
              <w:spacing w:line="276" w:lineRule="auto"/>
              <w:jc w:val="center"/>
              <w:rPr>
                <w:color w:val="auto"/>
                <w:kern w:val="0"/>
                <w:szCs w:val="21"/>
                <w:highlight w:val="none"/>
                <w:lang w:val="zh-CN"/>
              </w:rPr>
            </w:pPr>
            <w:r>
              <w:rPr>
                <w:color w:val="auto"/>
                <w:kern w:val="0"/>
                <w:szCs w:val="21"/>
                <w:highlight w:val="none"/>
                <w:lang w:val="zh-CN"/>
              </w:rPr>
              <w:t>探测盲区</w:t>
            </w:r>
          </w:p>
        </w:tc>
        <w:tc>
          <w:tcPr>
            <w:tcW w:w="1204" w:type="pct"/>
            <w:vAlign w:val="center"/>
          </w:tcPr>
          <w:p>
            <w:pPr>
              <w:widowControl/>
              <w:spacing w:line="276" w:lineRule="auto"/>
              <w:jc w:val="center"/>
              <w:rPr>
                <w:color w:val="auto"/>
                <w:kern w:val="0"/>
                <w:szCs w:val="21"/>
                <w:highlight w:val="none"/>
                <w:lang w:val="zh-CN"/>
              </w:rPr>
            </w:pPr>
            <w:r>
              <w:rPr>
                <w:color w:val="auto"/>
                <w:kern w:val="0"/>
                <w:szCs w:val="21"/>
                <w:highlight w:val="none"/>
                <w:lang w:val="zh-CN"/>
              </w:rPr>
              <w:t>≤75 m</w:t>
            </w:r>
          </w:p>
        </w:tc>
        <w:tc>
          <w:tcPr>
            <w:tcW w:w="970" w:type="pct"/>
            <w:vAlign w:val="center"/>
          </w:tcPr>
          <w:p>
            <w:pPr>
              <w:widowControl/>
              <w:spacing w:line="276" w:lineRule="auto"/>
              <w:jc w:val="center"/>
              <w:rPr>
                <w:color w:val="auto"/>
                <w:kern w:val="0"/>
                <w:szCs w:val="21"/>
                <w:highlight w:val="none"/>
                <w:lang w:val="zh-CN"/>
              </w:rPr>
            </w:pPr>
            <w:r>
              <w:rPr>
                <w:color w:val="auto"/>
                <w:kern w:val="0"/>
                <w:szCs w:val="21"/>
                <w:highlight w:val="none"/>
                <w:lang w:val="zh-CN"/>
              </w:rPr>
              <w:t>≤75 m</w:t>
            </w:r>
          </w:p>
        </w:tc>
        <w:tc>
          <w:tcPr>
            <w:tcW w:w="818" w:type="pct"/>
            <w:vAlign w:val="center"/>
          </w:tcPr>
          <w:p>
            <w:pPr>
              <w:widowControl/>
              <w:spacing w:line="276" w:lineRule="auto"/>
              <w:jc w:val="center"/>
              <w:rPr>
                <w:color w:val="auto"/>
                <w:kern w:val="0"/>
                <w:szCs w:val="21"/>
                <w:highlight w:val="none"/>
                <w:lang w:val="zh-CN"/>
              </w:rPr>
            </w:pPr>
          </w:p>
        </w:tc>
        <w:tc>
          <w:tcPr>
            <w:tcW w:w="821" w:type="pct"/>
            <w:vAlign w:val="center"/>
          </w:tcPr>
          <w:p>
            <w:pPr>
              <w:widowControl/>
              <w:spacing w:line="276" w:lineRule="auto"/>
              <w:jc w:val="center"/>
              <w:rPr>
                <w:color w:val="auto"/>
                <w:kern w:val="0"/>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vAlign w:val="center"/>
          </w:tcPr>
          <w:p>
            <w:pPr>
              <w:widowControl/>
              <w:spacing w:line="276" w:lineRule="auto"/>
              <w:jc w:val="center"/>
              <w:rPr>
                <w:color w:val="auto"/>
                <w:kern w:val="0"/>
                <w:szCs w:val="21"/>
                <w:highlight w:val="none"/>
                <w:lang w:val="zh-CN"/>
              </w:rPr>
            </w:pPr>
            <w:r>
              <w:rPr>
                <w:color w:val="auto"/>
                <w:kern w:val="0"/>
                <w:szCs w:val="21"/>
                <w:highlight w:val="none"/>
                <w:lang w:val="zh-CN"/>
              </w:rPr>
              <w:t>过渡区</w:t>
            </w:r>
          </w:p>
        </w:tc>
        <w:tc>
          <w:tcPr>
            <w:tcW w:w="1204" w:type="pct"/>
            <w:vAlign w:val="center"/>
          </w:tcPr>
          <w:p>
            <w:pPr>
              <w:widowControl/>
              <w:spacing w:line="276" w:lineRule="auto"/>
              <w:jc w:val="center"/>
              <w:rPr>
                <w:color w:val="auto"/>
                <w:kern w:val="0"/>
                <w:szCs w:val="21"/>
                <w:highlight w:val="none"/>
                <w:lang w:val="zh-CN"/>
              </w:rPr>
            </w:pPr>
            <w:r>
              <w:rPr>
                <w:color w:val="auto"/>
                <w:kern w:val="0"/>
                <w:szCs w:val="21"/>
                <w:highlight w:val="none"/>
                <w:lang w:val="zh-CN"/>
              </w:rPr>
              <w:t>≤300 m</w:t>
            </w:r>
          </w:p>
        </w:tc>
        <w:tc>
          <w:tcPr>
            <w:tcW w:w="970" w:type="pct"/>
            <w:vAlign w:val="center"/>
          </w:tcPr>
          <w:p>
            <w:pPr>
              <w:widowControl/>
              <w:spacing w:line="276" w:lineRule="auto"/>
              <w:jc w:val="center"/>
              <w:rPr>
                <w:color w:val="auto"/>
                <w:kern w:val="0"/>
                <w:szCs w:val="21"/>
                <w:highlight w:val="none"/>
                <w:lang w:val="zh-CN"/>
              </w:rPr>
            </w:pPr>
            <w:r>
              <w:rPr>
                <w:color w:val="auto"/>
                <w:kern w:val="0"/>
                <w:szCs w:val="21"/>
                <w:highlight w:val="none"/>
                <w:lang w:val="zh-CN"/>
              </w:rPr>
              <w:t>≤300m</w:t>
            </w:r>
          </w:p>
        </w:tc>
        <w:tc>
          <w:tcPr>
            <w:tcW w:w="818" w:type="pct"/>
            <w:vAlign w:val="center"/>
          </w:tcPr>
          <w:p>
            <w:pPr>
              <w:widowControl/>
              <w:spacing w:line="276" w:lineRule="auto"/>
              <w:jc w:val="center"/>
              <w:rPr>
                <w:color w:val="auto"/>
                <w:kern w:val="0"/>
                <w:szCs w:val="21"/>
                <w:highlight w:val="none"/>
                <w:lang w:val="zh-CN"/>
              </w:rPr>
            </w:pPr>
          </w:p>
        </w:tc>
        <w:tc>
          <w:tcPr>
            <w:tcW w:w="821" w:type="pct"/>
            <w:vAlign w:val="center"/>
          </w:tcPr>
          <w:p>
            <w:pPr>
              <w:widowControl/>
              <w:spacing w:line="276" w:lineRule="auto"/>
              <w:jc w:val="center"/>
              <w:rPr>
                <w:color w:val="auto"/>
                <w:kern w:val="0"/>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vAlign w:val="center"/>
          </w:tcPr>
          <w:p>
            <w:pPr>
              <w:widowControl/>
              <w:spacing w:line="276" w:lineRule="auto"/>
              <w:jc w:val="center"/>
              <w:rPr>
                <w:color w:val="auto"/>
                <w:kern w:val="0"/>
                <w:szCs w:val="21"/>
                <w:highlight w:val="none"/>
                <w:lang w:val="zh-CN"/>
              </w:rPr>
            </w:pPr>
            <w:r>
              <w:rPr>
                <w:color w:val="auto"/>
                <w:kern w:val="0"/>
                <w:szCs w:val="21"/>
                <w:highlight w:val="none"/>
                <w:lang w:val="zh-CN"/>
              </w:rPr>
              <w:t>信噪比</w:t>
            </w:r>
          </w:p>
        </w:tc>
        <w:tc>
          <w:tcPr>
            <w:tcW w:w="1204" w:type="pct"/>
            <w:vAlign w:val="center"/>
          </w:tcPr>
          <w:p>
            <w:pPr>
              <w:widowControl/>
              <w:spacing w:line="276" w:lineRule="auto"/>
              <w:jc w:val="center"/>
              <w:rPr>
                <w:color w:val="auto"/>
                <w:kern w:val="0"/>
                <w:szCs w:val="21"/>
                <w:highlight w:val="none"/>
                <w:lang w:val="zh-CN"/>
              </w:rPr>
            </w:pPr>
            <w:r>
              <w:rPr>
                <w:color w:val="auto"/>
                <w:kern w:val="0"/>
                <w:szCs w:val="21"/>
                <w:highlight w:val="none"/>
              </w:rPr>
              <w:t>500m</w:t>
            </w:r>
            <w:r>
              <w:rPr>
                <w:rFonts w:hint="eastAsia"/>
                <w:color w:val="auto"/>
                <w:kern w:val="0"/>
                <w:szCs w:val="21"/>
                <w:highlight w:val="none"/>
              </w:rPr>
              <w:t>≥</w:t>
            </w:r>
            <w:r>
              <w:rPr>
                <w:color w:val="auto"/>
                <w:kern w:val="0"/>
                <w:szCs w:val="21"/>
                <w:highlight w:val="none"/>
              </w:rPr>
              <w:t xml:space="preserve">60dB </w:t>
            </w:r>
          </w:p>
          <w:p>
            <w:pPr>
              <w:widowControl/>
              <w:spacing w:line="276" w:lineRule="auto"/>
              <w:jc w:val="center"/>
              <w:rPr>
                <w:color w:val="auto"/>
                <w:kern w:val="0"/>
                <w:szCs w:val="21"/>
                <w:highlight w:val="none"/>
                <w:lang w:val="zh-CN"/>
              </w:rPr>
            </w:pPr>
            <w:r>
              <w:rPr>
                <w:color w:val="auto"/>
                <w:kern w:val="0"/>
                <w:szCs w:val="21"/>
                <w:highlight w:val="none"/>
              </w:rPr>
              <w:t>1000m</w:t>
            </w:r>
            <w:r>
              <w:rPr>
                <w:rFonts w:hint="eastAsia"/>
                <w:color w:val="auto"/>
                <w:kern w:val="0"/>
                <w:szCs w:val="21"/>
                <w:highlight w:val="none"/>
              </w:rPr>
              <w:t>≥</w:t>
            </w:r>
            <w:r>
              <w:rPr>
                <w:color w:val="auto"/>
                <w:kern w:val="0"/>
                <w:szCs w:val="21"/>
                <w:highlight w:val="none"/>
              </w:rPr>
              <w:t xml:space="preserve">30dB </w:t>
            </w:r>
          </w:p>
          <w:p>
            <w:pPr>
              <w:widowControl/>
              <w:spacing w:line="276" w:lineRule="auto"/>
              <w:jc w:val="center"/>
              <w:rPr>
                <w:color w:val="auto"/>
                <w:kern w:val="0"/>
                <w:szCs w:val="21"/>
                <w:highlight w:val="none"/>
                <w:lang w:val="zh-CN"/>
              </w:rPr>
            </w:pPr>
            <w:r>
              <w:rPr>
                <w:color w:val="auto"/>
                <w:kern w:val="0"/>
                <w:szCs w:val="21"/>
                <w:highlight w:val="none"/>
              </w:rPr>
              <w:t>2000m</w:t>
            </w:r>
            <w:r>
              <w:rPr>
                <w:rFonts w:hint="eastAsia"/>
                <w:color w:val="auto"/>
                <w:kern w:val="0"/>
                <w:szCs w:val="21"/>
                <w:highlight w:val="none"/>
              </w:rPr>
              <w:t>≥</w:t>
            </w:r>
            <w:r>
              <w:rPr>
                <w:color w:val="auto"/>
                <w:kern w:val="0"/>
                <w:szCs w:val="21"/>
                <w:highlight w:val="none"/>
              </w:rPr>
              <w:t>5dB</w:t>
            </w:r>
          </w:p>
        </w:tc>
        <w:tc>
          <w:tcPr>
            <w:tcW w:w="970" w:type="pct"/>
            <w:vAlign w:val="center"/>
          </w:tcPr>
          <w:p>
            <w:pPr>
              <w:widowControl/>
              <w:spacing w:line="276" w:lineRule="auto"/>
              <w:jc w:val="center"/>
              <w:rPr>
                <w:color w:val="auto"/>
                <w:kern w:val="0"/>
                <w:szCs w:val="21"/>
                <w:highlight w:val="none"/>
                <w:lang w:val="zh-CN"/>
              </w:rPr>
            </w:pPr>
            <w:r>
              <w:rPr>
                <w:color w:val="auto"/>
                <w:kern w:val="0"/>
                <w:szCs w:val="21"/>
                <w:highlight w:val="none"/>
              </w:rPr>
              <w:t>500m</w:t>
            </w:r>
            <w:r>
              <w:rPr>
                <w:rFonts w:hint="eastAsia"/>
                <w:color w:val="auto"/>
                <w:kern w:val="0"/>
                <w:szCs w:val="21"/>
                <w:highlight w:val="none"/>
              </w:rPr>
              <w:t>≥</w:t>
            </w:r>
            <w:r>
              <w:rPr>
                <w:color w:val="auto"/>
                <w:kern w:val="0"/>
                <w:szCs w:val="21"/>
                <w:highlight w:val="none"/>
              </w:rPr>
              <w:t xml:space="preserve">60dB </w:t>
            </w:r>
          </w:p>
          <w:p>
            <w:pPr>
              <w:widowControl/>
              <w:spacing w:line="276" w:lineRule="auto"/>
              <w:jc w:val="center"/>
              <w:rPr>
                <w:color w:val="auto"/>
                <w:kern w:val="0"/>
                <w:szCs w:val="21"/>
                <w:highlight w:val="none"/>
                <w:lang w:val="zh-CN"/>
              </w:rPr>
            </w:pPr>
            <w:r>
              <w:rPr>
                <w:color w:val="auto"/>
                <w:kern w:val="0"/>
                <w:szCs w:val="21"/>
                <w:highlight w:val="none"/>
              </w:rPr>
              <w:t>1000m</w:t>
            </w:r>
            <w:r>
              <w:rPr>
                <w:rFonts w:hint="eastAsia"/>
                <w:color w:val="auto"/>
                <w:kern w:val="0"/>
                <w:szCs w:val="21"/>
                <w:highlight w:val="none"/>
              </w:rPr>
              <w:t>≥</w:t>
            </w:r>
            <w:r>
              <w:rPr>
                <w:color w:val="auto"/>
                <w:kern w:val="0"/>
                <w:szCs w:val="21"/>
                <w:highlight w:val="none"/>
              </w:rPr>
              <w:t xml:space="preserve">30dB </w:t>
            </w:r>
          </w:p>
          <w:p>
            <w:pPr>
              <w:widowControl/>
              <w:spacing w:line="276" w:lineRule="auto"/>
              <w:jc w:val="center"/>
              <w:rPr>
                <w:color w:val="auto"/>
                <w:kern w:val="0"/>
                <w:szCs w:val="21"/>
                <w:highlight w:val="none"/>
                <w:lang w:val="zh-CN"/>
              </w:rPr>
            </w:pPr>
            <w:r>
              <w:rPr>
                <w:color w:val="auto"/>
                <w:kern w:val="0"/>
                <w:szCs w:val="21"/>
                <w:highlight w:val="none"/>
              </w:rPr>
              <w:t>2000m</w:t>
            </w:r>
            <w:r>
              <w:rPr>
                <w:rFonts w:hint="eastAsia"/>
                <w:color w:val="auto"/>
                <w:kern w:val="0"/>
                <w:szCs w:val="21"/>
                <w:highlight w:val="none"/>
              </w:rPr>
              <w:t>≥</w:t>
            </w:r>
            <w:r>
              <w:rPr>
                <w:color w:val="auto"/>
                <w:kern w:val="0"/>
                <w:szCs w:val="21"/>
                <w:highlight w:val="none"/>
              </w:rPr>
              <w:t>5dB</w:t>
            </w:r>
          </w:p>
        </w:tc>
        <w:tc>
          <w:tcPr>
            <w:tcW w:w="818" w:type="pct"/>
            <w:vAlign w:val="center"/>
          </w:tcPr>
          <w:p>
            <w:pPr>
              <w:widowControl/>
              <w:spacing w:line="276" w:lineRule="auto"/>
              <w:jc w:val="center"/>
              <w:rPr>
                <w:color w:val="auto"/>
                <w:kern w:val="0"/>
                <w:szCs w:val="21"/>
                <w:highlight w:val="none"/>
              </w:rPr>
            </w:pPr>
          </w:p>
        </w:tc>
        <w:tc>
          <w:tcPr>
            <w:tcW w:w="821" w:type="pct"/>
            <w:vAlign w:val="center"/>
          </w:tcPr>
          <w:p>
            <w:pPr>
              <w:widowControl/>
              <w:spacing w:line="276" w:lineRule="auto"/>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vAlign w:val="center"/>
          </w:tcPr>
          <w:p>
            <w:pPr>
              <w:widowControl/>
              <w:spacing w:line="276" w:lineRule="auto"/>
              <w:jc w:val="center"/>
              <w:rPr>
                <w:color w:val="auto"/>
                <w:kern w:val="0"/>
                <w:szCs w:val="21"/>
                <w:highlight w:val="none"/>
                <w:lang w:val="zh-CN"/>
              </w:rPr>
            </w:pPr>
            <w:r>
              <w:rPr>
                <w:color w:val="auto"/>
                <w:kern w:val="0"/>
                <w:szCs w:val="21"/>
                <w:highlight w:val="none"/>
                <w:lang w:val="zh-CN"/>
              </w:rPr>
              <w:t>有效探测距离</w:t>
            </w:r>
          </w:p>
        </w:tc>
        <w:tc>
          <w:tcPr>
            <w:tcW w:w="1204" w:type="pct"/>
            <w:vAlign w:val="center"/>
          </w:tcPr>
          <w:p>
            <w:pPr>
              <w:widowControl/>
              <w:spacing w:line="276" w:lineRule="auto"/>
              <w:jc w:val="center"/>
              <w:rPr>
                <w:color w:val="auto"/>
                <w:kern w:val="0"/>
                <w:szCs w:val="21"/>
                <w:highlight w:val="none"/>
                <w:lang w:val="zh-CN"/>
              </w:rPr>
            </w:pPr>
            <w:r>
              <w:rPr>
                <w:color w:val="auto"/>
                <w:kern w:val="0"/>
                <w:szCs w:val="21"/>
                <w:highlight w:val="none"/>
                <w:lang w:val="zh-CN"/>
              </w:rPr>
              <w:t>≥4 km</w:t>
            </w:r>
          </w:p>
        </w:tc>
        <w:tc>
          <w:tcPr>
            <w:tcW w:w="970" w:type="pct"/>
            <w:vAlign w:val="center"/>
          </w:tcPr>
          <w:p>
            <w:pPr>
              <w:widowControl/>
              <w:spacing w:line="276" w:lineRule="auto"/>
              <w:jc w:val="center"/>
              <w:rPr>
                <w:color w:val="auto"/>
                <w:kern w:val="0"/>
                <w:szCs w:val="21"/>
                <w:highlight w:val="none"/>
                <w:lang w:val="zh-CN"/>
              </w:rPr>
            </w:pPr>
            <w:r>
              <w:rPr>
                <w:color w:val="auto"/>
                <w:kern w:val="0"/>
                <w:szCs w:val="21"/>
                <w:highlight w:val="none"/>
                <w:lang w:val="zh-CN"/>
              </w:rPr>
              <w:t>≥4 km</w:t>
            </w:r>
          </w:p>
        </w:tc>
        <w:tc>
          <w:tcPr>
            <w:tcW w:w="818" w:type="pct"/>
            <w:vAlign w:val="center"/>
          </w:tcPr>
          <w:p>
            <w:pPr>
              <w:widowControl/>
              <w:spacing w:line="276" w:lineRule="auto"/>
              <w:jc w:val="center"/>
              <w:rPr>
                <w:color w:val="auto"/>
                <w:kern w:val="0"/>
                <w:szCs w:val="21"/>
                <w:highlight w:val="none"/>
                <w:lang w:val="zh-CN"/>
              </w:rPr>
            </w:pPr>
          </w:p>
        </w:tc>
        <w:tc>
          <w:tcPr>
            <w:tcW w:w="821" w:type="pct"/>
            <w:vAlign w:val="center"/>
          </w:tcPr>
          <w:p>
            <w:pPr>
              <w:widowControl/>
              <w:spacing w:line="276" w:lineRule="auto"/>
              <w:jc w:val="center"/>
              <w:rPr>
                <w:color w:val="auto"/>
                <w:kern w:val="0"/>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vAlign w:val="center"/>
          </w:tcPr>
          <w:p>
            <w:pPr>
              <w:widowControl/>
              <w:spacing w:line="276" w:lineRule="auto"/>
              <w:jc w:val="center"/>
              <w:rPr>
                <w:color w:val="auto"/>
                <w:kern w:val="0"/>
                <w:szCs w:val="21"/>
                <w:highlight w:val="none"/>
                <w:lang w:val="zh-CN"/>
              </w:rPr>
            </w:pPr>
            <w:r>
              <w:rPr>
                <w:color w:val="auto"/>
                <w:kern w:val="0"/>
                <w:szCs w:val="21"/>
                <w:highlight w:val="none"/>
                <w:lang w:val="zh-CN"/>
              </w:rPr>
              <w:t>大气瑞利散射信号拟合偏差</w:t>
            </w:r>
          </w:p>
        </w:tc>
        <w:tc>
          <w:tcPr>
            <w:tcW w:w="1204" w:type="pct"/>
            <w:vAlign w:val="center"/>
          </w:tcPr>
          <w:p>
            <w:pPr>
              <w:widowControl/>
              <w:spacing w:line="276" w:lineRule="auto"/>
              <w:jc w:val="center"/>
              <w:rPr>
                <w:color w:val="auto"/>
                <w:kern w:val="0"/>
                <w:szCs w:val="21"/>
                <w:highlight w:val="none"/>
              </w:rPr>
            </w:pPr>
            <w:r>
              <w:rPr>
                <w:color w:val="auto"/>
                <w:kern w:val="0"/>
                <w:szCs w:val="21"/>
                <w:highlight w:val="none"/>
                <w:lang w:val="zh-CN"/>
              </w:rPr>
              <w:t>≤20%</w:t>
            </w:r>
          </w:p>
        </w:tc>
        <w:tc>
          <w:tcPr>
            <w:tcW w:w="970" w:type="pct"/>
            <w:vAlign w:val="center"/>
          </w:tcPr>
          <w:p>
            <w:pPr>
              <w:widowControl/>
              <w:spacing w:line="276" w:lineRule="auto"/>
              <w:jc w:val="center"/>
              <w:rPr>
                <w:color w:val="auto"/>
                <w:kern w:val="0"/>
                <w:szCs w:val="21"/>
                <w:highlight w:val="none"/>
              </w:rPr>
            </w:pPr>
            <w:r>
              <w:rPr>
                <w:color w:val="auto"/>
                <w:kern w:val="0"/>
                <w:szCs w:val="21"/>
                <w:highlight w:val="none"/>
                <w:lang w:val="zh-CN"/>
              </w:rPr>
              <w:t>≤20%</w:t>
            </w:r>
          </w:p>
        </w:tc>
        <w:tc>
          <w:tcPr>
            <w:tcW w:w="818" w:type="pct"/>
            <w:vAlign w:val="center"/>
          </w:tcPr>
          <w:p>
            <w:pPr>
              <w:widowControl/>
              <w:spacing w:line="276" w:lineRule="auto"/>
              <w:jc w:val="center"/>
              <w:rPr>
                <w:color w:val="auto"/>
                <w:kern w:val="0"/>
                <w:szCs w:val="21"/>
                <w:highlight w:val="none"/>
              </w:rPr>
            </w:pPr>
          </w:p>
        </w:tc>
        <w:tc>
          <w:tcPr>
            <w:tcW w:w="821" w:type="pct"/>
            <w:vAlign w:val="center"/>
          </w:tcPr>
          <w:p>
            <w:pPr>
              <w:widowControl/>
              <w:spacing w:line="276" w:lineRule="auto"/>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vAlign w:val="center"/>
          </w:tcPr>
          <w:p>
            <w:pPr>
              <w:widowControl/>
              <w:spacing w:line="276" w:lineRule="auto"/>
              <w:jc w:val="center"/>
              <w:rPr>
                <w:color w:val="auto"/>
                <w:kern w:val="0"/>
                <w:szCs w:val="21"/>
                <w:highlight w:val="none"/>
                <w:lang w:val="zh-CN"/>
              </w:rPr>
            </w:pPr>
            <w:r>
              <w:rPr>
                <w:color w:val="auto"/>
                <w:kern w:val="0"/>
                <w:szCs w:val="21"/>
                <w:highlight w:val="none"/>
                <w:lang w:val="zh-CN"/>
              </w:rPr>
              <w:t>背景噪声平整度</w:t>
            </w:r>
          </w:p>
          <w:p>
            <w:pPr>
              <w:widowControl/>
              <w:spacing w:line="276" w:lineRule="auto"/>
              <w:jc w:val="center"/>
              <w:rPr>
                <w:color w:val="auto"/>
                <w:kern w:val="0"/>
                <w:szCs w:val="21"/>
                <w:highlight w:val="none"/>
                <w:lang w:val="zh-CN"/>
              </w:rPr>
            </w:pPr>
            <w:r>
              <w:rPr>
                <w:color w:val="auto"/>
                <w:kern w:val="0"/>
                <w:szCs w:val="21"/>
                <w:highlight w:val="none"/>
                <w:lang w:val="zh-CN"/>
              </w:rPr>
              <w:t>(斜率)</w:t>
            </w:r>
          </w:p>
        </w:tc>
        <w:tc>
          <w:tcPr>
            <w:tcW w:w="1204" w:type="pct"/>
            <w:vAlign w:val="center"/>
          </w:tcPr>
          <w:p>
            <w:pPr>
              <w:widowControl/>
              <w:spacing w:line="276" w:lineRule="auto"/>
              <w:jc w:val="center"/>
              <w:rPr>
                <w:color w:val="auto"/>
                <w:kern w:val="0"/>
                <w:szCs w:val="21"/>
                <w:highlight w:val="none"/>
              </w:rPr>
            </w:pPr>
            <w:r>
              <w:rPr>
                <w:rFonts w:hint="eastAsia"/>
                <w:color w:val="auto"/>
                <w:kern w:val="0"/>
                <w:szCs w:val="21"/>
                <w:highlight w:val="none"/>
              </w:rPr>
              <w:t>拟合斜率绝对值</w:t>
            </w:r>
          </w:p>
          <w:p>
            <w:pPr>
              <w:widowControl/>
              <w:spacing w:line="276" w:lineRule="auto"/>
              <w:jc w:val="center"/>
              <w:rPr>
                <w:color w:val="auto"/>
                <w:kern w:val="0"/>
                <w:szCs w:val="21"/>
                <w:highlight w:val="none"/>
              </w:rPr>
            </w:pPr>
            <w:r>
              <w:rPr>
                <w:rFonts w:hint="eastAsia"/>
                <w:color w:val="auto"/>
                <w:kern w:val="0"/>
                <w:szCs w:val="21"/>
                <w:highlight w:val="none"/>
              </w:rPr>
              <w:t>≤</w:t>
            </w:r>
            <w:r>
              <w:rPr>
                <w:color w:val="auto"/>
                <w:kern w:val="0"/>
                <w:szCs w:val="21"/>
                <w:highlight w:val="none"/>
              </w:rPr>
              <w:t>10</w:t>
            </w:r>
            <w:r>
              <w:rPr>
                <w:color w:val="auto"/>
                <w:kern w:val="0"/>
                <w:szCs w:val="21"/>
                <w:highlight w:val="none"/>
                <w:vertAlign w:val="superscript"/>
              </w:rPr>
              <w:t xml:space="preserve">-4 </w:t>
            </w:r>
          </w:p>
        </w:tc>
        <w:tc>
          <w:tcPr>
            <w:tcW w:w="970" w:type="pct"/>
            <w:vAlign w:val="center"/>
          </w:tcPr>
          <w:p>
            <w:pPr>
              <w:widowControl/>
              <w:spacing w:line="276" w:lineRule="auto"/>
              <w:jc w:val="center"/>
              <w:rPr>
                <w:color w:val="auto"/>
                <w:kern w:val="0"/>
                <w:szCs w:val="21"/>
                <w:highlight w:val="none"/>
              </w:rPr>
            </w:pPr>
            <w:r>
              <w:rPr>
                <w:rFonts w:hint="eastAsia"/>
                <w:color w:val="auto"/>
                <w:kern w:val="0"/>
                <w:szCs w:val="21"/>
                <w:highlight w:val="none"/>
              </w:rPr>
              <w:t>拟合斜率绝对值≤</w:t>
            </w:r>
            <w:r>
              <w:rPr>
                <w:color w:val="auto"/>
                <w:kern w:val="0"/>
                <w:szCs w:val="21"/>
                <w:highlight w:val="none"/>
              </w:rPr>
              <w:t>10</w:t>
            </w:r>
            <w:r>
              <w:rPr>
                <w:color w:val="auto"/>
                <w:kern w:val="0"/>
                <w:szCs w:val="21"/>
                <w:highlight w:val="none"/>
                <w:vertAlign w:val="superscript"/>
              </w:rPr>
              <w:t>-4</w:t>
            </w:r>
            <w:r>
              <w:rPr>
                <w:color w:val="auto"/>
                <w:kern w:val="0"/>
                <w:szCs w:val="21"/>
                <w:highlight w:val="none"/>
              </w:rPr>
              <w:t xml:space="preserve"> </w:t>
            </w:r>
          </w:p>
        </w:tc>
        <w:tc>
          <w:tcPr>
            <w:tcW w:w="818" w:type="pct"/>
            <w:vAlign w:val="center"/>
          </w:tcPr>
          <w:p>
            <w:pPr>
              <w:widowControl/>
              <w:spacing w:line="276" w:lineRule="auto"/>
              <w:jc w:val="center"/>
              <w:rPr>
                <w:color w:val="auto"/>
                <w:kern w:val="0"/>
                <w:szCs w:val="21"/>
                <w:highlight w:val="none"/>
              </w:rPr>
            </w:pPr>
          </w:p>
        </w:tc>
        <w:tc>
          <w:tcPr>
            <w:tcW w:w="821" w:type="pct"/>
            <w:vAlign w:val="center"/>
          </w:tcPr>
          <w:p>
            <w:pPr>
              <w:widowControl/>
              <w:spacing w:line="276" w:lineRule="auto"/>
              <w:jc w:val="center"/>
              <w:rPr>
                <w:color w:val="auto"/>
                <w:kern w:val="0"/>
                <w:szCs w:val="21"/>
                <w:highlight w:val="none"/>
              </w:rPr>
            </w:pPr>
          </w:p>
        </w:tc>
      </w:tr>
    </w:tbl>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4.2.2、</w:t>
      </w:r>
      <w:r>
        <w:rPr>
          <w:rFonts w:hint="eastAsia"/>
          <w:bCs/>
          <w:color w:val="auto"/>
          <w:szCs w:val="21"/>
          <w:highlight w:val="none"/>
        </w:rPr>
        <w:t>配合业主完成拉曼激光雷达质控。</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4</w:t>
      </w:r>
      <w:r>
        <w:rPr>
          <w:rFonts w:hint="eastAsia"/>
          <w:bCs/>
          <w:color w:val="auto"/>
          <w:szCs w:val="21"/>
          <w:highlight w:val="none"/>
        </w:rPr>
        <w:t>.</w:t>
      </w:r>
      <w:r>
        <w:rPr>
          <w:bCs/>
          <w:color w:val="auto"/>
          <w:szCs w:val="21"/>
          <w:highlight w:val="none"/>
        </w:rPr>
        <w:t>3</w:t>
      </w:r>
      <w:r>
        <w:rPr>
          <w:rFonts w:hint="eastAsia"/>
          <w:bCs/>
          <w:color w:val="auto"/>
          <w:szCs w:val="21"/>
          <w:highlight w:val="none"/>
        </w:rPr>
        <w:t>根据仪器状况及时更换仪器所需的配件，以保证仪器正常运行。更换后的耗材应留存备查。主要耗材更换的频率不少于每年</w:t>
      </w:r>
      <w:r>
        <w:rPr>
          <w:bCs/>
          <w:color w:val="auto"/>
          <w:szCs w:val="21"/>
          <w:highlight w:val="none"/>
        </w:rPr>
        <w:t>2</w:t>
      </w:r>
      <w:r>
        <w:rPr>
          <w:rFonts w:hint="eastAsia"/>
          <w:bCs/>
          <w:color w:val="auto"/>
          <w:szCs w:val="21"/>
          <w:highlight w:val="none"/>
        </w:rPr>
        <w:t>根滤芯、2个闪光灯、一个扩束镜。其它耗材应根据实际耗损情况及时更换。</w:t>
      </w:r>
    </w:p>
    <w:p>
      <w:pPr>
        <w:spacing w:before="120" w:after="120" w:line="264" w:lineRule="auto"/>
        <w:ind w:firstLine="422" w:firstLineChars="200"/>
        <w:rPr>
          <w:b/>
          <w:color w:val="auto"/>
          <w:szCs w:val="21"/>
          <w:highlight w:val="none"/>
        </w:rPr>
      </w:pPr>
      <w:bookmarkStart w:id="18" w:name="_Hlk149147579"/>
      <w:bookmarkStart w:id="19" w:name="_Hlk149147378"/>
      <w:r>
        <w:rPr>
          <w:rFonts w:hint="eastAsia"/>
          <w:b/>
          <w:color w:val="auto"/>
          <w:szCs w:val="21"/>
          <w:highlight w:val="none"/>
        </w:rPr>
        <w:t>五</w:t>
      </w:r>
      <w:r>
        <w:rPr>
          <w:b/>
          <w:color w:val="auto"/>
          <w:szCs w:val="21"/>
          <w:highlight w:val="none"/>
        </w:rPr>
        <w:t>、</w:t>
      </w:r>
      <w:bookmarkEnd w:id="18"/>
      <w:r>
        <w:rPr>
          <w:b/>
          <w:color w:val="auto"/>
          <w:szCs w:val="21"/>
          <w:highlight w:val="none"/>
        </w:rPr>
        <w:t>省中心臭氧雷达运维服务</w:t>
      </w:r>
    </w:p>
    <w:bookmarkEnd w:id="19"/>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5.1技术运维要求</w:t>
      </w:r>
    </w:p>
    <w:p>
      <w:pPr>
        <w:tabs>
          <w:tab w:val="left" w:pos="900"/>
        </w:tabs>
        <w:spacing w:before="120" w:after="120" w:line="264" w:lineRule="auto"/>
        <w:ind w:firstLine="420" w:firstLineChars="200"/>
        <w:rPr>
          <w:bCs/>
          <w:color w:val="auto"/>
          <w:szCs w:val="21"/>
          <w:highlight w:val="none"/>
        </w:rPr>
      </w:pPr>
      <w:r>
        <w:rPr>
          <w:bCs/>
          <w:color w:val="auto"/>
          <w:szCs w:val="21"/>
          <w:highlight w:val="none"/>
        </w:rPr>
        <w:t>5.1.1、每日</w:t>
      </w:r>
      <w:r>
        <w:rPr>
          <w:rFonts w:hint="eastAsia"/>
          <w:bCs/>
          <w:color w:val="auto"/>
          <w:szCs w:val="21"/>
          <w:highlight w:val="none"/>
        </w:rPr>
        <w:t>：</w:t>
      </w:r>
      <w:r>
        <w:rPr>
          <w:bCs/>
          <w:color w:val="auto"/>
          <w:szCs w:val="21"/>
          <w:highlight w:val="none"/>
        </w:rPr>
        <w:t>每日远程检查仪器运行状态；查看工控机能否登录，查清断网或关机原因；采集软件是否在运行；采集软件正常采集，正常显示回波信号；分析软件是否在运行；分析软件定时刷新，数据保存正常；如遇异常状况，立即进行检查，远程不能解决的安排现场进行检查。</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5.1.2、每周</w:t>
      </w:r>
      <w:r>
        <w:rPr>
          <w:rFonts w:hint="eastAsia"/>
          <w:bCs/>
          <w:color w:val="auto"/>
          <w:szCs w:val="21"/>
          <w:highlight w:val="none"/>
        </w:rPr>
        <w:t>去</w:t>
      </w:r>
      <w:r>
        <w:rPr>
          <w:bCs/>
          <w:color w:val="auto"/>
          <w:szCs w:val="21"/>
          <w:highlight w:val="none"/>
        </w:rPr>
        <w:t>1次站点现场巡视，并做好巡检记录，巡检时需要完成的工作包括：检查站房内电路系统、通讯系统是否正常，温度湿度是否正常；检查天窗玻璃是否破裂，天窗支架及玻璃密封是否完好，有无漏雨现象并清洁天窗玻璃；在冬夏季节应注意室内外温差，防止天窗出现冷凝水现象，如有此现象需加装加热除湿装置；检查激光器电源水位，如缺水需添加去离子水或纯净水；清洁望远镜接收系统上的灰尘，清洁空调滤网，清洁站房；</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5.1.3、</w:t>
      </w:r>
      <w:r>
        <w:rPr>
          <w:rFonts w:hint="eastAsia"/>
          <w:bCs/>
          <w:color w:val="auto"/>
          <w:szCs w:val="21"/>
          <w:highlight w:val="none"/>
        </w:rPr>
        <w:t>每季度：</w:t>
      </w:r>
      <w:r>
        <w:rPr>
          <w:bCs/>
          <w:color w:val="auto"/>
          <w:szCs w:val="21"/>
          <w:highlight w:val="none"/>
        </w:rPr>
        <w:t>检查激光器系统上的滤芯装置，滤芯棉头是否干净，更换滤芯；每季度对探测仪的光路系统进行一次审核；清洁望远镜接收系统上的灰尘，清洁空调滤网，清洁站房；更换冷却液；</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5.1.4、每</w:t>
      </w:r>
      <w:r>
        <w:rPr>
          <w:rFonts w:hint="eastAsia"/>
          <w:bCs/>
          <w:color w:val="auto"/>
          <w:szCs w:val="21"/>
          <w:highlight w:val="none"/>
        </w:rPr>
        <w:t>半年：</w:t>
      </w:r>
      <w:r>
        <w:rPr>
          <w:bCs/>
          <w:color w:val="auto"/>
          <w:szCs w:val="21"/>
          <w:highlight w:val="none"/>
        </w:rPr>
        <w:t>检查天窗支架及玻璃的密封性，密封胶有无老化，查看有无漏水或渗水现象；进行半年度光路校准，校准工作完成后，做好校准记录，主要内容含：激光能量检查、激光光斑特征检查、回波信号检查、背景基线、噪声检查等；完成对数据进行备份工作。</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5.1.5、每年：检查探测仪采集模块各个通道高压工作是否正常；激光器镜片是否有被激光灼损现象，如出现此情况即予以更换；检查激光器输出能量及能量的稳定性，如出现能量波动异常需要及时维修激光器；进行年度激光器校准和光路校准；如有必要返厂进行光路维护（更换扩束镜、反射镜片、腔镜等）</w:t>
      </w:r>
    </w:p>
    <w:p>
      <w:pPr>
        <w:tabs>
          <w:tab w:val="left" w:pos="540"/>
          <w:tab w:val="left" w:pos="900"/>
        </w:tabs>
        <w:spacing w:before="120" w:after="120" w:line="264" w:lineRule="auto"/>
        <w:ind w:firstLine="420" w:firstLineChars="200"/>
        <w:rPr>
          <w:bCs/>
          <w:color w:val="auto"/>
          <w:szCs w:val="21"/>
          <w:highlight w:val="none"/>
        </w:rPr>
      </w:pPr>
      <w:r>
        <w:rPr>
          <w:bCs/>
          <w:color w:val="auto"/>
          <w:szCs w:val="21"/>
          <w:highlight w:val="none"/>
        </w:rPr>
        <w:t xml:space="preserve">5,2 </w:t>
      </w:r>
      <w:r>
        <w:rPr>
          <w:rFonts w:hint="eastAsia"/>
          <w:bCs/>
          <w:color w:val="auto"/>
          <w:szCs w:val="21"/>
          <w:highlight w:val="none"/>
        </w:rPr>
        <w:t>根据仪器状况及时更换仪器所需的配件，以保证仪器正常运行。更换后的耗材应留存备查。主要耗材更换的频率不少于每年</w:t>
      </w:r>
      <w:r>
        <w:rPr>
          <w:bCs/>
          <w:color w:val="auto"/>
          <w:szCs w:val="21"/>
          <w:highlight w:val="none"/>
        </w:rPr>
        <w:t>1</w:t>
      </w:r>
      <w:r>
        <w:rPr>
          <w:rFonts w:hint="eastAsia"/>
          <w:bCs/>
          <w:color w:val="auto"/>
          <w:szCs w:val="21"/>
          <w:highlight w:val="none"/>
        </w:rPr>
        <w:t>个平面窗口镜、2个扩束镜、2个拉曼晶体、2个倍频晶体。过滤器、冷却液、反射镜等其它耗材应根据实际耗损情况及时更换。</w:t>
      </w:r>
    </w:p>
    <w:p>
      <w:pPr>
        <w:spacing w:before="120" w:after="120" w:line="264" w:lineRule="auto"/>
        <w:ind w:firstLine="422" w:firstLineChars="200"/>
        <w:rPr>
          <w:b/>
          <w:color w:val="auto"/>
          <w:szCs w:val="21"/>
          <w:highlight w:val="none"/>
        </w:rPr>
      </w:pPr>
    </w:p>
    <w:p>
      <w:pPr>
        <w:spacing w:before="120" w:after="120" w:line="264" w:lineRule="auto"/>
        <w:ind w:firstLine="422" w:firstLineChars="200"/>
        <w:rPr>
          <w:b/>
          <w:color w:val="auto"/>
          <w:szCs w:val="21"/>
          <w:highlight w:val="none"/>
        </w:rPr>
      </w:pPr>
      <w:r>
        <w:rPr>
          <w:rFonts w:hint="eastAsia"/>
          <w:b/>
          <w:color w:val="auto"/>
          <w:szCs w:val="21"/>
          <w:highlight w:val="none"/>
        </w:rPr>
        <w:t>六</w:t>
      </w:r>
      <w:r>
        <w:rPr>
          <w:b/>
          <w:color w:val="auto"/>
          <w:szCs w:val="21"/>
          <w:highlight w:val="none"/>
        </w:rPr>
        <w:t>、省中心甲醛、HNO2在线监测仪运维服务</w:t>
      </w:r>
    </w:p>
    <w:p>
      <w:pPr>
        <w:tabs>
          <w:tab w:val="left" w:pos="540"/>
          <w:tab w:val="left" w:pos="900"/>
        </w:tabs>
        <w:spacing w:before="120" w:after="120" w:line="264" w:lineRule="auto"/>
        <w:ind w:firstLine="420" w:firstLineChars="200"/>
        <w:rPr>
          <w:color w:val="auto"/>
          <w:szCs w:val="21"/>
          <w:highlight w:val="none"/>
        </w:rPr>
      </w:pPr>
      <w:r>
        <w:rPr>
          <w:color w:val="auto"/>
          <w:szCs w:val="21"/>
          <w:highlight w:val="none"/>
        </w:rPr>
        <w:t>6.1技术运维要求</w:t>
      </w:r>
    </w:p>
    <w:p>
      <w:pPr>
        <w:tabs>
          <w:tab w:val="left" w:pos="540"/>
          <w:tab w:val="left" w:pos="900"/>
        </w:tabs>
        <w:spacing w:before="120" w:after="120" w:line="264" w:lineRule="auto"/>
        <w:ind w:firstLine="420" w:firstLineChars="200"/>
        <w:rPr>
          <w:color w:val="auto"/>
          <w:szCs w:val="21"/>
          <w:highlight w:val="none"/>
        </w:rPr>
      </w:pPr>
      <w:r>
        <w:rPr>
          <w:color w:val="auto"/>
          <w:szCs w:val="21"/>
          <w:highlight w:val="none"/>
        </w:rPr>
        <w:t>6.1.1</w:t>
      </w:r>
      <w:r>
        <w:rPr>
          <w:rFonts w:hint="eastAsia"/>
          <w:color w:val="auto"/>
          <w:szCs w:val="21"/>
          <w:highlight w:val="none"/>
        </w:rPr>
        <w:t>每日：HNO</w:t>
      </w:r>
      <w:r>
        <w:rPr>
          <w:color w:val="auto"/>
          <w:szCs w:val="21"/>
          <w:highlight w:val="none"/>
        </w:rPr>
        <w:t>2</w:t>
      </w:r>
      <w:r>
        <w:rPr>
          <w:rFonts w:hint="eastAsia"/>
          <w:color w:val="auto"/>
          <w:szCs w:val="21"/>
          <w:highlight w:val="none"/>
        </w:rPr>
        <w:t>自动校零，进行保留时间漂移检查；</w:t>
      </w:r>
      <w:r>
        <w:rPr>
          <w:color w:val="auto"/>
          <w:szCs w:val="21"/>
          <w:highlight w:val="none"/>
        </w:rPr>
        <w:t xml:space="preserve"> </w:t>
      </w:r>
      <w:r>
        <w:rPr>
          <w:rFonts w:hint="eastAsia"/>
          <w:color w:val="auto"/>
          <w:szCs w:val="21"/>
          <w:highlight w:val="none"/>
        </w:rPr>
        <w:t>甲醛进行保留时间漂移检查。</w:t>
      </w:r>
    </w:p>
    <w:p>
      <w:pPr>
        <w:tabs>
          <w:tab w:val="left" w:pos="540"/>
          <w:tab w:val="left" w:pos="900"/>
        </w:tabs>
        <w:spacing w:before="120" w:after="120" w:line="264" w:lineRule="auto"/>
        <w:ind w:firstLine="420" w:firstLineChars="200"/>
        <w:rPr>
          <w:color w:val="auto"/>
          <w:szCs w:val="21"/>
          <w:highlight w:val="none"/>
        </w:rPr>
      </w:pPr>
      <w:r>
        <w:rPr>
          <w:color w:val="auto"/>
          <w:szCs w:val="21"/>
          <w:highlight w:val="none"/>
        </w:rPr>
        <w:t>6.1.2、每周</w:t>
      </w:r>
      <w:r>
        <w:rPr>
          <w:rFonts w:hint="eastAsia"/>
          <w:color w:val="auto"/>
          <w:szCs w:val="21"/>
          <w:highlight w:val="none"/>
        </w:rPr>
        <w:t>：HNO</w:t>
      </w:r>
      <w:r>
        <w:rPr>
          <w:color w:val="auto"/>
          <w:szCs w:val="21"/>
          <w:highlight w:val="none"/>
        </w:rPr>
        <w:t>2</w:t>
      </w:r>
      <w:r>
        <w:rPr>
          <w:rFonts w:hint="eastAsia"/>
          <w:color w:val="auto"/>
          <w:szCs w:val="21"/>
          <w:highlight w:val="none"/>
        </w:rPr>
        <w:t>采用不同浓度的</w:t>
      </w:r>
      <w:r>
        <w:rPr>
          <w:color w:val="auto"/>
          <w:szCs w:val="21"/>
          <w:highlight w:val="none"/>
        </w:rPr>
        <w:t>HONO标气或亚硝酸盐标液对设备进行校准，包括有关辅助设备主要性能指标、空白检查、标点检查；每周核实光谱仪信号强度，保持光源强度稳定；</w:t>
      </w:r>
      <w:r>
        <w:rPr>
          <w:rFonts w:hint="eastAsia"/>
          <w:color w:val="auto"/>
          <w:szCs w:val="21"/>
          <w:highlight w:val="none"/>
        </w:rPr>
        <w:t>甲醛使用标准溶液或气体对甲醛分析仪进行主要性能指标、空白检查、标点检查。</w:t>
      </w:r>
    </w:p>
    <w:p>
      <w:pPr>
        <w:tabs>
          <w:tab w:val="left" w:pos="540"/>
          <w:tab w:val="left" w:pos="900"/>
        </w:tabs>
        <w:spacing w:before="120" w:after="120" w:line="264" w:lineRule="auto"/>
        <w:ind w:firstLine="420" w:firstLineChars="200"/>
        <w:rPr>
          <w:color w:val="auto"/>
          <w:szCs w:val="21"/>
          <w:highlight w:val="none"/>
        </w:rPr>
      </w:pPr>
      <w:r>
        <w:rPr>
          <w:color w:val="auto"/>
          <w:szCs w:val="21"/>
          <w:highlight w:val="none"/>
        </w:rPr>
        <w:t>6.1.3、每月</w:t>
      </w:r>
      <w:r>
        <w:rPr>
          <w:rFonts w:hint="eastAsia"/>
          <w:color w:val="auto"/>
          <w:szCs w:val="21"/>
          <w:highlight w:val="none"/>
        </w:rPr>
        <w:t>：HNO</w:t>
      </w:r>
      <w:r>
        <w:rPr>
          <w:color w:val="auto"/>
          <w:szCs w:val="21"/>
          <w:highlight w:val="none"/>
        </w:rPr>
        <w:t>2</w:t>
      </w:r>
      <w:r>
        <w:rPr>
          <w:rFonts w:hint="eastAsia"/>
          <w:color w:val="auto"/>
          <w:szCs w:val="21"/>
          <w:highlight w:val="none"/>
        </w:rPr>
        <w:t>对采样泵流量进行检查和校准，</w:t>
      </w:r>
      <w:r>
        <w:rPr>
          <w:rFonts w:hint="eastAsia"/>
          <w:color w:val="auto"/>
          <w:highlight w:val="none"/>
        </w:rPr>
        <w:t>对吸收液流量进行校准；甲醛使用流量计对采样系统的气密性和流量进行检查校准，进行一次多点的线性检查。</w:t>
      </w:r>
    </w:p>
    <w:p>
      <w:pPr>
        <w:tabs>
          <w:tab w:val="left" w:pos="540"/>
          <w:tab w:val="left" w:pos="900"/>
        </w:tabs>
        <w:spacing w:before="120" w:after="120" w:line="264" w:lineRule="auto"/>
        <w:ind w:firstLine="420" w:firstLineChars="200"/>
        <w:rPr>
          <w:color w:val="auto"/>
          <w:szCs w:val="21"/>
          <w:highlight w:val="none"/>
        </w:rPr>
      </w:pPr>
      <w:r>
        <w:rPr>
          <w:color w:val="auto"/>
          <w:szCs w:val="21"/>
          <w:highlight w:val="none"/>
        </w:rPr>
        <w:t>6.1.4、每季度</w:t>
      </w:r>
      <w:r>
        <w:rPr>
          <w:rFonts w:hint="eastAsia"/>
          <w:color w:val="auto"/>
          <w:szCs w:val="21"/>
          <w:highlight w:val="none"/>
        </w:rPr>
        <w:t>：</w:t>
      </w:r>
      <w:r>
        <w:rPr>
          <w:color w:val="auto"/>
          <w:szCs w:val="21"/>
          <w:highlight w:val="none"/>
        </w:rPr>
        <w:t>HONO分析仪进行多点外标校准曲线</w:t>
      </w:r>
      <w:r>
        <w:rPr>
          <w:rFonts w:hint="eastAsia"/>
          <w:color w:val="auto"/>
          <w:szCs w:val="21"/>
          <w:highlight w:val="none"/>
        </w:rPr>
        <w:t>；甲醛进行多点校准，绘制更加准确的校准曲线；</w:t>
      </w:r>
    </w:p>
    <w:p>
      <w:pPr>
        <w:tabs>
          <w:tab w:val="left" w:pos="540"/>
          <w:tab w:val="left" w:pos="900"/>
        </w:tabs>
        <w:spacing w:before="120" w:after="120" w:line="264" w:lineRule="auto"/>
        <w:ind w:firstLine="420" w:firstLineChars="200"/>
        <w:rPr>
          <w:color w:val="auto"/>
          <w:szCs w:val="21"/>
          <w:highlight w:val="none"/>
        </w:rPr>
      </w:pPr>
      <w:r>
        <w:rPr>
          <w:color w:val="auto"/>
          <w:szCs w:val="21"/>
          <w:highlight w:val="none"/>
        </w:rPr>
        <w:t>6.1.5、每半年：</w:t>
      </w:r>
      <w:r>
        <w:rPr>
          <w:rFonts w:hint="eastAsia"/>
          <w:color w:val="auto"/>
          <w:szCs w:val="21"/>
          <w:highlight w:val="none"/>
        </w:rPr>
        <w:t>HNO</w:t>
      </w:r>
      <w:r>
        <w:rPr>
          <w:color w:val="auto"/>
          <w:szCs w:val="21"/>
          <w:highlight w:val="none"/>
        </w:rPr>
        <w:t>2</w:t>
      </w:r>
      <w:r>
        <w:rPr>
          <w:rFonts w:hint="eastAsia"/>
          <w:color w:val="auto"/>
          <w:szCs w:val="21"/>
          <w:highlight w:val="none"/>
        </w:rPr>
        <w:t>对仪器内部部分管路、接头和密封圈更换，对光纤池等核心部件进行清洗；甲醛对仪器内部部分管路、接头和密封圈更换，对光纤池等核心部件进行清洗；</w:t>
      </w:r>
    </w:p>
    <w:p>
      <w:pPr>
        <w:tabs>
          <w:tab w:val="left" w:pos="540"/>
          <w:tab w:val="left" w:pos="900"/>
        </w:tabs>
        <w:spacing w:before="120" w:after="120" w:line="264" w:lineRule="auto"/>
        <w:ind w:firstLine="420" w:firstLineChars="200"/>
        <w:rPr>
          <w:bCs/>
          <w:color w:val="auto"/>
          <w:szCs w:val="21"/>
          <w:highlight w:val="none"/>
        </w:rPr>
      </w:pPr>
      <w:r>
        <w:rPr>
          <w:color w:val="auto"/>
          <w:szCs w:val="21"/>
          <w:highlight w:val="none"/>
        </w:rPr>
        <w:t>6.1.6、每年</w:t>
      </w:r>
      <w:r>
        <w:rPr>
          <w:rFonts w:hint="eastAsia"/>
          <w:color w:val="auto"/>
          <w:szCs w:val="21"/>
          <w:highlight w:val="none"/>
        </w:rPr>
        <w:t>：对仪器进行整体保养。</w:t>
      </w:r>
    </w:p>
    <w:p>
      <w:pPr>
        <w:tabs>
          <w:tab w:val="left" w:pos="540"/>
          <w:tab w:val="left" w:pos="900"/>
        </w:tabs>
        <w:spacing w:before="120" w:after="120" w:line="264" w:lineRule="auto"/>
        <w:ind w:firstLine="420" w:firstLineChars="200"/>
        <w:rPr>
          <w:color w:val="auto"/>
          <w:szCs w:val="21"/>
          <w:highlight w:val="none"/>
        </w:rPr>
      </w:pPr>
      <w:r>
        <w:rPr>
          <w:color w:val="auto"/>
          <w:szCs w:val="21"/>
          <w:highlight w:val="none"/>
        </w:rPr>
        <w:t>6.2质控要求</w:t>
      </w:r>
    </w:p>
    <w:p>
      <w:pPr>
        <w:tabs>
          <w:tab w:val="left" w:pos="540"/>
          <w:tab w:val="left" w:pos="900"/>
        </w:tabs>
        <w:spacing w:before="120" w:after="120" w:line="264" w:lineRule="auto"/>
        <w:ind w:firstLine="420" w:firstLineChars="200"/>
        <w:rPr>
          <w:color w:val="auto"/>
          <w:szCs w:val="21"/>
          <w:highlight w:val="none"/>
        </w:rPr>
      </w:pPr>
      <w:r>
        <w:rPr>
          <w:color w:val="auto"/>
          <w:szCs w:val="21"/>
          <w:highlight w:val="none"/>
        </w:rPr>
        <w:t>6.2.1、</w:t>
      </w:r>
      <w:r>
        <w:rPr>
          <w:rFonts w:hint="eastAsia"/>
          <w:color w:val="auto"/>
          <w:szCs w:val="21"/>
          <w:highlight w:val="none"/>
        </w:rPr>
        <w:t>质控元素（标准品）测量相对误差≤±</w:t>
      </w:r>
      <w:r>
        <w:rPr>
          <w:color w:val="auto"/>
          <w:szCs w:val="21"/>
          <w:highlight w:val="none"/>
        </w:rPr>
        <w:t>10%，流量相对误差≤±5%。标准气体：可追溯至国家二级标准以上标准。</w:t>
      </w:r>
    </w:p>
    <w:p>
      <w:pPr>
        <w:tabs>
          <w:tab w:val="left" w:pos="540"/>
          <w:tab w:val="left" w:pos="900"/>
        </w:tabs>
        <w:spacing w:before="120" w:after="120" w:line="264" w:lineRule="auto"/>
        <w:ind w:firstLine="420" w:firstLineChars="200"/>
        <w:rPr>
          <w:color w:val="auto"/>
          <w:szCs w:val="21"/>
          <w:highlight w:val="none"/>
        </w:rPr>
      </w:pPr>
      <w:r>
        <w:rPr>
          <w:color w:val="auto"/>
          <w:szCs w:val="21"/>
          <w:highlight w:val="none"/>
        </w:rPr>
        <w:t>6.2.2、每</w:t>
      </w:r>
      <w:r>
        <w:rPr>
          <w:rFonts w:hint="eastAsia"/>
          <w:color w:val="auto"/>
          <w:szCs w:val="21"/>
          <w:highlight w:val="none"/>
        </w:rPr>
        <w:t>月</w:t>
      </w:r>
      <w:r>
        <w:rPr>
          <w:color w:val="auto"/>
          <w:szCs w:val="21"/>
          <w:highlight w:val="none"/>
        </w:rPr>
        <w:t>进行一次采样流量核查工作，如果流量误差超出5%的偏差</w:t>
      </w:r>
      <w:r>
        <w:rPr>
          <w:rFonts w:hint="eastAsia"/>
          <w:color w:val="auto"/>
          <w:szCs w:val="21"/>
          <w:highlight w:val="none"/>
        </w:rPr>
        <w:t>，</w:t>
      </w:r>
      <w:r>
        <w:rPr>
          <w:color w:val="auto"/>
          <w:szCs w:val="21"/>
          <w:highlight w:val="none"/>
        </w:rPr>
        <w:t>需进行多点校准。</w:t>
      </w:r>
    </w:p>
    <w:p>
      <w:pPr>
        <w:tabs>
          <w:tab w:val="left" w:pos="540"/>
          <w:tab w:val="left" w:pos="900"/>
        </w:tabs>
        <w:spacing w:before="120" w:after="120" w:line="264" w:lineRule="auto"/>
        <w:ind w:firstLine="420" w:firstLineChars="200"/>
        <w:rPr>
          <w:color w:val="auto"/>
          <w:szCs w:val="21"/>
          <w:highlight w:val="none"/>
        </w:rPr>
      </w:pPr>
      <w:r>
        <w:rPr>
          <w:color w:val="auto"/>
          <w:szCs w:val="21"/>
          <w:highlight w:val="none"/>
        </w:rPr>
        <w:t xml:space="preserve">6.3 </w:t>
      </w:r>
      <w:r>
        <w:rPr>
          <w:rFonts w:hint="eastAsia"/>
          <w:color w:val="auto"/>
          <w:szCs w:val="21"/>
          <w:highlight w:val="none"/>
        </w:rPr>
        <w:t xml:space="preserve"> 根据仪器状况及时更换仪器所需的配件，以保证仪器正常运行。更换后的耗材应留存备查。主要耗材应根据实际耗损情况及时更换。</w:t>
      </w:r>
    </w:p>
    <w:p>
      <w:pPr>
        <w:tabs>
          <w:tab w:val="left" w:pos="540"/>
          <w:tab w:val="left" w:pos="900"/>
        </w:tabs>
        <w:spacing w:before="120" w:after="120" w:line="264" w:lineRule="auto"/>
        <w:ind w:firstLine="420" w:firstLineChars="200"/>
        <w:rPr>
          <w:color w:val="auto"/>
          <w:szCs w:val="21"/>
          <w:highlight w:val="none"/>
        </w:rPr>
      </w:pPr>
      <w:r>
        <w:rPr>
          <w:rFonts w:hint="eastAsia"/>
          <w:color w:val="auto"/>
          <w:szCs w:val="21"/>
          <w:highlight w:val="none"/>
        </w:rPr>
        <w:t>6</w:t>
      </w:r>
      <w:r>
        <w:rPr>
          <w:color w:val="auto"/>
          <w:szCs w:val="21"/>
          <w:highlight w:val="none"/>
        </w:rPr>
        <w:t xml:space="preserve">.4  </w:t>
      </w:r>
      <w:r>
        <w:rPr>
          <w:rFonts w:hint="eastAsia"/>
          <w:color w:val="auto"/>
          <w:szCs w:val="21"/>
          <w:highlight w:val="none"/>
        </w:rPr>
        <w:t>每次运维及时清理现场，保障各种溶液桶处于密闭状态，避免因为仪器设备的任何原因导致站房充满异味。若出现严重异味情况，酌情扣运维费。</w:t>
      </w:r>
    </w:p>
    <w:p>
      <w:pPr>
        <w:rPr>
          <w:color w:val="auto"/>
          <w:highlight w:val="none"/>
        </w:rPr>
      </w:pPr>
    </w:p>
    <w:p>
      <w:pPr>
        <w:ind w:firstLine="211" w:firstLineChars="100"/>
        <w:rPr>
          <w:b/>
          <w:bCs/>
          <w:color w:val="auto"/>
          <w:szCs w:val="21"/>
          <w:highlight w:val="none"/>
        </w:rPr>
      </w:pPr>
      <w:r>
        <w:rPr>
          <w:rFonts w:hint="eastAsia"/>
          <w:b/>
          <w:bCs/>
          <w:color w:val="auto"/>
          <w:szCs w:val="21"/>
          <w:highlight w:val="none"/>
        </w:rPr>
        <w:t>包</w:t>
      </w:r>
      <w:r>
        <w:rPr>
          <w:b/>
          <w:bCs/>
          <w:color w:val="auto"/>
          <w:szCs w:val="21"/>
          <w:highlight w:val="none"/>
        </w:rPr>
        <w:t>4</w:t>
      </w:r>
      <w:r>
        <w:rPr>
          <w:rFonts w:hint="eastAsia"/>
          <w:b/>
          <w:bCs/>
          <w:color w:val="auto"/>
          <w:szCs w:val="21"/>
          <w:highlight w:val="none"/>
        </w:rPr>
        <w:t>：走航监测车及相关仪器设备运维服务。</w:t>
      </w:r>
    </w:p>
    <w:p>
      <w:pPr>
        <w:ind w:firstLine="211" w:firstLineChars="100"/>
        <w:jc w:val="left"/>
        <w:rPr>
          <w:b/>
          <w:color w:val="auto"/>
          <w:szCs w:val="21"/>
          <w:highlight w:val="none"/>
        </w:rPr>
      </w:pPr>
      <w:r>
        <w:rPr>
          <w:b/>
          <w:color w:val="auto"/>
          <w:szCs w:val="21"/>
          <w:highlight w:val="none"/>
        </w:rPr>
        <w:t>一、基本概况：</w:t>
      </w:r>
    </w:p>
    <w:p>
      <w:pPr>
        <w:spacing w:before="120" w:after="120" w:line="264" w:lineRule="auto"/>
        <w:ind w:firstLine="420" w:firstLineChars="200"/>
        <w:rPr>
          <w:color w:val="auto"/>
          <w:szCs w:val="21"/>
          <w:highlight w:val="none"/>
        </w:rPr>
      </w:pPr>
      <w:r>
        <w:rPr>
          <w:color w:val="auto"/>
          <w:szCs w:val="21"/>
          <w:highlight w:val="none"/>
        </w:rPr>
        <w:t>1.1 项目概况：根据国家规范技术要求，江苏省环境监测中心拟委托有资质机构对</w:t>
      </w:r>
      <w:r>
        <w:rPr>
          <w:rFonts w:hint="eastAsia"/>
          <w:color w:val="auto"/>
          <w:szCs w:val="21"/>
          <w:highlight w:val="none"/>
        </w:rPr>
        <w:t>中心</w:t>
      </w:r>
      <w:r>
        <w:rPr>
          <w:color w:val="auto"/>
          <w:szCs w:val="21"/>
          <w:highlight w:val="none"/>
        </w:rPr>
        <w:t>应急流动监测车</w:t>
      </w:r>
      <w:r>
        <w:rPr>
          <w:rFonts w:hint="eastAsia"/>
          <w:color w:val="auto"/>
          <w:szCs w:val="21"/>
          <w:highlight w:val="none"/>
        </w:rPr>
        <w:t>（苏A 57100）</w:t>
      </w:r>
      <w:r>
        <w:rPr>
          <w:color w:val="auto"/>
          <w:szCs w:val="21"/>
          <w:highlight w:val="none"/>
        </w:rPr>
        <w:t>运行维护管理开展委托运维招标，主要运维仪器包括</w:t>
      </w:r>
      <w:r>
        <w:rPr>
          <w:rFonts w:hint="eastAsia"/>
          <w:color w:val="auto"/>
          <w:szCs w:val="21"/>
          <w:highlight w:val="none"/>
        </w:rPr>
        <w:t>颗粒物水溶性组分质控比对分析仪、车载VOCs走航监测仪</w:t>
      </w:r>
      <w:r>
        <w:rPr>
          <w:color w:val="auto"/>
          <w:szCs w:val="21"/>
          <w:highlight w:val="none"/>
        </w:rPr>
        <w:t xml:space="preserve"> </w:t>
      </w:r>
      <w:r>
        <w:rPr>
          <w:rFonts w:hint="eastAsia"/>
          <w:color w:val="auto"/>
          <w:szCs w:val="21"/>
          <w:highlight w:val="none"/>
        </w:rPr>
        <w:t>、车载拉曼雷达、车载便携式臭氧激光雷达。</w:t>
      </w:r>
    </w:p>
    <w:p>
      <w:pPr>
        <w:ind w:left="420" w:leftChars="200"/>
        <w:jc w:val="center"/>
        <w:rPr>
          <w:color w:val="auto"/>
          <w:szCs w:val="21"/>
          <w:highlight w:val="none"/>
        </w:rPr>
      </w:pPr>
      <w:r>
        <w:rPr>
          <w:color w:val="auto"/>
          <w:szCs w:val="21"/>
          <w:highlight w:val="none"/>
        </w:rPr>
        <w:t>3-1</w:t>
      </w:r>
      <w:r>
        <w:rPr>
          <w:rFonts w:hint="eastAsia"/>
          <w:bCs/>
          <w:color w:val="auto"/>
          <w:szCs w:val="21"/>
          <w:highlight w:val="none"/>
        </w:rPr>
        <w:t>流动观测车</w:t>
      </w:r>
      <w:r>
        <w:rPr>
          <w:bCs/>
          <w:color w:val="auto"/>
          <w:szCs w:val="21"/>
          <w:highlight w:val="none"/>
        </w:rPr>
        <w:t>设备清单及分项预算</w:t>
      </w:r>
    </w:p>
    <w:tbl>
      <w:tblPr>
        <w:tblStyle w:val="44"/>
        <w:tblW w:w="7846" w:type="dxa"/>
        <w:tblInd w:w="4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4"/>
        <w:gridCol w:w="2720"/>
        <w:gridCol w:w="1391"/>
        <w:gridCol w:w="1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4" w:type="dxa"/>
            <w:shd w:val="clear" w:color="auto" w:fill="FFFFFF" w:themeFill="background1"/>
            <w:vAlign w:val="center"/>
          </w:tcPr>
          <w:p>
            <w:pPr>
              <w:jc w:val="center"/>
              <w:rPr>
                <w:b/>
                <w:color w:val="auto"/>
                <w:szCs w:val="21"/>
                <w:highlight w:val="none"/>
              </w:rPr>
            </w:pPr>
            <w:r>
              <w:rPr>
                <w:b/>
                <w:color w:val="auto"/>
                <w:szCs w:val="21"/>
                <w:highlight w:val="none"/>
              </w:rPr>
              <w:t>监测参数</w:t>
            </w:r>
          </w:p>
        </w:tc>
        <w:tc>
          <w:tcPr>
            <w:tcW w:w="2720" w:type="dxa"/>
            <w:shd w:val="clear" w:color="auto" w:fill="FFFFFF" w:themeFill="background1"/>
            <w:vAlign w:val="center"/>
          </w:tcPr>
          <w:p>
            <w:pPr>
              <w:jc w:val="center"/>
              <w:rPr>
                <w:b/>
                <w:color w:val="auto"/>
                <w:szCs w:val="21"/>
                <w:highlight w:val="none"/>
              </w:rPr>
            </w:pPr>
            <w:r>
              <w:rPr>
                <w:b/>
                <w:color w:val="auto"/>
                <w:szCs w:val="21"/>
                <w:highlight w:val="none"/>
              </w:rPr>
              <w:t>生产厂家</w:t>
            </w:r>
          </w:p>
        </w:tc>
        <w:tc>
          <w:tcPr>
            <w:tcW w:w="1391" w:type="dxa"/>
            <w:shd w:val="clear" w:color="auto" w:fill="FFFFFF" w:themeFill="background1"/>
            <w:vAlign w:val="center"/>
          </w:tcPr>
          <w:p>
            <w:pPr>
              <w:jc w:val="center"/>
              <w:rPr>
                <w:b/>
                <w:color w:val="auto"/>
                <w:szCs w:val="21"/>
                <w:highlight w:val="none"/>
              </w:rPr>
            </w:pPr>
            <w:r>
              <w:rPr>
                <w:b/>
                <w:color w:val="auto"/>
                <w:szCs w:val="21"/>
                <w:highlight w:val="none"/>
              </w:rPr>
              <w:t>备注</w:t>
            </w:r>
          </w:p>
        </w:tc>
        <w:tc>
          <w:tcPr>
            <w:tcW w:w="1391" w:type="dxa"/>
            <w:shd w:val="clear" w:color="auto" w:fill="FFFFFF" w:themeFill="background1"/>
            <w:vAlign w:val="center"/>
          </w:tcPr>
          <w:p>
            <w:pPr>
              <w:jc w:val="center"/>
              <w:rPr>
                <w:b/>
                <w:color w:val="auto"/>
                <w:szCs w:val="21"/>
                <w:highlight w:val="none"/>
              </w:rPr>
            </w:pPr>
            <w:r>
              <w:rPr>
                <w:b/>
                <w:color w:val="auto"/>
                <w:szCs w:val="21"/>
                <w:highlight w:val="none"/>
              </w:rPr>
              <w:t>分项预算</w:t>
            </w:r>
          </w:p>
          <w:p>
            <w:pPr>
              <w:jc w:val="center"/>
              <w:rPr>
                <w:b/>
                <w:color w:val="auto"/>
                <w:szCs w:val="21"/>
                <w:highlight w:val="none"/>
              </w:rPr>
            </w:pPr>
            <w:r>
              <w:rPr>
                <w:rFonts w:hint="eastAsia"/>
                <w:b/>
                <w:color w:val="auto"/>
                <w:szCs w:val="21"/>
                <w:highlight w:val="none"/>
              </w:rPr>
              <w:t>（万元/年）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4" w:type="dxa"/>
            <w:vAlign w:val="center"/>
          </w:tcPr>
          <w:p>
            <w:pPr>
              <w:jc w:val="center"/>
              <w:rPr>
                <w:color w:val="auto"/>
                <w:szCs w:val="21"/>
                <w:highlight w:val="none"/>
              </w:rPr>
            </w:pPr>
            <w:r>
              <w:rPr>
                <w:rFonts w:hint="eastAsia"/>
                <w:color w:val="auto"/>
                <w:szCs w:val="21"/>
                <w:highlight w:val="none"/>
              </w:rPr>
              <w:t>水溶性离子</w:t>
            </w:r>
          </w:p>
        </w:tc>
        <w:tc>
          <w:tcPr>
            <w:tcW w:w="2720" w:type="dxa"/>
            <w:vAlign w:val="center"/>
          </w:tcPr>
          <w:p>
            <w:pPr>
              <w:jc w:val="center"/>
              <w:rPr>
                <w:color w:val="auto"/>
                <w:szCs w:val="21"/>
                <w:highlight w:val="none"/>
              </w:rPr>
            </w:pPr>
            <w:r>
              <w:rPr>
                <w:rFonts w:hint="eastAsia"/>
                <w:color w:val="auto"/>
                <w:szCs w:val="21"/>
                <w:highlight w:val="none"/>
              </w:rPr>
              <w:t>热电</w:t>
            </w:r>
          </w:p>
        </w:tc>
        <w:tc>
          <w:tcPr>
            <w:tcW w:w="1391" w:type="dxa"/>
            <w:vMerge w:val="restart"/>
            <w:vAlign w:val="center"/>
          </w:tcPr>
          <w:p>
            <w:pPr>
              <w:jc w:val="center"/>
              <w:rPr>
                <w:color w:val="auto"/>
                <w:szCs w:val="21"/>
                <w:highlight w:val="none"/>
              </w:rPr>
            </w:pPr>
            <w:r>
              <w:rPr>
                <w:color w:val="auto"/>
                <w:szCs w:val="21"/>
                <w:highlight w:val="none"/>
              </w:rPr>
              <w:t>均为福特E450车载仪器</w:t>
            </w:r>
          </w:p>
        </w:tc>
        <w:tc>
          <w:tcPr>
            <w:tcW w:w="1391" w:type="dxa"/>
            <w:vAlign w:val="center"/>
          </w:tcPr>
          <w:p>
            <w:pPr>
              <w:jc w:val="center"/>
              <w:rPr>
                <w:color w:val="auto"/>
                <w:szCs w:val="21"/>
                <w:highlight w:val="none"/>
              </w:rPr>
            </w:pPr>
            <w:r>
              <w:rPr>
                <w:rFonts w:hint="eastAsia"/>
                <w:color w:val="auto"/>
                <w:szCs w:val="21"/>
                <w:highlight w:val="none"/>
              </w:rPr>
              <w:t>1</w:t>
            </w:r>
            <w:r>
              <w:rPr>
                <w:color w:val="auto"/>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4" w:type="dxa"/>
            <w:vAlign w:val="center"/>
          </w:tcPr>
          <w:p>
            <w:pPr>
              <w:jc w:val="center"/>
              <w:rPr>
                <w:color w:val="auto"/>
                <w:szCs w:val="21"/>
                <w:highlight w:val="none"/>
              </w:rPr>
            </w:pPr>
            <w:r>
              <w:rPr>
                <w:rFonts w:hint="eastAsia"/>
                <w:color w:val="auto"/>
                <w:szCs w:val="21"/>
                <w:highlight w:val="none"/>
              </w:rPr>
              <w:t>VOCs</w:t>
            </w:r>
          </w:p>
        </w:tc>
        <w:tc>
          <w:tcPr>
            <w:tcW w:w="2720" w:type="dxa"/>
            <w:vAlign w:val="center"/>
          </w:tcPr>
          <w:p>
            <w:pPr>
              <w:jc w:val="center"/>
              <w:rPr>
                <w:color w:val="auto"/>
                <w:szCs w:val="21"/>
                <w:highlight w:val="none"/>
              </w:rPr>
            </w:pPr>
            <w:r>
              <w:rPr>
                <w:rFonts w:hint="eastAsia"/>
                <w:color w:val="auto"/>
                <w:szCs w:val="21"/>
                <w:highlight w:val="none"/>
              </w:rPr>
              <w:t>禾信</w:t>
            </w:r>
          </w:p>
        </w:tc>
        <w:tc>
          <w:tcPr>
            <w:tcW w:w="1391" w:type="dxa"/>
            <w:vMerge w:val="continue"/>
            <w:vAlign w:val="center"/>
          </w:tcPr>
          <w:p>
            <w:pPr>
              <w:jc w:val="center"/>
              <w:rPr>
                <w:color w:val="auto"/>
                <w:szCs w:val="21"/>
                <w:highlight w:val="none"/>
              </w:rPr>
            </w:pPr>
          </w:p>
        </w:tc>
        <w:tc>
          <w:tcPr>
            <w:tcW w:w="1391" w:type="dxa"/>
            <w:vAlign w:val="center"/>
          </w:tcPr>
          <w:p>
            <w:pPr>
              <w:jc w:val="center"/>
              <w:rPr>
                <w:color w:val="auto"/>
                <w:szCs w:val="21"/>
                <w:highlight w:val="none"/>
              </w:rPr>
            </w:pPr>
            <w:r>
              <w:rPr>
                <w:color w:val="auto"/>
                <w:szCs w:val="21"/>
                <w:highlight w:val="none"/>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4" w:type="dxa"/>
            <w:vAlign w:val="center"/>
          </w:tcPr>
          <w:p>
            <w:pPr>
              <w:jc w:val="center"/>
              <w:rPr>
                <w:color w:val="auto"/>
                <w:szCs w:val="21"/>
                <w:highlight w:val="none"/>
              </w:rPr>
            </w:pPr>
            <w:r>
              <w:rPr>
                <w:rFonts w:hint="eastAsia"/>
                <w:color w:val="auto"/>
                <w:szCs w:val="21"/>
                <w:highlight w:val="none"/>
              </w:rPr>
              <w:t>气溶胶垂直分布</w:t>
            </w:r>
          </w:p>
        </w:tc>
        <w:tc>
          <w:tcPr>
            <w:tcW w:w="2720" w:type="dxa"/>
            <w:vAlign w:val="center"/>
          </w:tcPr>
          <w:p>
            <w:pPr>
              <w:jc w:val="center"/>
              <w:rPr>
                <w:color w:val="auto"/>
                <w:szCs w:val="21"/>
                <w:highlight w:val="none"/>
              </w:rPr>
            </w:pPr>
            <w:r>
              <w:rPr>
                <w:rFonts w:hint="eastAsia"/>
                <w:color w:val="auto"/>
                <w:szCs w:val="21"/>
                <w:highlight w:val="none"/>
              </w:rPr>
              <w:t>中科环光</w:t>
            </w:r>
          </w:p>
        </w:tc>
        <w:tc>
          <w:tcPr>
            <w:tcW w:w="1391" w:type="dxa"/>
            <w:vMerge w:val="continue"/>
            <w:vAlign w:val="center"/>
          </w:tcPr>
          <w:p>
            <w:pPr>
              <w:jc w:val="center"/>
              <w:rPr>
                <w:color w:val="auto"/>
                <w:szCs w:val="21"/>
                <w:highlight w:val="none"/>
              </w:rPr>
            </w:pPr>
          </w:p>
        </w:tc>
        <w:tc>
          <w:tcPr>
            <w:tcW w:w="1391" w:type="dxa"/>
            <w:vAlign w:val="center"/>
          </w:tcPr>
          <w:p>
            <w:pPr>
              <w:jc w:val="center"/>
              <w:rPr>
                <w:color w:val="auto"/>
                <w:szCs w:val="21"/>
                <w:highlight w:val="none"/>
              </w:rPr>
            </w:pPr>
            <w:r>
              <w:rPr>
                <w:rFonts w:hint="eastAsia"/>
                <w:color w:val="auto"/>
                <w:szCs w:val="21"/>
                <w:highlight w:val="none"/>
              </w:rPr>
              <w:t>2</w:t>
            </w:r>
            <w:r>
              <w:rPr>
                <w:color w:val="auto"/>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4" w:type="dxa"/>
            <w:vAlign w:val="center"/>
          </w:tcPr>
          <w:p>
            <w:pPr>
              <w:jc w:val="center"/>
              <w:rPr>
                <w:color w:val="auto"/>
                <w:szCs w:val="21"/>
                <w:highlight w:val="none"/>
              </w:rPr>
            </w:pPr>
            <w:r>
              <w:rPr>
                <w:rFonts w:hint="eastAsia"/>
                <w:color w:val="auto"/>
                <w:szCs w:val="21"/>
                <w:highlight w:val="none"/>
              </w:rPr>
              <w:t>臭氧垂直分布</w:t>
            </w:r>
          </w:p>
        </w:tc>
        <w:tc>
          <w:tcPr>
            <w:tcW w:w="2720" w:type="dxa"/>
            <w:vAlign w:val="center"/>
          </w:tcPr>
          <w:p>
            <w:pPr>
              <w:jc w:val="center"/>
              <w:rPr>
                <w:color w:val="auto"/>
                <w:szCs w:val="21"/>
                <w:highlight w:val="none"/>
              </w:rPr>
            </w:pPr>
            <w:r>
              <w:rPr>
                <w:rFonts w:hint="eastAsia"/>
                <w:color w:val="auto"/>
                <w:szCs w:val="21"/>
                <w:highlight w:val="none"/>
              </w:rPr>
              <w:t>新环光电</w:t>
            </w:r>
          </w:p>
        </w:tc>
        <w:tc>
          <w:tcPr>
            <w:tcW w:w="1391" w:type="dxa"/>
            <w:vMerge w:val="continue"/>
            <w:vAlign w:val="center"/>
          </w:tcPr>
          <w:p>
            <w:pPr>
              <w:jc w:val="center"/>
              <w:rPr>
                <w:color w:val="auto"/>
                <w:szCs w:val="21"/>
                <w:highlight w:val="none"/>
              </w:rPr>
            </w:pPr>
          </w:p>
        </w:tc>
        <w:tc>
          <w:tcPr>
            <w:tcW w:w="1391" w:type="dxa"/>
            <w:vAlign w:val="center"/>
          </w:tcPr>
          <w:p>
            <w:pPr>
              <w:jc w:val="center"/>
              <w:rPr>
                <w:color w:val="auto"/>
                <w:szCs w:val="21"/>
                <w:highlight w:val="none"/>
              </w:rPr>
            </w:pPr>
            <w:r>
              <w:rPr>
                <w:rFonts w:hint="eastAsia"/>
                <w:color w:val="auto"/>
                <w:szCs w:val="21"/>
                <w:highlight w:val="none"/>
              </w:rPr>
              <w:t>1</w:t>
            </w:r>
            <w:r>
              <w:rPr>
                <w:color w:val="auto"/>
                <w:szCs w:val="21"/>
                <w:highlight w:val="none"/>
              </w:rPr>
              <w:t>5</w:t>
            </w:r>
          </w:p>
        </w:tc>
      </w:tr>
    </w:tbl>
    <w:p>
      <w:pPr>
        <w:ind w:firstLine="420" w:firstLineChars="200"/>
        <w:rPr>
          <w:color w:val="auto"/>
          <w:szCs w:val="21"/>
          <w:highlight w:val="none"/>
        </w:rPr>
      </w:pPr>
    </w:p>
    <w:p>
      <w:pPr>
        <w:spacing w:before="120" w:after="120" w:line="264" w:lineRule="auto"/>
        <w:ind w:firstLine="422" w:firstLineChars="200"/>
        <w:jc w:val="left"/>
        <w:rPr>
          <w:b/>
          <w:color w:val="auto"/>
          <w:szCs w:val="21"/>
          <w:highlight w:val="none"/>
        </w:rPr>
      </w:pPr>
      <w:r>
        <w:rPr>
          <w:b/>
          <w:color w:val="auto"/>
          <w:szCs w:val="21"/>
          <w:highlight w:val="none"/>
        </w:rPr>
        <w:t>二、</w:t>
      </w:r>
      <w:r>
        <w:rPr>
          <w:rFonts w:hint="eastAsia"/>
          <w:b/>
          <w:color w:val="auto"/>
          <w:szCs w:val="21"/>
          <w:highlight w:val="none"/>
        </w:rPr>
        <w:t>走航</w:t>
      </w:r>
      <w:r>
        <w:rPr>
          <w:b/>
          <w:color w:val="auto"/>
          <w:szCs w:val="21"/>
          <w:highlight w:val="none"/>
        </w:rPr>
        <w:t>监测车运维项目需求：</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2.1总体要求</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2.1.1投标单位应提供详细的运维管理服务方案。</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2.1.2投标单位需按照省中心要求保证</w:t>
      </w:r>
      <w:r>
        <w:rPr>
          <w:rFonts w:hint="eastAsia"/>
          <w:bCs/>
          <w:color w:val="auto"/>
          <w:szCs w:val="21"/>
          <w:highlight w:val="none"/>
        </w:rPr>
        <w:t>全年及时响应，1小时内赶到现场。</w:t>
      </w:r>
      <w:r>
        <w:rPr>
          <w:bCs/>
          <w:color w:val="auto"/>
          <w:szCs w:val="21"/>
          <w:highlight w:val="none"/>
        </w:rPr>
        <w:t>常规六参数分析仪器故障发生后</w:t>
      </w:r>
      <w:r>
        <w:rPr>
          <w:rFonts w:hint="eastAsia"/>
          <w:bCs/>
          <w:color w:val="auto"/>
          <w:szCs w:val="21"/>
          <w:highlight w:val="none"/>
        </w:rPr>
        <w:t>1小时赶到现场，</w:t>
      </w:r>
      <w:r>
        <w:rPr>
          <w:bCs/>
          <w:color w:val="auto"/>
          <w:szCs w:val="21"/>
          <w:highlight w:val="none"/>
        </w:rPr>
        <w:t>4小时内(8:00-22:00)或8小时内（22:00-8:00）</w:t>
      </w:r>
      <w:r>
        <w:rPr>
          <w:rFonts w:hint="eastAsia"/>
          <w:bCs/>
          <w:color w:val="auto"/>
          <w:szCs w:val="21"/>
          <w:highlight w:val="none"/>
        </w:rPr>
        <w:t>恢复</w:t>
      </w:r>
      <w:r>
        <w:rPr>
          <w:bCs/>
          <w:color w:val="auto"/>
          <w:szCs w:val="21"/>
          <w:highlight w:val="none"/>
        </w:rPr>
        <w:t>运行。对不易诊断和维修的仪器故障，</w:t>
      </w:r>
      <w:r>
        <w:rPr>
          <w:rFonts w:hint="eastAsia"/>
          <w:bCs/>
          <w:color w:val="auto"/>
          <w:szCs w:val="21"/>
          <w:highlight w:val="none"/>
        </w:rPr>
        <w:t>需</w:t>
      </w:r>
      <w:r>
        <w:rPr>
          <w:bCs/>
          <w:color w:val="auto"/>
          <w:szCs w:val="21"/>
          <w:highlight w:val="none"/>
        </w:rPr>
        <w:t>48小时内予以排除。</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2.1.3投标单位应提供完整的运维人员管理方案，</w:t>
      </w:r>
      <w:r>
        <w:rPr>
          <w:rFonts w:hint="eastAsia"/>
          <w:bCs/>
          <w:color w:val="auto"/>
          <w:szCs w:val="21"/>
          <w:highlight w:val="none"/>
        </w:rPr>
        <w:t>具备应对人员流动的应急预案，</w:t>
      </w:r>
      <w:r>
        <w:rPr>
          <w:bCs/>
          <w:color w:val="auto"/>
          <w:szCs w:val="21"/>
          <w:highlight w:val="none"/>
        </w:rPr>
        <w:t>提出解决</w:t>
      </w:r>
      <w:r>
        <w:rPr>
          <w:rFonts w:hint="eastAsia"/>
          <w:bCs/>
          <w:color w:val="auto"/>
          <w:szCs w:val="21"/>
          <w:highlight w:val="none"/>
        </w:rPr>
        <w:t>技术</w:t>
      </w:r>
      <w:r>
        <w:rPr>
          <w:bCs/>
          <w:color w:val="auto"/>
          <w:szCs w:val="21"/>
          <w:highlight w:val="none"/>
        </w:rPr>
        <w:t>人员队伍稳定的措施；</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2.1.4在该设备代维及管理期间，投标单位应严格按照业主要求的操作规范和规章制度（详见技术运维要求部分），对所管理的系统及仪器设备进行规范操作和精心维护及必要维修，保证系统及仪器设备的正常运行，满足省环境监测中心提出的系统及仪器设备考核指标要求。</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2.1.5</w:t>
      </w:r>
      <w:r>
        <w:rPr>
          <w:rFonts w:hint="eastAsia"/>
          <w:bCs/>
          <w:color w:val="auto"/>
          <w:szCs w:val="21"/>
          <w:highlight w:val="none"/>
        </w:rPr>
        <w:t>在该设备代维及管理期间，未经允许，承担运维单位不得以直接、间接、口头或书面等形式将观测数据披露给其他人员或第三方单位，因数据泄露而造成业主损失，业主将通过法律途径向投标单位索赔。</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2.1.6投标单位</w:t>
      </w:r>
      <w:r>
        <w:rPr>
          <w:rFonts w:hint="eastAsia"/>
          <w:bCs/>
          <w:color w:val="auto"/>
          <w:szCs w:val="21"/>
          <w:highlight w:val="none"/>
        </w:rPr>
        <w:t>中标后</w:t>
      </w:r>
      <w:r>
        <w:rPr>
          <w:bCs/>
          <w:color w:val="auto"/>
          <w:szCs w:val="21"/>
          <w:highlight w:val="none"/>
        </w:rPr>
        <w:t>在中标地区设立技术支持机构，配备1名经验丰富运维人员（运维人员大专以上学历，至少具备2年以上运行维护经验，并有相关运维单位的工作经验证明）常年驻守，同时确保至少1辆专车用于日常巡检。（需车辆牌照、行驶证信息等）。</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2.1.7备品备件、耗材库的建立：中标方需在中标后1个月内建立好备品备件及耗材库，保障设备发生故障时48小时内及时修复。</w:t>
      </w:r>
    </w:p>
    <w:p>
      <w:pPr>
        <w:tabs>
          <w:tab w:val="left" w:pos="540"/>
          <w:tab w:val="left" w:pos="900"/>
        </w:tabs>
        <w:spacing w:before="120" w:after="120" w:line="264" w:lineRule="auto"/>
        <w:ind w:firstLine="420" w:firstLineChars="200"/>
        <w:jc w:val="left"/>
        <w:rPr>
          <w:bCs/>
          <w:color w:val="auto"/>
          <w:szCs w:val="21"/>
          <w:highlight w:val="none"/>
        </w:rPr>
      </w:pPr>
      <w:r>
        <w:rPr>
          <w:rFonts w:hint="eastAsia"/>
          <w:bCs/>
          <w:color w:val="auto"/>
          <w:szCs w:val="21"/>
          <w:highlight w:val="none"/>
        </w:rPr>
        <w:t>2</w:t>
      </w:r>
      <w:r>
        <w:rPr>
          <w:bCs/>
          <w:color w:val="auto"/>
          <w:szCs w:val="21"/>
          <w:highlight w:val="none"/>
        </w:rPr>
        <w:t>.1.8</w:t>
      </w:r>
      <w:r>
        <w:rPr>
          <w:rFonts w:hint="eastAsia"/>
          <w:bCs/>
          <w:color w:val="auto"/>
          <w:szCs w:val="21"/>
          <w:highlight w:val="none"/>
        </w:rPr>
        <w:t>服务要求：每年应当开展走航监测不少于6</w:t>
      </w:r>
      <w:r>
        <w:rPr>
          <w:bCs/>
          <w:color w:val="auto"/>
          <w:szCs w:val="21"/>
          <w:highlight w:val="none"/>
        </w:rPr>
        <w:t>0</w:t>
      </w:r>
      <w:r>
        <w:rPr>
          <w:rFonts w:hint="eastAsia"/>
          <w:bCs/>
          <w:color w:val="auto"/>
          <w:szCs w:val="21"/>
          <w:highlight w:val="none"/>
        </w:rPr>
        <w:t>次（含驾驶员、邮费、过路费）；每次走航提供一份分析报告。每次走航时间不低于6小时。</w:t>
      </w:r>
    </w:p>
    <w:p>
      <w:pPr>
        <w:tabs>
          <w:tab w:val="left" w:pos="540"/>
          <w:tab w:val="left" w:pos="900"/>
        </w:tabs>
        <w:spacing w:before="120" w:after="120" w:line="264" w:lineRule="auto"/>
        <w:ind w:firstLine="420" w:firstLineChars="200"/>
        <w:jc w:val="left"/>
        <w:rPr>
          <w:bCs/>
          <w:color w:val="auto"/>
          <w:szCs w:val="21"/>
          <w:highlight w:val="none"/>
        </w:rPr>
      </w:pPr>
      <w:r>
        <w:rPr>
          <w:rFonts w:hint="eastAsia"/>
          <w:bCs/>
          <w:color w:val="auto"/>
          <w:szCs w:val="21"/>
          <w:highlight w:val="none"/>
        </w:rPr>
        <w:t>2</w:t>
      </w:r>
      <w:r>
        <w:rPr>
          <w:bCs/>
          <w:color w:val="auto"/>
          <w:szCs w:val="21"/>
          <w:highlight w:val="none"/>
        </w:rPr>
        <w:t>.1.9</w:t>
      </w:r>
      <w:r>
        <w:rPr>
          <w:rFonts w:hint="eastAsia"/>
          <w:bCs/>
          <w:color w:val="auto"/>
          <w:szCs w:val="21"/>
          <w:highlight w:val="none"/>
        </w:rPr>
        <w:t>数据联网要求：走航期间配合业主完成走航监测数据的实时联网，达到实时展示的效果。</w:t>
      </w:r>
    </w:p>
    <w:p>
      <w:pPr>
        <w:tabs>
          <w:tab w:val="left" w:pos="540"/>
          <w:tab w:val="left" w:pos="900"/>
        </w:tabs>
        <w:spacing w:before="120" w:after="120" w:line="264" w:lineRule="auto"/>
        <w:ind w:firstLine="420" w:firstLineChars="200"/>
        <w:jc w:val="left"/>
        <w:rPr>
          <w:bCs/>
          <w:color w:val="auto"/>
          <w:szCs w:val="21"/>
          <w:highlight w:val="none"/>
        </w:rPr>
      </w:pPr>
      <w:r>
        <w:rPr>
          <w:rFonts w:hint="eastAsia"/>
          <w:bCs/>
          <w:color w:val="auto"/>
          <w:szCs w:val="21"/>
          <w:highlight w:val="none"/>
        </w:rPr>
        <w:t>2</w:t>
      </w:r>
      <w:r>
        <w:rPr>
          <w:bCs/>
          <w:color w:val="auto"/>
          <w:szCs w:val="21"/>
          <w:highlight w:val="none"/>
        </w:rPr>
        <w:t>.1.10</w:t>
      </w:r>
      <w:r>
        <w:rPr>
          <w:rFonts w:hint="eastAsia"/>
          <w:bCs/>
          <w:color w:val="auto"/>
          <w:szCs w:val="21"/>
          <w:highlight w:val="none"/>
        </w:rPr>
        <w:t xml:space="preserve"> 投标单位应具备该设备生产商提供的备件和耗材供货承诺函（仪器生产商或进口设备国内办事处可不提供承诺函，但需提供与仪器相关的证明材料）；</w:t>
      </w:r>
    </w:p>
    <w:p>
      <w:pPr>
        <w:tabs>
          <w:tab w:val="left" w:pos="540"/>
          <w:tab w:val="left" w:pos="900"/>
        </w:tabs>
        <w:spacing w:before="120" w:after="120" w:line="264" w:lineRule="auto"/>
        <w:ind w:firstLine="420" w:firstLineChars="200"/>
        <w:jc w:val="left"/>
        <w:rPr>
          <w:bCs/>
          <w:color w:val="auto"/>
          <w:szCs w:val="21"/>
          <w:highlight w:val="none"/>
        </w:rPr>
      </w:pPr>
      <w:r>
        <w:rPr>
          <w:rFonts w:hint="eastAsia"/>
          <w:bCs/>
          <w:color w:val="auto"/>
          <w:szCs w:val="21"/>
          <w:highlight w:val="none"/>
        </w:rPr>
        <w:t>2</w:t>
      </w:r>
      <w:r>
        <w:rPr>
          <w:bCs/>
          <w:color w:val="auto"/>
          <w:szCs w:val="21"/>
          <w:highlight w:val="none"/>
        </w:rPr>
        <w:t>.1.11</w:t>
      </w:r>
      <w:r>
        <w:rPr>
          <w:rFonts w:hint="eastAsia"/>
          <w:bCs/>
          <w:color w:val="auto"/>
          <w:szCs w:val="21"/>
          <w:highlight w:val="none"/>
        </w:rPr>
        <w:t>对1</w:t>
      </w:r>
      <w:r>
        <w:rPr>
          <w:bCs/>
          <w:color w:val="auto"/>
          <w:szCs w:val="21"/>
          <w:highlight w:val="none"/>
        </w:rPr>
        <w:t>3</w:t>
      </w:r>
      <w:r>
        <w:rPr>
          <w:rFonts w:hint="eastAsia"/>
          <w:bCs/>
          <w:color w:val="auto"/>
          <w:szCs w:val="21"/>
          <w:highlight w:val="none"/>
        </w:rPr>
        <w:t>个市进行拉曼雷达质控。</w:t>
      </w:r>
    </w:p>
    <w:p>
      <w:pPr>
        <w:tabs>
          <w:tab w:val="left" w:pos="540"/>
          <w:tab w:val="left" w:pos="900"/>
        </w:tabs>
        <w:spacing w:before="120" w:after="120" w:line="264" w:lineRule="auto"/>
        <w:ind w:firstLine="420" w:firstLineChars="200"/>
        <w:jc w:val="left"/>
        <w:rPr>
          <w:bCs/>
          <w:color w:val="auto"/>
          <w:szCs w:val="21"/>
          <w:highlight w:val="none"/>
        </w:rPr>
      </w:pPr>
      <w:r>
        <w:rPr>
          <w:rFonts w:hint="eastAsia"/>
          <w:bCs/>
          <w:color w:val="auto"/>
          <w:szCs w:val="21"/>
          <w:highlight w:val="none"/>
        </w:rPr>
        <w:t>2</w:t>
      </w:r>
      <w:r>
        <w:rPr>
          <w:bCs/>
          <w:color w:val="auto"/>
          <w:szCs w:val="21"/>
          <w:highlight w:val="none"/>
        </w:rPr>
        <w:t>.1.12</w:t>
      </w:r>
      <w:r>
        <w:rPr>
          <w:rFonts w:hint="eastAsia"/>
          <w:bCs/>
          <w:color w:val="auto"/>
          <w:szCs w:val="21"/>
          <w:highlight w:val="none"/>
        </w:rPr>
        <w:t>包含运维所需的耗材</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2.2运行维护工作目标</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2.2.1</w:t>
      </w:r>
      <w:r>
        <w:rPr>
          <w:rFonts w:hint="eastAsia"/>
          <w:bCs/>
          <w:color w:val="auto"/>
          <w:szCs w:val="21"/>
          <w:highlight w:val="none"/>
        </w:rPr>
        <w:t>开展走航监测期间，除了对表格内的四套设备运行维护外，还需协助对应的工程师对气溶胶质谱仪（ACSM）、黑碳监测仪等设备开展运维。</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2.2.2设备在线率：开展运维服务期间，确保</w:t>
      </w:r>
      <w:r>
        <w:rPr>
          <w:rFonts w:hint="eastAsia"/>
          <w:bCs/>
          <w:color w:val="auto"/>
          <w:szCs w:val="21"/>
          <w:highlight w:val="none"/>
        </w:rPr>
        <w:t>各项</w:t>
      </w:r>
      <w:r>
        <w:rPr>
          <w:bCs/>
          <w:color w:val="auto"/>
          <w:szCs w:val="21"/>
          <w:highlight w:val="none"/>
        </w:rPr>
        <w:t>仪器在线率不得低于90%（仪器在线率=仪器实际运行时间/仪器可运行时间）</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注：仪器实际运行时间为仪器开机运行且仪器内能获取监测数据的时间；仪器可运行时间=约定的总时间-仪器停机维护时间-仪器校准时间-不可抗力停机时间（如停电等）</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2.3运维工作内容</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2.3.1</w:t>
      </w:r>
      <w:r>
        <w:rPr>
          <w:rFonts w:hint="eastAsia"/>
          <w:bCs/>
          <w:color w:val="auto"/>
          <w:szCs w:val="21"/>
          <w:highlight w:val="none"/>
        </w:rPr>
        <w:t>监测车</w:t>
      </w:r>
      <w:r>
        <w:rPr>
          <w:bCs/>
          <w:color w:val="auto"/>
          <w:szCs w:val="21"/>
          <w:highlight w:val="none"/>
        </w:rPr>
        <w:t>的日常运行维护（</w:t>
      </w:r>
      <w:r>
        <w:rPr>
          <w:rFonts w:hint="eastAsia"/>
          <w:bCs/>
          <w:color w:val="auto"/>
          <w:szCs w:val="21"/>
          <w:highlight w:val="none"/>
        </w:rPr>
        <w:t>每次走航监测开始前、结束后</w:t>
      </w:r>
      <w:r>
        <w:rPr>
          <w:bCs/>
          <w:color w:val="auto"/>
          <w:szCs w:val="21"/>
          <w:highlight w:val="none"/>
        </w:rPr>
        <w:t>，包含耗材）；</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2.3.2协助完成流动车内的设备维修工作（相关维修费用由甲方支出）；</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2.3.3</w:t>
      </w:r>
      <w:r>
        <w:rPr>
          <w:rFonts w:hint="eastAsia"/>
          <w:bCs/>
          <w:color w:val="auto"/>
          <w:szCs w:val="21"/>
          <w:highlight w:val="none"/>
        </w:rPr>
        <w:t>各项仪器</w:t>
      </w:r>
      <w:r>
        <w:rPr>
          <w:bCs/>
          <w:color w:val="auto"/>
          <w:szCs w:val="21"/>
          <w:highlight w:val="none"/>
        </w:rPr>
        <w:t>按省中心要求，每月开机运行一次。</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2.4运维工作要求</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2.4.1每周巡检：流动车监测仪器在运行期间，运维人员每周巡检流动车1次，并做好巡查记录，主要工作包括</w:t>
      </w:r>
      <w:r>
        <w:rPr>
          <w:rFonts w:hint="eastAsia"/>
          <w:bCs/>
          <w:color w:val="auto"/>
          <w:szCs w:val="21"/>
          <w:highlight w:val="none"/>
        </w:rPr>
        <w:t>监测车</w:t>
      </w:r>
      <w:r>
        <w:rPr>
          <w:bCs/>
          <w:color w:val="auto"/>
          <w:szCs w:val="21"/>
          <w:highlight w:val="none"/>
        </w:rPr>
        <w:t>基本功能检查、监测仪运行参数检查和维护等、安全检查和卫生打扫。</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2.4.1.1查看设备是否齐备，是否有丢失和损坏；检查接地线路是否可靠，排风排气装置工作是否正常，标准气钢瓶阀门是否漏气，标准气的消耗情况；检查各仪器的运行状况，保证系统运行顺畅。</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2.4.1.2 检查</w:t>
      </w:r>
      <w:r>
        <w:rPr>
          <w:rFonts w:hint="eastAsia"/>
          <w:bCs/>
          <w:color w:val="auto"/>
          <w:szCs w:val="21"/>
          <w:highlight w:val="none"/>
        </w:rPr>
        <w:t>监测车</w:t>
      </w:r>
      <w:r>
        <w:rPr>
          <w:bCs/>
          <w:color w:val="auto"/>
          <w:szCs w:val="21"/>
          <w:highlight w:val="none"/>
        </w:rPr>
        <w:t>的通讯系统，保证</w:t>
      </w:r>
      <w:r>
        <w:rPr>
          <w:rFonts w:hint="eastAsia"/>
          <w:bCs/>
          <w:color w:val="auto"/>
          <w:szCs w:val="21"/>
          <w:highlight w:val="none"/>
        </w:rPr>
        <w:t>监测车的数据能实时联网。</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2.4.2每月工作内容如下：</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2.4.2.1</w:t>
      </w:r>
      <w:r>
        <w:rPr>
          <w:rFonts w:hint="eastAsia"/>
          <w:bCs/>
          <w:color w:val="auto"/>
          <w:szCs w:val="21"/>
          <w:highlight w:val="none"/>
        </w:rPr>
        <w:t>清洗车顶所有采样头及切割器。</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2.4.2.2检查</w:t>
      </w:r>
      <w:r>
        <w:rPr>
          <w:rFonts w:hint="eastAsia"/>
          <w:bCs/>
          <w:color w:val="auto"/>
          <w:szCs w:val="21"/>
          <w:highlight w:val="none"/>
        </w:rPr>
        <w:t>各台仪器设备的</w:t>
      </w:r>
      <w:r>
        <w:rPr>
          <w:bCs/>
          <w:color w:val="auto"/>
          <w:szCs w:val="21"/>
          <w:highlight w:val="none"/>
        </w:rPr>
        <w:t>流量，如果超过国家相关规范要求，需要进行校准，检查仪器是否漏气。</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2.4.3每季度工作内容如下：</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2.4.3.1 至少清洗一次采样总管及采样风机；</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2.4.4每半年工作内容如下：对</w:t>
      </w:r>
      <w:r>
        <w:rPr>
          <w:rFonts w:hint="eastAsia"/>
          <w:bCs/>
          <w:color w:val="auto"/>
          <w:szCs w:val="21"/>
          <w:highlight w:val="none"/>
        </w:rPr>
        <w:t>监测</w:t>
      </w:r>
      <w:r>
        <w:rPr>
          <w:bCs/>
          <w:color w:val="auto"/>
          <w:szCs w:val="21"/>
          <w:highlight w:val="none"/>
        </w:rPr>
        <w:t>流动车中</w:t>
      </w:r>
      <w:r>
        <w:rPr>
          <w:rFonts w:hint="eastAsia"/>
          <w:bCs/>
          <w:color w:val="auto"/>
          <w:szCs w:val="21"/>
          <w:highlight w:val="none"/>
        </w:rPr>
        <w:t>的</w:t>
      </w:r>
      <w:r>
        <w:rPr>
          <w:bCs/>
          <w:color w:val="auto"/>
          <w:szCs w:val="21"/>
          <w:highlight w:val="none"/>
        </w:rPr>
        <w:t>发电机进行保养维护</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每年（合同期内）工作内容如下：</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2.4.4.5对所有的仪器进行预防性维护，按说明书的要求更换备件。</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2.4.4.6更换所有泵组件（易损件）。</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2.4.5其他</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2.4.5.1当有大型活动或应急事故发生时，需安排人员配合省中心确保相关仪器设备的正常运行。</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2.4.5.2流动车设备运行期间，需提供无线传输设备，保证相关工作人员能随时查看监测数据。</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2.4.5.3每月对运行期间监测数据进行一次备份，并交付甲方。</w:t>
      </w:r>
    </w:p>
    <w:p>
      <w:pPr>
        <w:spacing w:before="120" w:after="120" w:line="264" w:lineRule="auto"/>
        <w:ind w:firstLine="420" w:firstLineChars="200"/>
        <w:jc w:val="left"/>
        <w:rPr>
          <w:color w:val="auto"/>
          <w:szCs w:val="21"/>
          <w:highlight w:val="none"/>
        </w:rPr>
      </w:pPr>
      <w:r>
        <w:rPr>
          <w:rFonts w:hint="eastAsia"/>
          <w:color w:val="auto"/>
          <w:szCs w:val="21"/>
          <w:highlight w:val="none"/>
        </w:rPr>
        <w:t>2</w:t>
      </w:r>
      <w:r>
        <w:rPr>
          <w:color w:val="auto"/>
          <w:szCs w:val="21"/>
          <w:highlight w:val="none"/>
        </w:rPr>
        <w:t xml:space="preserve">.5 </w:t>
      </w:r>
      <w:r>
        <w:rPr>
          <w:rFonts w:hint="eastAsia"/>
          <w:color w:val="auto"/>
          <w:szCs w:val="21"/>
          <w:highlight w:val="none"/>
        </w:rPr>
        <w:t>针对监测车上各项设备的整体要求</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2.5.1投标单位应在投标项目所在地设计技术支持机构，至少配备2名运维技术人员常年驻守。同时确保1辆专车用于保障日常巡检。</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2.5.2投标单位应为运维人员配备专用仪器维修工具（包括万用表、工具箱等）、通讯调试工具（包括各种硬件接口线、改线工具、接口调试软件及常用零部件等）；</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2.5.3投标单位应提供完整的运维人员管理方案，提出解决稳定人员队伍的措施；</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2.5.4投标单位应提供详细的运维管理服务方案；</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2.5.5如仪器出现现场不能解决的故障，需要返厂维修，投标单位应在一周之内配合业主联系原厂开展此项工作。</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2.5.6投标单位应在运维期间为业主提供一次仪器操作培训和一次数据分析培训。</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2.5.7投标单位应在运维期间安排一次原厂技术人员整机评估测试。</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2.5.8在该设备代维及管理期间，投标单位应严格按照业主要求的操作规范和规章制度（详见技术运维要求部分），对所管理的系统及仪器设备进行规范操作和精心维护及必要维修，保证系统及仪器设备的正常运行，满足省环境监测中心提出的系统及仪器设备考核指标要求</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2.5.9设备在线率：开展运维服务期间，需确保仪器在线率不得低于90%（仪器在线率=仪器实际运行时间/仪器可运行时间）</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注：仪器实际运行时间为仪器开机运行且仪器内能获取监测数据的时间；仪器可运行时间=约定的总时间-仪器停机维护时间-仪器校准时间-不可抗力停机时间（如停电等）</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2.5.10有效数据获取率：开展运维服务期间，需确保仪器有效数据获取率不得低于85%（有效数据获取率=有效监测数据量/获取监测数据量）</w:t>
      </w:r>
    </w:p>
    <w:p>
      <w:pPr>
        <w:spacing w:before="120" w:after="120" w:line="264" w:lineRule="auto"/>
        <w:ind w:firstLine="422" w:firstLineChars="200"/>
        <w:jc w:val="left"/>
        <w:rPr>
          <w:b/>
          <w:color w:val="auto"/>
          <w:szCs w:val="21"/>
          <w:highlight w:val="none"/>
        </w:rPr>
      </w:pPr>
      <w:r>
        <w:rPr>
          <w:rFonts w:hint="eastAsia"/>
          <w:b/>
          <w:color w:val="auto"/>
          <w:szCs w:val="21"/>
          <w:highlight w:val="none"/>
        </w:rPr>
        <w:t>三</w:t>
      </w:r>
      <w:r>
        <w:rPr>
          <w:b/>
          <w:color w:val="auto"/>
          <w:szCs w:val="21"/>
          <w:highlight w:val="none"/>
        </w:rPr>
        <w:t>、</w:t>
      </w:r>
      <w:r>
        <w:rPr>
          <w:rFonts w:hint="eastAsia"/>
          <w:b/>
          <w:color w:val="auto"/>
          <w:szCs w:val="21"/>
          <w:highlight w:val="none"/>
        </w:rPr>
        <w:t>颗粒物水溶性组分质控比对分析仪</w:t>
      </w:r>
      <w:r>
        <w:rPr>
          <w:b/>
          <w:color w:val="auto"/>
          <w:szCs w:val="21"/>
          <w:highlight w:val="none"/>
        </w:rPr>
        <w:t>运维项目需求：</w:t>
      </w:r>
    </w:p>
    <w:p>
      <w:pPr>
        <w:tabs>
          <w:tab w:val="left" w:pos="540"/>
          <w:tab w:val="left" w:pos="900"/>
        </w:tabs>
        <w:spacing w:before="120" w:after="120" w:line="264" w:lineRule="auto"/>
        <w:ind w:firstLine="420" w:firstLineChars="200"/>
        <w:jc w:val="left"/>
        <w:rPr>
          <w:bCs/>
          <w:color w:val="auto"/>
          <w:szCs w:val="21"/>
          <w:highlight w:val="none"/>
        </w:rPr>
      </w:pPr>
      <w:bookmarkStart w:id="20" w:name="_Toc372903674"/>
      <w:bookmarkStart w:id="21" w:name="_Toc360093807"/>
      <w:r>
        <w:rPr>
          <w:bCs/>
          <w:color w:val="auto"/>
          <w:szCs w:val="21"/>
          <w:highlight w:val="none"/>
        </w:rPr>
        <w:t>该设备运维服务需求为技术运维服务，包含仪器运行所使用的耗材、配件</w:t>
      </w:r>
      <w:r>
        <w:rPr>
          <w:rFonts w:hint="eastAsia"/>
          <w:bCs/>
          <w:color w:val="auto"/>
          <w:szCs w:val="21"/>
          <w:highlight w:val="none"/>
        </w:rPr>
        <w:t>。</w:t>
      </w:r>
    </w:p>
    <w:p>
      <w:pPr>
        <w:tabs>
          <w:tab w:val="left" w:pos="540"/>
          <w:tab w:val="left" w:pos="900"/>
        </w:tabs>
        <w:spacing w:before="120" w:after="120" w:line="264" w:lineRule="auto"/>
        <w:ind w:firstLine="420" w:firstLineChars="200"/>
        <w:jc w:val="left"/>
        <w:rPr>
          <w:bCs/>
          <w:color w:val="auto"/>
          <w:szCs w:val="21"/>
          <w:highlight w:val="none"/>
        </w:rPr>
      </w:pPr>
      <w:r>
        <w:rPr>
          <w:rFonts w:hint="eastAsia"/>
          <w:bCs/>
          <w:color w:val="auto"/>
          <w:szCs w:val="21"/>
          <w:highlight w:val="none"/>
        </w:rPr>
        <w:t>3</w:t>
      </w:r>
      <w:r>
        <w:rPr>
          <w:bCs/>
          <w:color w:val="auto"/>
          <w:szCs w:val="21"/>
          <w:highlight w:val="none"/>
        </w:rPr>
        <w:t>.1技术运维要求</w:t>
      </w:r>
    </w:p>
    <w:bookmarkEnd w:id="20"/>
    <w:bookmarkEnd w:id="21"/>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3.3.1每日例行质量控制检查：每日远程登陆仪器检查阴、阳离子柱压，采样流量，内标响应状况等仪器参数，及时填写日质控记录；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3.3.2、每周例行质控：现场更换仪器工作所需的纯水和配制相应的试剂，依据周期更换采样单元过滤头、吸收液和淋洗液，检查进样系统是否有气泡，数据库数据检查、备份，负责对仪器工作区域进行保洁，及时填写质量控制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3.3.3、每月预防性质量查核：清洗室外切割器，排除管路气泡，更换保护柱滤芯，对各传动部件进行相应的清理和润滑工作，保证仪器良好的状况，填写预防性维护记录。</w:t>
      </w:r>
      <w:r>
        <w:rPr>
          <w:rFonts w:hint="eastAsia"/>
          <w:color w:val="auto"/>
          <w:szCs w:val="21"/>
          <w:highlight w:val="none"/>
        </w:rPr>
        <w:t>每月进行一次采样流量核查工作，确保与仪器规定的采样流量相符，如果流量误差超出5%的偏差需进行多点校准。</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3.3.4、每季度系统性质量控制：每季度需进行一次分析单元标定及采样单元的清洗工作</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3.3.4.1每季度清洗采样总管一次，依据阴、阳离子柱状态，在需要的情况下及时更换色谱柱，对所有配制和储存溶液的容器进行除菌，及时填写相关记录。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3.3.4.2每季度进行一次采样单元与样品前端收集单元清洗，每次清洗时间不得低于12小时，系统自清洗状态恢复至分析状态不得低于4小时。</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3.3.5、每半年质量查核：每半年更换阴阳离子进样系统定量环，更换阴阳离子柱淋洗液过滤头，及时填写相关记录。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3.3.6、每年</w:t>
      </w:r>
      <w:r>
        <w:rPr>
          <w:rFonts w:hint="eastAsia"/>
          <w:color w:val="auto"/>
          <w:szCs w:val="21"/>
          <w:highlight w:val="none"/>
        </w:rPr>
        <w:t>核查一次离子色谱</w:t>
      </w:r>
      <w:r>
        <w:rPr>
          <w:color w:val="auto"/>
          <w:szCs w:val="21"/>
          <w:highlight w:val="none"/>
        </w:rPr>
        <w:t>的系统背景值，并根据用户需求配置不同浓度的SO2标准品，验证全系统对SO2的回收效率，并及时填写记录。</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3.3.7、每年质量评价：每年度对</w:t>
      </w:r>
      <w:r>
        <w:rPr>
          <w:rFonts w:hint="eastAsia"/>
          <w:color w:val="auto"/>
          <w:szCs w:val="21"/>
          <w:highlight w:val="none"/>
        </w:rPr>
        <w:t>离子色谱</w:t>
      </w:r>
      <w:r>
        <w:rPr>
          <w:color w:val="auto"/>
          <w:szCs w:val="21"/>
          <w:highlight w:val="none"/>
        </w:rPr>
        <w:t>进行全年运行质量评价，及时填写相关记录，并编制年度质量控制报告。</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3.3.8、根据仪器状况及时更换仪器所需的上述未提到的配件，以保证仪器正常运行。</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3.3.9</w:t>
      </w:r>
      <w:r>
        <w:rPr>
          <w:rFonts w:hint="eastAsia"/>
          <w:color w:val="auto"/>
          <w:szCs w:val="21"/>
          <w:highlight w:val="none"/>
        </w:rPr>
        <w:t>、辅助设备保障：依据周期更换颗粒物水溶性组分质控比对分析仪的淋洗液、保护柱滤芯、阴、阳离子色谱柱等耗材，定期开展设备标定工作，保证仪器正常稳定运行。</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3.3.10、接到用户故障信息后，2小时内远程协助，24小时内到达现场。</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3.3.11、大型活动保障。质控服务方依据用户提前通知的要求，在年度内有大型赛事、活动和重污染物天气时间段内，提供加密质控保障工作。</w:t>
      </w:r>
    </w:p>
    <w:p>
      <w:pPr>
        <w:tabs>
          <w:tab w:val="left" w:pos="540"/>
          <w:tab w:val="left" w:pos="900"/>
        </w:tabs>
        <w:spacing w:before="120" w:after="120" w:line="264" w:lineRule="auto"/>
        <w:ind w:firstLine="420" w:firstLineChars="200"/>
        <w:jc w:val="left"/>
        <w:rPr>
          <w:color w:val="auto"/>
          <w:szCs w:val="21"/>
          <w:highlight w:val="none"/>
        </w:rPr>
      </w:pP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3.4质控要求</w:t>
      </w:r>
    </w:p>
    <w:p>
      <w:pPr>
        <w:tabs>
          <w:tab w:val="left" w:pos="540"/>
          <w:tab w:val="left" w:pos="900"/>
        </w:tabs>
        <w:spacing w:before="120" w:after="120" w:line="264" w:lineRule="auto"/>
        <w:ind w:firstLine="420" w:firstLineChars="200"/>
        <w:jc w:val="left"/>
        <w:rPr>
          <w:color w:val="auto"/>
          <w:szCs w:val="21"/>
          <w:highlight w:val="none"/>
        </w:rPr>
      </w:pPr>
      <w:r>
        <w:rPr>
          <w:color w:val="auto"/>
          <w:szCs w:val="21"/>
          <w:highlight w:val="none"/>
        </w:rPr>
        <w:t>3.4.1、仪器运行期间，根据用户需求每季度配置不同浓度标液对分析单元进行标定并及时填写记录。</w:t>
      </w:r>
    </w:p>
    <w:p>
      <w:pPr>
        <w:tabs>
          <w:tab w:val="left" w:pos="540"/>
          <w:tab w:val="left" w:pos="900"/>
        </w:tabs>
        <w:spacing w:before="120" w:after="120" w:line="264" w:lineRule="auto"/>
        <w:ind w:firstLine="420" w:firstLineChars="200"/>
        <w:jc w:val="left"/>
        <w:rPr>
          <w:color w:val="auto"/>
          <w:szCs w:val="21"/>
          <w:highlight w:val="none"/>
        </w:rPr>
      </w:pPr>
    </w:p>
    <w:p>
      <w:pPr>
        <w:spacing w:before="120" w:after="120" w:line="264" w:lineRule="auto"/>
        <w:ind w:firstLine="420" w:firstLineChars="200"/>
        <w:jc w:val="left"/>
        <w:rPr>
          <w:color w:val="auto"/>
          <w:szCs w:val="21"/>
          <w:highlight w:val="none"/>
        </w:rPr>
      </w:pPr>
      <w:r>
        <w:rPr>
          <w:color w:val="auto"/>
          <w:szCs w:val="21"/>
          <w:highlight w:val="none"/>
        </w:rPr>
        <w:t>3.5运维记录与报告</w:t>
      </w:r>
    </w:p>
    <w:p>
      <w:pPr>
        <w:spacing w:before="120" w:after="120" w:line="264" w:lineRule="auto"/>
        <w:ind w:firstLine="420" w:firstLineChars="200"/>
        <w:jc w:val="left"/>
        <w:rPr>
          <w:color w:val="auto"/>
          <w:szCs w:val="21"/>
          <w:highlight w:val="none"/>
        </w:rPr>
      </w:pPr>
      <w:r>
        <w:rPr>
          <w:color w:val="auto"/>
          <w:szCs w:val="21"/>
          <w:highlight w:val="none"/>
        </w:rPr>
        <w:t>3.5.1、依据仪器特性及上述运维要求，编制相应运维、质控记录表单。</w:t>
      </w:r>
    </w:p>
    <w:p>
      <w:pPr>
        <w:spacing w:before="120" w:after="120" w:line="264" w:lineRule="auto"/>
        <w:ind w:firstLine="420" w:firstLineChars="200"/>
        <w:jc w:val="left"/>
        <w:rPr>
          <w:color w:val="auto"/>
          <w:szCs w:val="21"/>
          <w:highlight w:val="none"/>
        </w:rPr>
      </w:pPr>
      <w:r>
        <w:rPr>
          <w:color w:val="auto"/>
          <w:szCs w:val="21"/>
          <w:highlight w:val="none"/>
        </w:rPr>
        <w:t>3.5.2、依据技术运维要求，每月提交相应技术运维记录。</w:t>
      </w:r>
    </w:p>
    <w:p>
      <w:pPr>
        <w:spacing w:before="120" w:after="120" w:line="264" w:lineRule="auto"/>
        <w:ind w:firstLine="420" w:firstLineChars="200"/>
        <w:jc w:val="left"/>
        <w:rPr>
          <w:color w:val="auto"/>
          <w:szCs w:val="21"/>
          <w:highlight w:val="none"/>
        </w:rPr>
      </w:pPr>
      <w:r>
        <w:rPr>
          <w:color w:val="auto"/>
          <w:szCs w:val="21"/>
          <w:highlight w:val="none"/>
        </w:rPr>
        <w:t>3.5.3、</w:t>
      </w:r>
      <w:r>
        <w:rPr>
          <w:rFonts w:hint="eastAsia"/>
          <w:color w:val="auto"/>
          <w:szCs w:val="21"/>
          <w:highlight w:val="none"/>
        </w:rPr>
        <w:t>每年度</w:t>
      </w:r>
      <w:r>
        <w:rPr>
          <w:color w:val="auto"/>
          <w:szCs w:val="21"/>
          <w:highlight w:val="none"/>
        </w:rPr>
        <w:t>提交运维总结报告。运维总结报告需包含履行运维工作期间开展的所有运维工作内容及相关原始技术记录，并附开展现场运维、质控工作时的现场照片，并统计所有质控样品结果，并进行符合性分析；同时结合履行运维服务期间仪器运行、质控、故障、维修等情况，提出改善性建议。</w:t>
      </w:r>
    </w:p>
    <w:p>
      <w:pPr>
        <w:spacing w:before="120" w:after="120" w:line="264" w:lineRule="auto"/>
        <w:ind w:firstLine="420" w:firstLineChars="200"/>
        <w:jc w:val="left"/>
        <w:rPr>
          <w:color w:val="auto"/>
          <w:szCs w:val="21"/>
          <w:highlight w:val="none"/>
        </w:rPr>
      </w:pPr>
      <w:r>
        <w:rPr>
          <w:color w:val="auto"/>
          <w:szCs w:val="21"/>
          <w:highlight w:val="none"/>
        </w:rPr>
        <w:t>3.5.4、依据运维总结报告制作汇报材料（PPT）向业主进行总结性汇报。</w:t>
      </w:r>
    </w:p>
    <w:p>
      <w:pPr>
        <w:spacing w:before="120" w:after="120" w:line="264" w:lineRule="auto"/>
        <w:ind w:firstLine="420" w:firstLineChars="200"/>
        <w:jc w:val="left"/>
        <w:rPr>
          <w:color w:val="auto"/>
          <w:szCs w:val="21"/>
          <w:highlight w:val="none"/>
        </w:rPr>
      </w:pPr>
    </w:p>
    <w:p>
      <w:pPr>
        <w:spacing w:before="120" w:after="120" w:line="264" w:lineRule="auto"/>
        <w:ind w:firstLine="420" w:firstLineChars="200"/>
        <w:jc w:val="left"/>
        <w:rPr>
          <w:color w:val="auto"/>
          <w:szCs w:val="21"/>
          <w:highlight w:val="none"/>
        </w:rPr>
      </w:pPr>
      <w:r>
        <w:rPr>
          <w:color w:val="auto"/>
          <w:szCs w:val="21"/>
          <w:highlight w:val="none"/>
        </w:rPr>
        <w:t>3.6辅助服务要求</w:t>
      </w:r>
    </w:p>
    <w:p>
      <w:pPr>
        <w:spacing w:before="120" w:after="120" w:line="264" w:lineRule="auto"/>
        <w:ind w:firstLine="420" w:firstLineChars="200"/>
        <w:jc w:val="left"/>
        <w:rPr>
          <w:color w:val="auto"/>
          <w:szCs w:val="21"/>
          <w:highlight w:val="none"/>
        </w:rPr>
      </w:pPr>
      <w:r>
        <w:rPr>
          <w:color w:val="auto"/>
          <w:szCs w:val="21"/>
          <w:highlight w:val="none"/>
        </w:rPr>
        <w:t>3.6.1、仪器发生故障时，配合业主开展仪器维修相关工作；</w:t>
      </w:r>
    </w:p>
    <w:p>
      <w:pPr>
        <w:spacing w:before="120" w:after="120" w:line="264" w:lineRule="auto"/>
        <w:ind w:firstLine="420" w:firstLineChars="200"/>
        <w:jc w:val="left"/>
        <w:rPr>
          <w:color w:val="auto"/>
          <w:szCs w:val="21"/>
          <w:highlight w:val="none"/>
        </w:rPr>
      </w:pPr>
      <w:r>
        <w:rPr>
          <w:color w:val="auto"/>
          <w:szCs w:val="21"/>
          <w:highlight w:val="none"/>
        </w:rPr>
        <w:t>3.6.2、定期配合业主开展仪器配件、耗材库存清点工作，制定采购规划；</w:t>
      </w:r>
    </w:p>
    <w:p>
      <w:pPr>
        <w:spacing w:before="120" w:after="120" w:line="264" w:lineRule="auto"/>
        <w:ind w:firstLine="420" w:firstLineChars="200"/>
        <w:jc w:val="left"/>
        <w:rPr>
          <w:color w:val="auto"/>
          <w:szCs w:val="21"/>
          <w:highlight w:val="none"/>
        </w:rPr>
      </w:pPr>
      <w:r>
        <w:rPr>
          <w:color w:val="auto"/>
          <w:szCs w:val="21"/>
          <w:highlight w:val="none"/>
        </w:rPr>
        <w:t>3.6.3</w:t>
      </w:r>
      <w:r>
        <w:rPr>
          <w:rFonts w:hint="eastAsia"/>
          <w:color w:val="auto"/>
          <w:szCs w:val="21"/>
          <w:highlight w:val="none"/>
        </w:rPr>
        <w:t>、每次运维工作完成后对工作区域进行清洁整理；</w:t>
      </w:r>
    </w:p>
    <w:p>
      <w:pPr>
        <w:spacing w:before="120" w:after="120" w:line="264" w:lineRule="auto"/>
        <w:ind w:firstLine="420" w:firstLineChars="200"/>
        <w:jc w:val="left"/>
        <w:rPr>
          <w:color w:val="auto"/>
          <w:szCs w:val="21"/>
          <w:highlight w:val="none"/>
        </w:rPr>
      </w:pPr>
      <w:r>
        <w:rPr>
          <w:color w:val="auto"/>
          <w:szCs w:val="21"/>
          <w:highlight w:val="none"/>
        </w:rPr>
        <w:t>3</w:t>
      </w:r>
      <w:r>
        <w:rPr>
          <w:rFonts w:hint="eastAsia"/>
          <w:color w:val="auto"/>
          <w:szCs w:val="21"/>
          <w:highlight w:val="none"/>
        </w:rPr>
        <w:t>.6.4 、按业主安排的值班表每周在站房值班1天，开展清洁卫生和安全检查工作；</w:t>
      </w:r>
    </w:p>
    <w:p>
      <w:pPr>
        <w:spacing w:before="120" w:after="120" w:line="264" w:lineRule="auto"/>
        <w:ind w:firstLine="420" w:firstLineChars="200"/>
        <w:jc w:val="left"/>
        <w:rPr>
          <w:color w:val="auto"/>
          <w:szCs w:val="21"/>
          <w:highlight w:val="none"/>
        </w:rPr>
      </w:pPr>
      <w:r>
        <w:rPr>
          <w:color w:val="auto"/>
          <w:szCs w:val="21"/>
          <w:highlight w:val="none"/>
        </w:rPr>
        <w:t>3.6</w:t>
      </w:r>
      <w:r>
        <w:rPr>
          <w:rFonts w:hint="eastAsia"/>
          <w:color w:val="auto"/>
          <w:szCs w:val="21"/>
          <w:highlight w:val="none"/>
        </w:rPr>
        <w:t>.5</w:t>
      </w:r>
      <w:r>
        <w:rPr>
          <w:color w:val="auto"/>
          <w:szCs w:val="21"/>
          <w:highlight w:val="none"/>
        </w:rPr>
        <w:t>、运维期满后，配合业主进行仪器交接，交接期间承担仪器正常运维工作（不包括质控工作</w:t>
      </w:r>
      <w:r>
        <w:rPr>
          <w:rFonts w:hint="eastAsia"/>
          <w:color w:val="auto"/>
          <w:szCs w:val="21"/>
          <w:highlight w:val="none"/>
        </w:rPr>
        <w:t>；</w:t>
      </w:r>
    </w:p>
    <w:p>
      <w:pPr>
        <w:spacing w:before="120" w:after="120" w:line="264" w:lineRule="auto"/>
        <w:ind w:firstLine="420" w:firstLineChars="200"/>
        <w:jc w:val="left"/>
        <w:rPr>
          <w:color w:val="auto"/>
          <w:szCs w:val="21"/>
          <w:highlight w:val="none"/>
        </w:rPr>
      </w:pPr>
      <w:r>
        <w:rPr>
          <w:color w:val="auto"/>
          <w:szCs w:val="21"/>
          <w:highlight w:val="none"/>
        </w:rPr>
        <w:t>3.6.6</w:t>
      </w:r>
      <w:r>
        <w:rPr>
          <w:rFonts w:hint="eastAsia"/>
          <w:color w:val="auto"/>
          <w:szCs w:val="21"/>
          <w:highlight w:val="none"/>
        </w:rPr>
        <w:t>配合业主开展离线样品分析工作。</w:t>
      </w:r>
    </w:p>
    <w:p>
      <w:pPr>
        <w:spacing w:before="120" w:after="120" w:line="264" w:lineRule="auto"/>
        <w:ind w:firstLine="420" w:firstLineChars="200"/>
        <w:jc w:val="left"/>
        <w:rPr>
          <w:color w:val="auto"/>
          <w:szCs w:val="21"/>
          <w:highlight w:val="none"/>
        </w:rPr>
      </w:pPr>
      <w:bookmarkStart w:id="22" w:name="_Hlk149219989"/>
      <w:r>
        <w:rPr>
          <w:rFonts w:hint="eastAsia"/>
          <w:color w:val="auto"/>
          <w:szCs w:val="21"/>
          <w:highlight w:val="none"/>
        </w:rPr>
        <w:t>3.</w:t>
      </w:r>
      <w:r>
        <w:rPr>
          <w:color w:val="auto"/>
          <w:szCs w:val="21"/>
          <w:highlight w:val="none"/>
        </w:rPr>
        <w:t>7</w:t>
      </w:r>
      <w:r>
        <w:rPr>
          <w:rFonts w:hint="eastAsia"/>
          <w:color w:val="auto"/>
          <w:szCs w:val="21"/>
          <w:highlight w:val="none"/>
        </w:rPr>
        <w:t xml:space="preserve"> 根据仪器状况及时更换仪器所需的配件，以保证仪器正常运行。更换后的耗材应留存备查。主要耗材更换的频率不少于每年4根阴离子柱、4根阳离子柱、10根保护柱，过滤头、泵管、电磁阀、过滤芯等耗材应根据实际耗损情况及时更换。</w:t>
      </w:r>
    </w:p>
    <w:bookmarkEnd w:id="22"/>
    <w:p>
      <w:pPr>
        <w:spacing w:before="120" w:after="120" w:line="264" w:lineRule="auto"/>
        <w:ind w:firstLine="420" w:firstLineChars="200"/>
        <w:jc w:val="left"/>
        <w:rPr>
          <w:color w:val="auto"/>
          <w:highlight w:val="none"/>
        </w:rPr>
      </w:pPr>
    </w:p>
    <w:p>
      <w:pPr>
        <w:spacing w:before="120" w:after="120" w:line="264" w:lineRule="auto"/>
        <w:ind w:firstLine="422" w:firstLineChars="200"/>
        <w:jc w:val="left"/>
        <w:rPr>
          <w:b/>
          <w:color w:val="auto"/>
          <w:szCs w:val="21"/>
          <w:highlight w:val="none"/>
        </w:rPr>
      </w:pPr>
      <w:r>
        <w:rPr>
          <w:rFonts w:hint="eastAsia"/>
          <w:b/>
          <w:color w:val="auto"/>
          <w:szCs w:val="21"/>
          <w:highlight w:val="none"/>
        </w:rPr>
        <w:t>四</w:t>
      </w:r>
      <w:r>
        <w:rPr>
          <w:b/>
          <w:color w:val="auto"/>
          <w:szCs w:val="21"/>
          <w:highlight w:val="none"/>
        </w:rPr>
        <w:t>、</w:t>
      </w:r>
      <w:r>
        <w:rPr>
          <w:rFonts w:hint="eastAsia"/>
          <w:b/>
          <w:color w:val="auto"/>
          <w:szCs w:val="21"/>
          <w:highlight w:val="none"/>
        </w:rPr>
        <w:t>车载VOC走航分析仪</w:t>
      </w:r>
      <w:r>
        <w:rPr>
          <w:b/>
          <w:color w:val="auto"/>
          <w:szCs w:val="21"/>
          <w:highlight w:val="none"/>
        </w:rPr>
        <w:t>运维项目需求：</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该设备运维服务需求为技术运维服务，包含仪器运行所使用的耗材、配件</w:t>
      </w:r>
      <w:r>
        <w:rPr>
          <w:rFonts w:hint="eastAsia"/>
          <w:bCs/>
          <w:color w:val="auto"/>
          <w:szCs w:val="21"/>
          <w:highlight w:val="none"/>
        </w:rPr>
        <w:t>、</w:t>
      </w:r>
      <w:r>
        <w:rPr>
          <w:bCs/>
          <w:color w:val="auto"/>
          <w:szCs w:val="21"/>
          <w:highlight w:val="none"/>
        </w:rPr>
        <w:t>具体要求如下：</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4.1技术运维要求</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4</w:t>
      </w:r>
      <w:r>
        <w:rPr>
          <w:rFonts w:hint="eastAsia"/>
          <w:bCs/>
          <w:color w:val="auto"/>
          <w:szCs w:val="21"/>
          <w:highlight w:val="none"/>
        </w:rPr>
        <w:t>.1.1针对大气挥发性有机物走航监测车进行常规运维、耗材更换、仪器校准、质控。</w:t>
      </w:r>
      <w:r>
        <w:rPr>
          <w:bCs/>
          <w:color w:val="auto"/>
          <w:szCs w:val="21"/>
          <w:highlight w:val="none"/>
        </w:rPr>
        <w:t>4</w:t>
      </w:r>
      <w:r>
        <w:rPr>
          <w:rFonts w:hint="eastAsia"/>
          <w:bCs/>
          <w:color w:val="auto"/>
          <w:szCs w:val="21"/>
          <w:highlight w:val="none"/>
        </w:rPr>
        <w:t>.1.</w:t>
      </w:r>
      <w:r>
        <w:rPr>
          <w:bCs/>
          <w:color w:val="auto"/>
          <w:szCs w:val="21"/>
          <w:highlight w:val="none"/>
        </w:rPr>
        <w:t>2</w:t>
      </w:r>
      <w:r>
        <w:rPr>
          <w:rFonts w:hint="eastAsia"/>
          <w:bCs/>
          <w:color w:val="auto"/>
          <w:szCs w:val="21"/>
          <w:highlight w:val="none"/>
        </w:rPr>
        <w:t>运维单位在合同签订后备齐运维时间段内所需原厂耗材。</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 xml:space="preserve">4.1.3 </w:t>
      </w:r>
      <w:r>
        <w:rPr>
          <w:rFonts w:hint="eastAsia"/>
          <w:bCs/>
          <w:color w:val="auto"/>
          <w:szCs w:val="21"/>
          <w:highlight w:val="none"/>
        </w:rPr>
        <w:t>软件升级：在服务期内，同型号仪器若有新的软件或升级程序，运维单位应及时向采购人提供；并经采购人确认是否需要升级，无论是否升级均不再另外收取费用。前述升级并不包含硬件等非软件升级，若涉及硬件等非软件升级，将另行与采购人确认.</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 xml:space="preserve">4.2 </w:t>
      </w:r>
      <w:r>
        <w:rPr>
          <w:rFonts w:hint="eastAsia"/>
          <w:bCs/>
          <w:color w:val="auto"/>
          <w:szCs w:val="21"/>
          <w:highlight w:val="none"/>
        </w:rPr>
        <w:t>具体运维要求</w:t>
      </w:r>
    </w:p>
    <w:p>
      <w:pPr>
        <w:spacing w:before="120" w:after="120" w:line="264" w:lineRule="auto"/>
        <w:ind w:firstLine="420" w:firstLineChars="200"/>
        <w:jc w:val="left"/>
        <w:rPr>
          <w:color w:val="auto"/>
          <w:highlight w:val="none"/>
        </w:rPr>
      </w:pPr>
      <w:r>
        <w:rPr>
          <w:rFonts w:hint="eastAsia"/>
          <w:color w:val="auto"/>
          <w:highlight w:val="none"/>
        </w:rPr>
        <w:t>4</w:t>
      </w:r>
      <w:r>
        <w:rPr>
          <w:color w:val="auto"/>
          <w:highlight w:val="none"/>
        </w:rPr>
        <w:t xml:space="preserve">.2.1 </w:t>
      </w:r>
      <w:r>
        <w:rPr>
          <w:rFonts w:hint="eastAsia"/>
          <w:color w:val="auto"/>
          <w:highlight w:val="none"/>
        </w:rPr>
        <w:t>每日：查看仪器采集软件、分析软件运行是否正常。检查仪器是否有异常报警，数据传输是否正常。监测车供电电源检查（包括总电源开关、电表、供电电压、防感应雷部件等）；仪器电路及其通讯口连接检查（包括检查通讯口连接是否牢固、连接是否通畅等）</w:t>
      </w:r>
    </w:p>
    <w:p>
      <w:pPr>
        <w:spacing w:before="120" w:after="120" w:line="264" w:lineRule="auto"/>
        <w:ind w:firstLine="420" w:firstLineChars="200"/>
        <w:jc w:val="left"/>
        <w:rPr>
          <w:rStyle w:val="194"/>
          <w:rFonts w:cs="宋体"/>
          <w:color w:val="auto"/>
          <w:szCs w:val="21"/>
          <w:highlight w:val="none"/>
        </w:rPr>
      </w:pPr>
      <w:r>
        <w:rPr>
          <w:rStyle w:val="194"/>
          <w:rFonts w:hint="eastAsia" w:cs="宋体"/>
          <w:color w:val="auto"/>
          <w:szCs w:val="21"/>
          <w:highlight w:val="none"/>
        </w:rPr>
        <w:t>4</w:t>
      </w:r>
      <w:r>
        <w:rPr>
          <w:rStyle w:val="194"/>
          <w:rFonts w:cs="宋体"/>
          <w:color w:val="auto"/>
          <w:szCs w:val="21"/>
          <w:highlight w:val="none"/>
        </w:rPr>
        <w:t>.2.2</w:t>
      </w:r>
      <w:r>
        <w:rPr>
          <w:rStyle w:val="194"/>
          <w:rFonts w:hint="eastAsia" w:cs="宋体"/>
          <w:color w:val="auto"/>
          <w:szCs w:val="21"/>
          <w:highlight w:val="none"/>
        </w:rPr>
        <w:t>每周：标准气瓶、减压阀及其气路连接漏气检查（包括检查标准气瓶是否过期、减压阀是否正常等）</w:t>
      </w:r>
    </w:p>
    <w:p>
      <w:pPr>
        <w:spacing w:before="120" w:after="120" w:line="264" w:lineRule="auto"/>
        <w:ind w:firstLine="420" w:firstLineChars="200"/>
        <w:jc w:val="left"/>
        <w:rPr>
          <w:color w:val="auto"/>
          <w:highlight w:val="none"/>
        </w:rPr>
      </w:pPr>
      <w:r>
        <w:rPr>
          <w:rFonts w:hint="eastAsia"/>
          <w:color w:val="auto"/>
          <w:highlight w:val="none"/>
        </w:rPr>
        <w:t>4</w:t>
      </w:r>
      <w:r>
        <w:rPr>
          <w:color w:val="auto"/>
          <w:highlight w:val="none"/>
        </w:rPr>
        <w:t xml:space="preserve">.2.3 </w:t>
      </w:r>
      <w:r>
        <w:rPr>
          <w:rFonts w:hint="eastAsia"/>
          <w:color w:val="auto"/>
          <w:highlight w:val="none"/>
        </w:rPr>
        <w:t>每月：采样管路检查（包括气密性、管路是否污染、有否结露、采样泵工作是否正常等）；清洁采样管路，反吹维护；仪器校准（标准曲线制作，质控样标定等）；</w:t>
      </w:r>
    </w:p>
    <w:p>
      <w:pPr>
        <w:spacing w:before="120" w:after="120" w:line="264" w:lineRule="auto"/>
        <w:ind w:firstLine="420" w:firstLineChars="200"/>
        <w:jc w:val="left"/>
        <w:rPr>
          <w:color w:val="auto"/>
          <w:highlight w:val="none"/>
        </w:rPr>
      </w:pPr>
      <w:r>
        <w:rPr>
          <w:rFonts w:hint="eastAsia"/>
          <w:color w:val="auto"/>
          <w:highlight w:val="none"/>
        </w:rPr>
        <w:t>4</w:t>
      </w:r>
      <w:r>
        <w:rPr>
          <w:color w:val="auto"/>
          <w:highlight w:val="none"/>
        </w:rPr>
        <w:t xml:space="preserve">.2.4 </w:t>
      </w:r>
      <w:r>
        <w:rPr>
          <w:rFonts w:hint="eastAsia"/>
          <w:color w:val="auto"/>
          <w:highlight w:val="none"/>
        </w:rPr>
        <w:t>每年：预防性维护，对系统进行检查与清洁，更换必要的耗材与配件；离子源灯丝耗材更换。</w:t>
      </w:r>
    </w:p>
    <w:p>
      <w:pPr>
        <w:spacing w:before="120" w:after="120" w:line="264" w:lineRule="auto"/>
        <w:ind w:firstLine="420" w:firstLineChars="200"/>
        <w:jc w:val="left"/>
        <w:rPr>
          <w:color w:val="auto"/>
          <w:highlight w:val="none"/>
        </w:rPr>
      </w:pPr>
      <w:r>
        <w:rPr>
          <w:rFonts w:hint="eastAsia"/>
          <w:color w:val="auto"/>
          <w:highlight w:val="none"/>
        </w:rPr>
        <w:t>4</w:t>
      </w:r>
      <w:r>
        <w:rPr>
          <w:color w:val="auto"/>
          <w:highlight w:val="none"/>
        </w:rPr>
        <w:t xml:space="preserve">.3   </w:t>
      </w:r>
      <w:r>
        <w:rPr>
          <w:rFonts w:hint="eastAsia"/>
          <w:color w:val="auto"/>
          <w:highlight w:val="none"/>
        </w:rPr>
        <w:t>运维时间要求及环境分析综合报告编制</w:t>
      </w:r>
    </w:p>
    <w:p>
      <w:pPr>
        <w:spacing w:before="120" w:after="120" w:line="264" w:lineRule="auto"/>
        <w:ind w:firstLine="420" w:firstLineChars="200"/>
        <w:jc w:val="left"/>
        <w:rPr>
          <w:color w:val="auto"/>
          <w:highlight w:val="none"/>
        </w:rPr>
      </w:pPr>
      <w:r>
        <w:rPr>
          <w:rFonts w:hint="eastAsia"/>
          <w:color w:val="auto"/>
          <w:highlight w:val="none"/>
        </w:rPr>
        <w:t>4</w:t>
      </w:r>
      <w:r>
        <w:rPr>
          <w:color w:val="auto"/>
          <w:highlight w:val="none"/>
        </w:rPr>
        <w:t xml:space="preserve">.3.1 </w:t>
      </w:r>
      <w:r>
        <w:rPr>
          <w:rFonts w:hint="eastAsia"/>
          <w:color w:val="auto"/>
          <w:highlight w:val="none"/>
        </w:rPr>
        <w:t>每次执行任务进行运行情况实行日报告，对异常情况及时上报。对每起事故及时排除，及时上报。同时在任务结束后提供此次任务报告。提供月度、半年、年度分析报告。现场记录存档随时供招标单位审核。</w:t>
      </w:r>
    </w:p>
    <w:p>
      <w:pPr>
        <w:spacing w:before="120" w:after="120" w:line="264" w:lineRule="auto"/>
        <w:ind w:firstLine="420" w:firstLineChars="200"/>
        <w:jc w:val="left"/>
        <w:rPr>
          <w:color w:val="auto"/>
          <w:highlight w:val="none"/>
        </w:rPr>
      </w:pPr>
      <w:r>
        <w:rPr>
          <w:rFonts w:hint="eastAsia"/>
          <w:color w:val="auto"/>
          <w:highlight w:val="none"/>
        </w:rPr>
        <w:t>4</w:t>
      </w:r>
      <w:r>
        <w:rPr>
          <w:color w:val="auto"/>
          <w:highlight w:val="none"/>
        </w:rPr>
        <w:t xml:space="preserve">.3.2 </w:t>
      </w:r>
      <w:r>
        <w:rPr>
          <w:rFonts w:hint="eastAsia"/>
          <w:color w:val="auto"/>
          <w:highlight w:val="none"/>
        </w:rPr>
        <w:t>每周日前制定下周工作计划并提交给客户，及时完成招标单位要求提供的其他临时任务。</w:t>
      </w:r>
      <w:r>
        <w:rPr>
          <w:color w:val="auto"/>
          <w:highlight w:val="none"/>
        </w:rPr>
        <w:t>4</w:t>
      </w:r>
      <w:r>
        <w:rPr>
          <w:rFonts w:hint="eastAsia"/>
          <w:color w:val="auto"/>
          <w:highlight w:val="none"/>
        </w:rPr>
        <w:t>.</w:t>
      </w:r>
      <w:r>
        <w:rPr>
          <w:color w:val="auto"/>
          <w:highlight w:val="none"/>
        </w:rPr>
        <w:t>4</w:t>
      </w:r>
      <w:r>
        <w:rPr>
          <w:rFonts w:hint="eastAsia"/>
          <w:color w:val="auto"/>
          <w:highlight w:val="none"/>
        </w:rPr>
        <w:t xml:space="preserve"> 根据仪器状况及时更换仪器所需的配件，以保证仪器正常运行。更换后的耗材应留存备查。主要耗材更换的频率不少于每年</w:t>
      </w:r>
      <w:r>
        <w:rPr>
          <w:color w:val="auto"/>
          <w:highlight w:val="none"/>
        </w:rPr>
        <w:t>1</w:t>
      </w:r>
      <w:r>
        <w:rPr>
          <w:rFonts w:hint="eastAsia"/>
          <w:color w:val="auto"/>
          <w:highlight w:val="none"/>
        </w:rPr>
        <w:t>个MCP检测器、</w:t>
      </w:r>
      <w:r>
        <w:rPr>
          <w:color w:val="auto"/>
          <w:highlight w:val="none"/>
        </w:rPr>
        <w:t>1</w:t>
      </w:r>
      <w:r>
        <w:rPr>
          <w:rFonts w:hint="eastAsia"/>
          <w:color w:val="auto"/>
          <w:highlight w:val="none"/>
        </w:rPr>
        <w:t>个紫外灯；金属过滤器、阀门等耗材应根据实际耗损情况及时更换。</w:t>
      </w:r>
    </w:p>
    <w:p>
      <w:pPr>
        <w:spacing w:before="120" w:after="120" w:line="264" w:lineRule="auto"/>
        <w:ind w:firstLine="420" w:firstLineChars="200"/>
        <w:jc w:val="left"/>
        <w:rPr>
          <w:color w:val="auto"/>
          <w:highlight w:val="none"/>
        </w:rPr>
      </w:pPr>
    </w:p>
    <w:p>
      <w:pPr>
        <w:spacing w:before="120" w:after="120" w:line="264" w:lineRule="auto"/>
        <w:ind w:firstLine="422" w:firstLineChars="200"/>
        <w:jc w:val="left"/>
        <w:rPr>
          <w:b/>
          <w:color w:val="auto"/>
          <w:szCs w:val="21"/>
          <w:highlight w:val="none"/>
        </w:rPr>
      </w:pPr>
      <w:r>
        <w:rPr>
          <w:rFonts w:hint="eastAsia"/>
          <w:b/>
          <w:color w:val="auto"/>
          <w:szCs w:val="21"/>
          <w:highlight w:val="none"/>
        </w:rPr>
        <w:t>五</w:t>
      </w:r>
      <w:r>
        <w:rPr>
          <w:b/>
          <w:color w:val="auto"/>
          <w:szCs w:val="21"/>
          <w:highlight w:val="none"/>
        </w:rPr>
        <w:t>、</w:t>
      </w:r>
      <w:r>
        <w:rPr>
          <w:rFonts w:hint="eastAsia"/>
          <w:b/>
          <w:color w:val="auto"/>
          <w:szCs w:val="21"/>
          <w:highlight w:val="none"/>
        </w:rPr>
        <w:t>车载拉曼雷达</w:t>
      </w:r>
      <w:r>
        <w:rPr>
          <w:b/>
          <w:color w:val="auto"/>
          <w:szCs w:val="21"/>
          <w:highlight w:val="none"/>
        </w:rPr>
        <w:t>运维项目需求：</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该设备运维服务需求为技术运维服务，包含仪器运行所使用的耗材、配件</w:t>
      </w:r>
      <w:r>
        <w:rPr>
          <w:rFonts w:hint="eastAsia"/>
          <w:bCs/>
          <w:color w:val="auto"/>
          <w:szCs w:val="21"/>
          <w:highlight w:val="none"/>
        </w:rPr>
        <w:t>、</w:t>
      </w:r>
      <w:r>
        <w:rPr>
          <w:bCs/>
          <w:color w:val="auto"/>
          <w:szCs w:val="21"/>
          <w:highlight w:val="none"/>
        </w:rPr>
        <w:t>具体要求如下：</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5.1</w:t>
      </w:r>
      <w:r>
        <w:rPr>
          <w:rFonts w:hint="eastAsia"/>
          <w:bCs/>
          <w:color w:val="auto"/>
          <w:szCs w:val="21"/>
          <w:highlight w:val="none"/>
        </w:rPr>
        <w:t>运维总体要求</w:t>
      </w:r>
      <w:r>
        <w:rPr>
          <w:bCs/>
          <w:color w:val="auto"/>
          <w:szCs w:val="21"/>
          <w:highlight w:val="none"/>
        </w:rPr>
        <w:t xml:space="preserve"> </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5.1.1运维内容：承担江苏省环境监测中心车载气溶胶垂直分布探测质控比对分析仪（大气颗粒物监测激光雷达）日常运行维护和质控工作，包括仪器设备日常和定期维护、定期巡检、故障维修、质量控制、备品备件及设备耗材更换等运行维护事项。</w:t>
      </w:r>
    </w:p>
    <w:p>
      <w:pPr>
        <w:tabs>
          <w:tab w:val="left" w:pos="540"/>
          <w:tab w:val="left" w:pos="900"/>
        </w:tabs>
        <w:spacing w:before="120" w:after="120" w:line="264" w:lineRule="auto"/>
        <w:ind w:firstLine="420" w:firstLineChars="200"/>
        <w:jc w:val="left"/>
        <w:rPr>
          <w:bCs/>
          <w:color w:val="auto"/>
          <w:szCs w:val="21"/>
          <w:highlight w:val="none"/>
        </w:rPr>
      </w:pPr>
      <w:r>
        <w:rPr>
          <w:rFonts w:hint="eastAsia"/>
          <w:bCs/>
          <w:color w:val="auto"/>
          <w:szCs w:val="21"/>
          <w:highlight w:val="none"/>
        </w:rPr>
        <w:t>5</w:t>
      </w:r>
      <w:r>
        <w:rPr>
          <w:bCs/>
          <w:color w:val="auto"/>
          <w:szCs w:val="21"/>
          <w:highlight w:val="none"/>
        </w:rPr>
        <w:t>.1.2</w:t>
      </w:r>
      <w:r>
        <w:rPr>
          <w:color w:val="auto"/>
          <w:highlight w:val="none"/>
        </w:rPr>
        <w:t xml:space="preserve"> </w:t>
      </w:r>
      <w:r>
        <w:rPr>
          <w:bCs/>
          <w:color w:val="auto"/>
          <w:szCs w:val="21"/>
          <w:highlight w:val="none"/>
        </w:rPr>
        <w:t>设备质控：中标方必须根据《大气气溶胶激光雷达技术要求及检测方法作业指导书》（HJC-ZY82-2018）定期对设备进行相关质控项目的检测。</w:t>
      </w:r>
    </w:p>
    <w:p>
      <w:pPr>
        <w:tabs>
          <w:tab w:val="left" w:pos="540"/>
          <w:tab w:val="left" w:pos="900"/>
        </w:tabs>
        <w:spacing w:before="120" w:after="120" w:line="264" w:lineRule="auto"/>
        <w:ind w:firstLine="420" w:firstLineChars="200"/>
        <w:jc w:val="left"/>
        <w:rPr>
          <w:bCs/>
          <w:color w:val="auto"/>
          <w:szCs w:val="21"/>
          <w:highlight w:val="none"/>
        </w:rPr>
      </w:pPr>
      <w:r>
        <w:rPr>
          <w:rFonts w:hint="eastAsia"/>
          <w:bCs/>
          <w:color w:val="auto"/>
          <w:szCs w:val="21"/>
          <w:highlight w:val="none"/>
        </w:rPr>
        <w:t>5</w:t>
      </w:r>
      <w:r>
        <w:rPr>
          <w:bCs/>
          <w:color w:val="auto"/>
          <w:szCs w:val="21"/>
          <w:highlight w:val="none"/>
        </w:rPr>
        <w:t>.1.3 8. 数据采集要求：所有运维设备的数据采集通过网络传输至江苏省中心平台，实时展示消光系数，退偏振比等数据结果。</w:t>
      </w:r>
    </w:p>
    <w:p>
      <w:pPr>
        <w:spacing w:before="120" w:after="120" w:line="264" w:lineRule="auto"/>
        <w:ind w:firstLine="420" w:firstLineChars="200"/>
        <w:jc w:val="left"/>
        <w:rPr>
          <w:color w:val="auto"/>
          <w:highlight w:val="none"/>
        </w:rPr>
      </w:pPr>
      <w:r>
        <w:rPr>
          <w:rFonts w:hint="eastAsia"/>
          <w:color w:val="auto"/>
          <w:highlight w:val="none"/>
        </w:rPr>
        <w:t>5</w:t>
      </w:r>
      <w:r>
        <w:rPr>
          <w:color w:val="auto"/>
          <w:highlight w:val="none"/>
        </w:rPr>
        <w:t>.2运维与服务具体要求</w:t>
      </w:r>
    </w:p>
    <w:p>
      <w:pPr>
        <w:spacing w:before="120" w:after="120" w:line="264" w:lineRule="auto"/>
        <w:ind w:firstLine="420" w:firstLineChars="200"/>
        <w:jc w:val="left"/>
        <w:rPr>
          <w:color w:val="auto"/>
          <w:highlight w:val="none"/>
        </w:rPr>
      </w:pPr>
      <w:r>
        <w:rPr>
          <w:color w:val="auto"/>
          <w:highlight w:val="none"/>
        </w:rPr>
        <w:t>5.2.1 日常运维工作</w:t>
      </w:r>
      <w:r>
        <w:rPr>
          <w:rFonts w:hint="eastAsia"/>
          <w:color w:val="auto"/>
          <w:highlight w:val="none"/>
        </w:rPr>
        <w:t>:运行期间，中标方每天远程查看设备运行情况，进行远程诊断和运行管理并记录雷达运行状态，内容包括：</w:t>
      </w:r>
      <w:r>
        <w:rPr>
          <w:color w:val="auto"/>
          <w:highlight w:val="none"/>
        </w:rPr>
        <w:t>设备远程连接是否正常，能否正常远程监控设备，若不能远程需排查原因，需现场确认时及时安排现场排查；检查数据上传程序是否开启运行，数据是否正常上传服务器；分析软件是否正常运行，反演结果是否更新至最新监测时间；</w:t>
      </w:r>
    </w:p>
    <w:p>
      <w:pPr>
        <w:spacing w:before="120" w:after="120" w:line="264" w:lineRule="auto"/>
        <w:ind w:firstLine="420" w:firstLineChars="200"/>
        <w:jc w:val="left"/>
        <w:rPr>
          <w:color w:val="auto"/>
          <w:highlight w:val="none"/>
        </w:rPr>
      </w:pPr>
      <w:r>
        <w:rPr>
          <w:color w:val="auto"/>
          <w:highlight w:val="none"/>
        </w:rPr>
        <w:t>5.2.2 现场巡检工作</w:t>
      </w:r>
      <w:r>
        <w:rPr>
          <w:rFonts w:hint="eastAsia"/>
          <w:color w:val="auto"/>
          <w:highlight w:val="none"/>
        </w:rPr>
        <w:t>:</w:t>
      </w:r>
    </w:p>
    <w:p>
      <w:pPr>
        <w:spacing w:before="120" w:after="120" w:line="264" w:lineRule="auto"/>
        <w:ind w:firstLine="420" w:firstLineChars="200"/>
        <w:jc w:val="left"/>
        <w:rPr>
          <w:color w:val="auto"/>
          <w:highlight w:val="none"/>
        </w:rPr>
      </w:pPr>
      <w:r>
        <w:rPr>
          <w:color w:val="auto"/>
          <w:highlight w:val="none"/>
        </w:rPr>
        <w:t>5.2.2.1</w:t>
      </w:r>
      <w:r>
        <w:rPr>
          <w:rFonts w:hint="eastAsia"/>
          <w:color w:val="auto"/>
          <w:highlight w:val="none"/>
        </w:rPr>
        <w:t>运行期间，每两周至少完成一次现场巡检，巡检检查项包括：</w:t>
      </w:r>
      <w:r>
        <w:rPr>
          <w:color w:val="auto"/>
          <w:highlight w:val="none"/>
        </w:rPr>
        <w:t>激光雷达环境检查：检查车内温度、湿度是否符合要求；检查车内排风排气装置运行是否正常；</w:t>
      </w:r>
    </w:p>
    <w:p>
      <w:pPr>
        <w:spacing w:before="120" w:after="120" w:line="264" w:lineRule="auto"/>
        <w:ind w:firstLine="420" w:firstLineChars="200"/>
        <w:jc w:val="left"/>
        <w:rPr>
          <w:color w:val="auto"/>
          <w:highlight w:val="none"/>
        </w:rPr>
      </w:pPr>
      <w:r>
        <w:rPr>
          <w:color w:val="auto"/>
          <w:highlight w:val="none"/>
        </w:rPr>
        <w:t>5.2.2.2检查车内空调、电源等辅助设备的运行是否正常；检查各电源插头、稳压电源参数、线板工作是否正常；车内整洁卫生（无垃圾杂物、无蜘蛛网、无昆虫老鼠等）</w:t>
      </w:r>
      <w:r>
        <w:rPr>
          <w:rFonts w:hint="eastAsia"/>
          <w:color w:val="auto"/>
          <w:highlight w:val="none"/>
        </w:rPr>
        <w:t>;</w:t>
      </w:r>
    </w:p>
    <w:p>
      <w:pPr>
        <w:spacing w:before="120" w:after="120" w:line="264" w:lineRule="auto"/>
        <w:ind w:firstLine="420" w:firstLineChars="200"/>
        <w:jc w:val="left"/>
        <w:rPr>
          <w:color w:val="auto"/>
          <w:highlight w:val="none"/>
        </w:rPr>
      </w:pPr>
      <w:r>
        <w:rPr>
          <w:color w:val="auto"/>
          <w:highlight w:val="none"/>
        </w:rPr>
        <w:t>5.2.2.3 网络相关项目检查：检查网络连接是否正常，网速是否正常。</w:t>
      </w:r>
    </w:p>
    <w:p>
      <w:pPr>
        <w:spacing w:before="120" w:after="120" w:line="264" w:lineRule="auto"/>
        <w:ind w:firstLine="420" w:firstLineChars="200"/>
        <w:jc w:val="left"/>
        <w:rPr>
          <w:color w:val="auto"/>
          <w:highlight w:val="none"/>
        </w:rPr>
      </w:pPr>
      <w:r>
        <w:rPr>
          <w:color w:val="auto"/>
          <w:highlight w:val="none"/>
        </w:rPr>
        <w:t>5.2.2.4光学玻璃检查：检查天窗光学玻璃是否完好无破损、无划痕、无脏污；如果有脏污需要及时清洗天窗。</w:t>
      </w:r>
    </w:p>
    <w:p>
      <w:pPr>
        <w:spacing w:before="120" w:after="120" w:line="264" w:lineRule="auto"/>
        <w:ind w:firstLine="420" w:firstLineChars="200"/>
        <w:jc w:val="left"/>
        <w:rPr>
          <w:color w:val="auto"/>
          <w:highlight w:val="none"/>
        </w:rPr>
      </w:pPr>
      <w:r>
        <w:rPr>
          <w:color w:val="auto"/>
          <w:highlight w:val="none"/>
        </w:rPr>
        <w:t>5.2.2.5天窗支架检查：检查天窗支架是否固定牢固，是否有漏水渗水现象。</w:t>
      </w:r>
    </w:p>
    <w:p>
      <w:pPr>
        <w:spacing w:before="120" w:after="120" w:line="264" w:lineRule="auto"/>
        <w:ind w:firstLine="420" w:firstLineChars="200"/>
        <w:jc w:val="left"/>
        <w:rPr>
          <w:color w:val="auto"/>
          <w:highlight w:val="none"/>
        </w:rPr>
      </w:pPr>
      <w:r>
        <w:rPr>
          <w:color w:val="auto"/>
          <w:highlight w:val="none"/>
        </w:rPr>
        <w:t>5.2.2.6加热器检查：检查（天窗）加热器是否运行正常，风扇是否运行正常。</w:t>
      </w:r>
    </w:p>
    <w:p>
      <w:pPr>
        <w:spacing w:before="120" w:after="120" w:line="264" w:lineRule="auto"/>
        <w:ind w:firstLine="420" w:firstLineChars="200"/>
        <w:jc w:val="left"/>
        <w:rPr>
          <w:color w:val="auto"/>
          <w:highlight w:val="none"/>
        </w:rPr>
      </w:pPr>
      <w:r>
        <w:rPr>
          <w:color w:val="auto"/>
          <w:highlight w:val="none"/>
        </w:rPr>
        <w:t>5.2.2.7 采集箱检查：检查采集箱各通道指示灯是否正常，各通道运行是否正常。</w:t>
      </w:r>
    </w:p>
    <w:p>
      <w:pPr>
        <w:spacing w:before="120" w:after="120" w:line="264" w:lineRule="auto"/>
        <w:ind w:firstLine="420" w:firstLineChars="200"/>
        <w:jc w:val="left"/>
        <w:rPr>
          <w:color w:val="auto"/>
          <w:highlight w:val="none"/>
        </w:rPr>
      </w:pPr>
      <w:r>
        <w:rPr>
          <w:color w:val="auto"/>
          <w:highlight w:val="none"/>
        </w:rPr>
        <w:t>5.2.2.8 工控机检查：检查工控机运行是否正常并清理风扇滤网。</w:t>
      </w:r>
    </w:p>
    <w:p>
      <w:pPr>
        <w:spacing w:before="120" w:after="120" w:line="264" w:lineRule="auto"/>
        <w:ind w:firstLine="420" w:firstLineChars="200"/>
        <w:jc w:val="left"/>
        <w:rPr>
          <w:color w:val="auto"/>
          <w:highlight w:val="none"/>
        </w:rPr>
      </w:pPr>
      <w:r>
        <w:rPr>
          <w:color w:val="auto"/>
          <w:highlight w:val="none"/>
        </w:rPr>
        <w:t>5.2.2.9 激光器检查：检查激光器运行是否正常，激光器光斑、光功率是否正常。</w:t>
      </w:r>
    </w:p>
    <w:p>
      <w:pPr>
        <w:spacing w:before="120" w:after="120" w:line="264" w:lineRule="auto"/>
        <w:ind w:firstLine="420" w:firstLineChars="200"/>
        <w:jc w:val="left"/>
        <w:rPr>
          <w:color w:val="auto"/>
          <w:highlight w:val="none"/>
        </w:rPr>
      </w:pPr>
      <w:r>
        <w:rPr>
          <w:color w:val="auto"/>
          <w:highlight w:val="none"/>
        </w:rPr>
        <w:t>5.2.2.10 激光器各模块检查：检查激光器各个模块温控、驱动电流及腔内温湿度是否正常。</w:t>
      </w:r>
    </w:p>
    <w:p>
      <w:pPr>
        <w:spacing w:before="120" w:after="120" w:line="264" w:lineRule="auto"/>
        <w:ind w:firstLine="420" w:firstLineChars="200"/>
        <w:jc w:val="left"/>
        <w:rPr>
          <w:color w:val="auto"/>
          <w:highlight w:val="none"/>
        </w:rPr>
      </w:pPr>
      <w:r>
        <w:rPr>
          <w:color w:val="auto"/>
          <w:highlight w:val="none"/>
        </w:rPr>
        <w:t>5.2.2.11光学系统检查：通过接收横截面四象限均匀性、大气瑞利散射信号拟合偏差检测等项目检查确定激光雷达发射和接收光学系统是否正常。</w:t>
      </w:r>
    </w:p>
    <w:p>
      <w:pPr>
        <w:spacing w:before="120" w:after="120" w:line="264" w:lineRule="auto"/>
        <w:ind w:firstLine="420" w:firstLineChars="200"/>
        <w:jc w:val="left"/>
        <w:rPr>
          <w:color w:val="auto"/>
          <w:highlight w:val="none"/>
        </w:rPr>
      </w:pPr>
      <w:r>
        <w:rPr>
          <w:color w:val="auto"/>
          <w:highlight w:val="none"/>
        </w:rPr>
        <w:t>5.2.2.12 采集软件检查和信号质量检查：检查设备状态显示是否正常、回波信号曲线是否正常、信号背景噪声、信噪比、有效探测距离等信号质量是否正常；温湿压模块工作正常；温控系统通讯正常。</w:t>
      </w:r>
    </w:p>
    <w:p>
      <w:pPr>
        <w:spacing w:before="120" w:after="120" w:line="264" w:lineRule="auto"/>
        <w:ind w:firstLine="420" w:firstLineChars="200"/>
        <w:jc w:val="left"/>
        <w:rPr>
          <w:color w:val="auto"/>
          <w:highlight w:val="none"/>
        </w:rPr>
      </w:pPr>
      <w:r>
        <w:rPr>
          <w:color w:val="auto"/>
          <w:highlight w:val="none"/>
        </w:rPr>
        <w:t>5.2.2.13 分析软件检查：检查分析软件是否正常运行，数据目录选择是否正常，反演参数是否设置正常，反演结果是否正常。</w:t>
      </w:r>
    </w:p>
    <w:p>
      <w:pPr>
        <w:spacing w:before="120" w:after="120" w:line="264" w:lineRule="auto"/>
        <w:ind w:firstLine="420" w:firstLineChars="200"/>
        <w:jc w:val="left"/>
        <w:rPr>
          <w:color w:val="auto"/>
          <w:highlight w:val="none"/>
        </w:rPr>
      </w:pPr>
      <w:r>
        <w:rPr>
          <w:color w:val="auto"/>
          <w:highlight w:val="none"/>
        </w:rPr>
        <w:t>5.2.2.14 数据解析存储和上传检查：检查数据解析是否全部完成，解析是否正常；检查数据存储是否正常，有无数据缺失；检查各个产品输出是否正常保存；检查数据是否正常上传。</w:t>
      </w:r>
    </w:p>
    <w:p>
      <w:pPr>
        <w:spacing w:before="120" w:after="120" w:line="264" w:lineRule="auto"/>
        <w:ind w:firstLine="420" w:firstLineChars="200"/>
        <w:jc w:val="left"/>
        <w:rPr>
          <w:color w:val="auto"/>
          <w:highlight w:val="none"/>
        </w:rPr>
      </w:pPr>
      <w:r>
        <w:rPr>
          <w:color w:val="auto"/>
          <w:highlight w:val="none"/>
        </w:rPr>
        <w:t>5.2.2.15 数据有效性检查：除校准、停电、维护保养以及不可抗拒力因素造成数据缺失外，仪器正常运行总小时数至少占运行总小时数的80%以上，有效数据获取率需达到至少80%以上。</w:t>
      </w:r>
    </w:p>
    <w:p>
      <w:pPr>
        <w:spacing w:before="120" w:after="120" w:line="264" w:lineRule="auto"/>
        <w:ind w:firstLine="420" w:firstLineChars="200"/>
        <w:jc w:val="left"/>
        <w:rPr>
          <w:color w:val="auto"/>
          <w:highlight w:val="none"/>
        </w:rPr>
      </w:pPr>
      <w:r>
        <w:rPr>
          <w:rFonts w:hint="eastAsia"/>
          <w:color w:val="auto"/>
          <w:highlight w:val="none"/>
        </w:rPr>
        <w:t>5</w:t>
      </w:r>
      <w:r>
        <w:rPr>
          <w:color w:val="auto"/>
          <w:highlight w:val="none"/>
        </w:rPr>
        <w:t xml:space="preserve">.3 </w:t>
      </w:r>
      <w:r>
        <w:rPr>
          <w:rFonts w:hint="eastAsia"/>
          <w:color w:val="auto"/>
          <w:highlight w:val="none"/>
        </w:rPr>
        <w:t xml:space="preserve"> 根据仪器状况及时更换仪器所需的配件，以保证仪器正常运行。更换后的耗材应留存备查。主要耗材更换的频率不少于每年1个激光器、主镜窗片，其它耗材应根据实际耗损情况及时更换。</w:t>
      </w:r>
    </w:p>
    <w:p>
      <w:pPr>
        <w:spacing w:before="120" w:after="120" w:line="264" w:lineRule="auto"/>
        <w:ind w:firstLine="422" w:firstLineChars="200"/>
        <w:jc w:val="left"/>
        <w:rPr>
          <w:b/>
          <w:color w:val="auto"/>
          <w:szCs w:val="21"/>
          <w:highlight w:val="none"/>
        </w:rPr>
      </w:pPr>
      <w:r>
        <w:rPr>
          <w:rFonts w:hint="eastAsia"/>
          <w:b/>
          <w:color w:val="auto"/>
          <w:szCs w:val="21"/>
          <w:highlight w:val="none"/>
        </w:rPr>
        <w:t>六</w:t>
      </w:r>
      <w:r>
        <w:rPr>
          <w:b/>
          <w:color w:val="auto"/>
          <w:szCs w:val="21"/>
          <w:highlight w:val="none"/>
        </w:rPr>
        <w:t>、</w:t>
      </w:r>
      <w:r>
        <w:rPr>
          <w:rFonts w:hint="eastAsia"/>
          <w:b/>
          <w:color w:val="auto"/>
          <w:szCs w:val="21"/>
          <w:highlight w:val="none"/>
        </w:rPr>
        <w:t>车载便携式臭氧雷达</w:t>
      </w:r>
      <w:r>
        <w:rPr>
          <w:b/>
          <w:color w:val="auto"/>
          <w:szCs w:val="21"/>
          <w:highlight w:val="none"/>
        </w:rPr>
        <w:t>运维项目需求：</w:t>
      </w:r>
    </w:p>
    <w:p>
      <w:pPr>
        <w:tabs>
          <w:tab w:val="left" w:pos="540"/>
          <w:tab w:val="left" w:pos="900"/>
        </w:tabs>
        <w:spacing w:before="120" w:after="120" w:line="264" w:lineRule="auto"/>
        <w:ind w:firstLine="420" w:firstLineChars="200"/>
        <w:jc w:val="left"/>
        <w:rPr>
          <w:bCs/>
          <w:color w:val="auto"/>
          <w:szCs w:val="21"/>
          <w:highlight w:val="none"/>
        </w:rPr>
      </w:pPr>
      <w:r>
        <w:rPr>
          <w:bCs/>
          <w:color w:val="auto"/>
          <w:szCs w:val="21"/>
          <w:highlight w:val="none"/>
        </w:rPr>
        <w:t>该设备运维服务需求为技术运维服务，包含仪器运行所使用的耗材、配件</w:t>
      </w:r>
      <w:r>
        <w:rPr>
          <w:rFonts w:hint="eastAsia"/>
          <w:bCs/>
          <w:color w:val="auto"/>
          <w:szCs w:val="21"/>
          <w:highlight w:val="none"/>
        </w:rPr>
        <w:t>、</w:t>
      </w:r>
      <w:r>
        <w:rPr>
          <w:bCs/>
          <w:color w:val="auto"/>
          <w:szCs w:val="21"/>
          <w:highlight w:val="none"/>
        </w:rPr>
        <w:t>具体要求如下：</w:t>
      </w:r>
    </w:p>
    <w:p>
      <w:pPr>
        <w:spacing w:before="120" w:after="120" w:line="264" w:lineRule="auto"/>
        <w:ind w:firstLine="420" w:firstLineChars="200"/>
        <w:jc w:val="left"/>
        <w:rPr>
          <w:color w:val="auto"/>
          <w:highlight w:val="none"/>
        </w:rPr>
      </w:pPr>
      <w:r>
        <w:rPr>
          <w:color w:val="auto"/>
          <w:highlight w:val="none"/>
        </w:rPr>
        <w:t>6.1技术运维要求</w:t>
      </w:r>
    </w:p>
    <w:p>
      <w:pPr>
        <w:spacing w:before="120" w:after="120" w:line="264" w:lineRule="auto"/>
        <w:ind w:firstLine="420" w:firstLineChars="200"/>
        <w:jc w:val="left"/>
        <w:rPr>
          <w:color w:val="auto"/>
          <w:highlight w:val="none"/>
        </w:rPr>
      </w:pPr>
      <w:r>
        <w:rPr>
          <w:color w:val="auto"/>
          <w:highlight w:val="none"/>
        </w:rPr>
        <w:t>6.1.1日常运维工作：保持仪器设备表面干净整洁，设备标识清楚；检查供电情况，保证雷达系统、云台、软件系统正常运行；每次维护后做系统运行测试，并填写维护记录；进行维护时，应规范操作，注意设备与人身安全，防止意外发生。</w:t>
      </w:r>
    </w:p>
    <w:p>
      <w:pPr>
        <w:spacing w:before="120" w:after="120" w:line="264" w:lineRule="auto"/>
        <w:ind w:firstLine="420" w:firstLineChars="200"/>
        <w:jc w:val="left"/>
        <w:rPr>
          <w:color w:val="auto"/>
          <w:highlight w:val="none"/>
        </w:rPr>
      </w:pPr>
      <w:r>
        <w:rPr>
          <w:color w:val="auto"/>
          <w:highlight w:val="none"/>
        </w:rPr>
        <w:t>6.1.2每日工作项目：远程检查仪器运行状态；查看工控机能否正常工作，查清断网或关机原因；检查上位机软件、远程控制软件等是否正常运行；检查回波信号是否正常，本地数据是否正常存储；确认云平台数据是否正常上传显示；分析软件定时刷新，数据保存正常；如遇异常状况，立即进行检查，远程不能解决的安排现场进行检查。</w:t>
      </w:r>
    </w:p>
    <w:p>
      <w:pPr>
        <w:spacing w:before="120" w:after="120" w:line="264" w:lineRule="auto"/>
        <w:ind w:firstLine="420" w:firstLineChars="200"/>
        <w:jc w:val="left"/>
        <w:rPr>
          <w:color w:val="auto"/>
          <w:highlight w:val="none"/>
        </w:rPr>
      </w:pPr>
      <w:r>
        <w:rPr>
          <w:color w:val="auto"/>
          <w:highlight w:val="none"/>
        </w:rPr>
        <w:t>6.1.3每月工作项目：每月去1次现场巡视，并做好巡检记录，巡检时需要检查电路系统、通讯系统是否正常，设备内部温度湿度是否正常；利用酒精清洁设备大窗口镜上的灰尘，尤其是望远镜接收区域与激光出光区域；检查侧面防尘罩是否积灰积泥并进行清洁，确认散热风扇正常运转。</w:t>
      </w:r>
    </w:p>
    <w:p>
      <w:pPr>
        <w:spacing w:before="120" w:after="120" w:line="264" w:lineRule="auto"/>
        <w:ind w:firstLine="420" w:firstLineChars="200"/>
        <w:jc w:val="left"/>
        <w:rPr>
          <w:color w:val="auto"/>
          <w:highlight w:val="none"/>
        </w:rPr>
      </w:pPr>
      <w:r>
        <w:rPr>
          <w:color w:val="auto"/>
          <w:highlight w:val="none"/>
        </w:rPr>
        <w:t>6.1.4半年工作项目：进行半年度光路校准，校准工作完成后，做好校准记录，主要内容含：激光能量检查、激光光斑特征检查、回波信号检查、背景基线、噪声检查，光谱仪校准等；整体散热模块进行大范围清洁除尘，确保散热模块的正常工作；对设备本地数据、日志等进行备份，确保本地存储容量、4G流量剩余可用。</w:t>
      </w:r>
    </w:p>
    <w:p>
      <w:pPr>
        <w:spacing w:before="120" w:after="120" w:line="264" w:lineRule="auto"/>
        <w:ind w:firstLine="420" w:firstLineChars="200"/>
        <w:jc w:val="left"/>
        <w:rPr>
          <w:color w:val="auto"/>
          <w:highlight w:val="none"/>
        </w:rPr>
      </w:pPr>
      <w:r>
        <w:rPr>
          <w:color w:val="auto"/>
          <w:highlight w:val="none"/>
        </w:rPr>
        <w:t>6.1.5年度工作项目：检查雷达整体采集模块各个通道高压工作是否正常；检查激光器输出能量及能量的稳定性，如出现能量波动异常需要及时维修激光器；进行年度激光器校准和光路校准，检查内部晶体、镜片等是否出现损伤，并进行相关更换维修；对设备运行日志进行检查，确认年度运行状态中出现的异常情况并进行排查解决。</w:t>
      </w:r>
    </w:p>
    <w:p>
      <w:pPr>
        <w:spacing w:before="120" w:after="120" w:line="264" w:lineRule="auto"/>
        <w:ind w:firstLine="420" w:firstLineChars="200"/>
        <w:jc w:val="left"/>
        <w:rPr>
          <w:color w:val="auto"/>
          <w:highlight w:val="none"/>
        </w:rPr>
      </w:pPr>
      <w:r>
        <w:rPr>
          <w:color w:val="auto"/>
          <w:highlight w:val="none"/>
        </w:rPr>
        <w:t>6.2运维记录与报告</w:t>
      </w:r>
    </w:p>
    <w:p>
      <w:pPr>
        <w:spacing w:before="120" w:after="120" w:line="264" w:lineRule="auto"/>
        <w:ind w:firstLine="420" w:firstLineChars="200"/>
        <w:jc w:val="left"/>
        <w:rPr>
          <w:color w:val="auto"/>
          <w:highlight w:val="none"/>
        </w:rPr>
      </w:pPr>
      <w:r>
        <w:rPr>
          <w:color w:val="auto"/>
          <w:highlight w:val="none"/>
        </w:rPr>
        <w:t>6.2.1、依据仪器特性及上述运维要求，编制相应运维、质控记录表单。</w:t>
      </w:r>
    </w:p>
    <w:p>
      <w:pPr>
        <w:spacing w:before="120" w:after="120" w:line="264" w:lineRule="auto"/>
        <w:ind w:firstLine="420" w:firstLineChars="200"/>
        <w:jc w:val="left"/>
        <w:rPr>
          <w:color w:val="auto"/>
          <w:highlight w:val="none"/>
        </w:rPr>
      </w:pPr>
      <w:r>
        <w:rPr>
          <w:color w:val="auto"/>
          <w:highlight w:val="none"/>
        </w:rPr>
        <w:t>6.2.2、依据技术运维要求，每月提交相应技术运维记录。</w:t>
      </w:r>
    </w:p>
    <w:p>
      <w:pPr>
        <w:spacing w:before="120" w:after="120" w:line="264" w:lineRule="auto"/>
        <w:ind w:firstLine="420" w:firstLineChars="200"/>
        <w:jc w:val="left"/>
        <w:rPr>
          <w:color w:val="auto"/>
          <w:highlight w:val="none"/>
        </w:rPr>
      </w:pPr>
      <w:r>
        <w:rPr>
          <w:color w:val="auto"/>
          <w:highlight w:val="none"/>
        </w:rPr>
        <w:t>6.2.3、根据不定期走航监测数据及现场溯源情况，结合空气质量数据、气象数据、污染因子监测数据、雷达数据、组分数据等多维度信息，总结绘制臭氧雷达监测走航报告，同时对数据进行深度挖掘与分析，实现全方位的数据研判，提高数据分析的效率与数据挖掘的能力，快速响应服务需求。</w:t>
      </w:r>
    </w:p>
    <w:p>
      <w:pPr>
        <w:spacing w:before="120" w:after="120" w:line="264" w:lineRule="auto"/>
        <w:ind w:firstLine="420" w:firstLineChars="200"/>
        <w:jc w:val="left"/>
        <w:rPr>
          <w:color w:val="auto"/>
          <w:highlight w:val="none"/>
        </w:rPr>
      </w:pPr>
      <w:r>
        <w:rPr>
          <w:color w:val="auto"/>
          <w:highlight w:val="none"/>
        </w:rPr>
        <w:t>6.2.4、每年度提交运维总结报告。运维总结报告需包含履行运维工作期间开展的所有运维工作内容及相关原始技术记录，并附开展现场运维、质控工作时的现场照片，并统计所有质控样品结果，并进行符合性分析；同时结合履行运维服务期间仪器运行、质控、故障、维修等情况，提出改善性建议。</w:t>
      </w:r>
    </w:p>
    <w:p>
      <w:pPr>
        <w:spacing w:before="120" w:after="120" w:line="264" w:lineRule="auto"/>
        <w:ind w:firstLine="420" w:firstLineChars="200"/>
        <w:jc w:val="left"/>
        <w:rPr>
          <w:color w:val="auto"/>
          <w:highlight w:val="none"/>
        </w:rPr>
      </w:pPr>
      <w:r>
        <w:rPr>
          <w:color w:val="auto"/>
          <w:highlight w:val="none"/>
        </w:rPr>
        <w:t>6.2.5、依据运维总结报告制作汇报材料向业主进行总结性汇报。</w:t>
      </w:r>
    </w:p>
    <w:p>
      <w:pPr>
        <w:spacing w:before="120" w:after="120" w:line="264" w:lineRule="auto"/>
        <w:ind w:firstLine="420" w:firstLineChars="200"/>
        <w:jc w:val="left"/>
        <w:rPr>
          <w:color w:val="auto"/>
          <w:highlight w:val="none"/>
        </w:rPr>
      </w:pPr>
      <w:r>
        <w:rPr>
          <w:color w:val="auto"/>
          <w:highlight w:val="none"/>
        </w:rPr>
        <w:t>6.3</w:t>
      </w:r>
      <w:r>
        <w:rPr>
          <w:rFonts w:hint="eastAsia"/>
          <w:color w:val="auto"/>
          <w:highlight w:val="none"/>
        </w:rPr>
        <w:t>根据仪器状况及时更换仪器所需的配件，以保证仪器正常运行。更换后的耗材应留存备查。主要耗材更换的频率不少于每年1个晶体及镜片、 1个泵浦LD、1个激光器。主镜窗片、探测器、压电调整架、云台、窗口镜、激光器、开关电源其它耗材应根据实际耗损情况及时更换。</w:t>
      </w:r>
      <w:r>
        <w:rPr>
          <w:color w:val="auto"/>
          <w:highlight w:val="none"/>
        </w:rPr>
        <w:t xml:space="preserve"> </w:t>
      </w:r>
    </w:p>
    <w:p>
      <w:pPr>
        <w:rPr>
          <w:color w:val="auto"/>
          <w:highlight w:val="none"/>
        </w:rPr>
      </w:pPr>
    </w:p>
    <w:p>
      <w:pPr>
        <w:rPr>
          <w:b/>
          <w:bCs/>
          <w:color w:val="auto"/>
          <w:highlight w:val="none"/>
        </w:rPr>
      </w:pPr>
      <w:r>
        <w:rPr>
          <w:rFonts w:hint="eastAsia"/>
          <w:b/>
          <w:bCs/>
          <w:color w:val="auto"/>
          <w:highlight w:val="none"/>
        </w:rPr>
        <w:t>包</w:t>
      </w:r>
      <w:r>
        <w:rPr>
          <w:b/>
          <w:bCs/>
          <w:color w:val="auto"/>
          <w:highlight w:val="none"/>
        </w:rPr>
        <w:t>5</w:t>
      </w:r>
      <w:r>
        <w:rPr>
          <w:rFonts w:hint="eastAsia"/>
          <w:b/>
          <w:bCs/>
          <w:color w:val="auto"/>
          <w:highlight w:val="none"/>
        </w:rPr>
        <w:t>：大气颗粒物组分及</w:t>
      </w:r>
      <w:r>
        <w:rPr>
          <w:b/>
          <w:bCs/>
          <w:color w:val="auto"/>
          <w:highlight w:val="none"/>
        </w:rPr>
        <w:t>VOCs多元综合分析</w:t>
      </w:r>
      <w:r>
        <w:rPr>
          <w:rFonts w:hint="eastAsia"/>
          <w:b/>
          <w:bCs/>
          <w:color w:val="auto"/>
          <w:highlight w:val="none"/>
        </w:rPr>
        <w:t>子</w:t>
      </w:r>
      <w:r>
        <w:rPr>
          <w:b/>
          <w:bCs/>
          <w:color w:val="auto"/>
          <w:highlight w:val="none"/>
        </w:rPr>
        <w:t>系统</w:t>
      </w:r>
      <w:r>
        <w:rPr>
          <w:rFonts w:hint="eastAsia"/>
          <w:b/>
          <w:bCs/>
          <w:color w:val="auto"/>
          <w:highlight w:val="none"/>
        </w:rPr>
        <w:t>运维服务</w:t>
      </w:r>
    </w:p>
    <w:p>
      <w:pPr>
        <w:rPr>
          <w:rFonts w:ascii="宋体" w:hAnsi="宋体"/>
          <w:b/>
          <w:color w:val="auto"/>
          <w:szCs w:val="21"/>
          <w:highlight w:val="none"/>
        </w:rPr>
      </w:pPr>
      <w:r>
        <w:rPr>
          <w:rFonts w:hint="eastAsia" w:ascii="宋体" w:hAnsi="宋体"/>
          <w:b/>
          <w:color w:val="auto"/>
          <w:szCs w:val="21"/>
          <w:highlight w:val="none"/>
        </w:rPr>
        <w:t>一、项目概况</w:t>
      </w:r>
    </w:p>
    <w:p>
      <w:pPr>
        <w:spacing w:before="120" w:after="120" w:line="264" w:lineRule="auto"/>
        <w:ind w:firstLine="420" w:firstLineChars="200"/>
        <w:rPr>
          <w:rFonts w:ascii="宋体" w:hAnsi="宋体"/>
          <w:color w:val="auto"/>
          <w:szCs w:val="21"/>
          <w:highlight w:val="none"/>
        </w:rPr>
      </w:pPr>
      <w:r>
        <w:rPr>
          <w:rFonts w:hint="eastAsia"/>
          <w:color w:val="auto"/>
          <w:highlight w:val="none"/>
        </w:rPr>
        <w:t>大气颗粒物组分及</w:t>
      </w:r>
      <w:r>
        <w:rPr>
          <w:color w:val="auto"/>
          <w:highlight w:val="none"/>
        </w:rPr>
        <w:t>VOCs多元综合分析</w:t>
      </w:r>
      <w:r>
        <w:rPr>
          <w:rFonts w:hint="eastAsia"/>
          <w:color w:val="auto"/>
          <w:highlight w:val="none"/>
        </w:rPr>
        <w:t>子</w:t>
      </w:r>
      <w:r>
        <w:rPr>
          <w:color w:val="auto"/>
          <w:highlight w:val="none"/>
        </w:rPr>
        <w:t>系统</w:t>
      </w:r>
      <w:r>
        <w:rPr>
          <w:rFonts w:hint="eastAsia"/>
          <w:color w:val="auto"/>
          <w:highlight w:val="none"/>
        </w:rPr>
        <w:t>是</w:t>
      </w:r>
      <w:r>
        <w:rPr>
          <w:rFonts w:hint="eastAsia" w:ascii="宋体" w:hAnsi="宋体"/>
          <w:color w:val="auto"/>
          <w:szCs w:val="21"/>
          <w:highlight w:val="none"/>
        </w:rPr>
        <w:t>填平补齐项目为全省超站配置的集数据存储、审核、分析、下载的综合平台。本项目为该平台的硬件维保及软件升级服务，主要包括数据库维护、系统漏洞修复、二次开发、新设备接入、完善模块化分析功能、服务器延保、</w:t>
      </w:r>
      <w:r>
        <w:rPr>
          <w:rFonts w:hint="eastAsia"/>
          <w:color w:val="auto"/>
          <w:highlight w:val="none"/>
        </w:rPr>
        <w:t>客户需求问题情况跟进、平台系统操作使用培训</w:t>
      </w:r>
      <w:r>
        <w:rPr>
          <w:rFonts w:hint="eastAsia" w:ascii="宋体" w:hAnsi="宋体"/>
          <w:color w:val="auto"/>
          <w:szCs w:val="21"/>
          <w:highlight w:val="none"/>
        </w:rPr>
        <w:t>等。</w:t>
      </w:r>
    </w:p>
    <w:p>
      <w:pPr>
        <w:ind w:left="420" w:leftChars="200"/>
        <w:jc w:val="center"/>
        <w:rPr>
          <w:color w:val="auto"/>
          <w:szCs w:val="21"/>
          <w:highlight w:val="none"/>
        </w:rPr>
      </w:pPr>
      <w:r>
        <w:rPr>
          <w:color w:val="auto"/>
          <w:szCs w:val="21"/>
          <w:highlight w:val="none"/>
        </w:rPr>
        <w:t>4-1</w:t>
      </w:r>
      <w:r>
        <w:rPr>
          <w:rFonts w:hint="eastAsia"/>
          <w:bCs/>
          <w:color w:val="auto"/>
          <w:szCs w:val="21"/>
          <w:highlight w:val="none"/>
        </w:rPr>
        <w:t>流动观测车</w:t>
      </w:r>
      <w:r>
        <w:rPr>
          <w:bCs/>
          <w:color w:val="auto"/>
          <w:szCs w:val="21"/>
          <w:highlight w:val="none"/>
        </w:rPr>
        <w:t>设备清单及分项预算</w:t>
      </w:r>
    </w:p>
    <w:tbl>
      <w:tblPr>
        <w:tblStyle w:val="44"/>
        <w:tblW w:w="7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5272"/>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7" w:type="dxa"/>
            <w:shd w:val="clear" w:color="auto" w:fill="FFFFFF" w:themeFill="background1"/>
            <w:vAlign w:val="center"/>
          </w:tcPr>
          <w:p>
            <w:pPr>
              <w:jc w:val="center"/>
              <w:rPr>
                <w:color w:val="auto"/>
                <w:szCs w:val="21"/>
                <w:highlight w:val="none"/>
              </w:rPr>
            </w:pPr>
            <w:r>
              <w:rPr>
                <w:rFonts w:hint="eastAsia"/>
                <w:color w:val="auto"/>
                <w:szCs w:val="21"/>
                <w:highlight w:val="none"/>
              </w:rPr>
              <w:t>序号</w:t>
            </w:r>
          </w:p>
        </w:tc>
        <w:tc>
          <w:tcPr>
            <w:tcW w:w="5272" w:type="dxa"/>
            <w:shd w:val="clear" w:color="auto" w:fill="FFFFFF" w:themeFill="background1"/>
            <w:vAlign w:val="center"/>
          </w:tcPr>
          <w:p>
            <w:pPr>
              <w:jc w:val="center"/>
              <w:rPr>
                <w:color w:val="auto"/>
                <w:szCs w:val="21"/>
                <w:highlight w:val="none"/>
              </w:rPr>
            </w:pPr>
            <w:r>
              <w:rPr>
                <w:rFonts w:hint="eastAsia"/>
                <w:color w:val="auto"/>
                <w:szCs w:val="21"/>
                <w:highlight w:val="none"/>
              </w:rPr>
              <w:t>运维</w:t>
            </w:r>
            <w:r>
              <w:rPr>
                <w:color w:val="auto"/>
                <w:szCs w:val="21"/>
                <w:highlight w:val="none"/>
              </w:rPr>
              <w:t>项目</w:t>
            </w:r>
          </w:p>
        </w:tc>
        <w:tc>
          <w:tcPr>
            <w:tcW w:w="1584" w:type="dxa"/>
            <w:shd w:val="clear" w:color="auto" w:fill="FFFFFF" w:themeFill="background1"/>
            <w:vAlign w:val="center"/>
          </w:tcPr>
          <w:p>
            <w:pPr>
              <w:jc w:val="center"/>
              <w:rPr>
                <w:color w:val="auto"/>
                <w:szCs w:val="21"/>
                <w:highlight w:val="none"/>
              </w:rPr>
            </w:pPr>
            <w:r>
              <w:rPr>
                <w:color w:val="auto"/>
                <w:szCs w:val="21"/>
                <w:highlight w:val="none"/>
              </w:rPr>
              <w:t>分项预算</w:t>
            </w:r>
          </w:p>
          <w:p>
            <w:pPr>
              <w:jc w:val="center"/>
              <w:rPr>
                <w:color w:val="auto"/>
                <w:szCs w:val="21"/>
                <w:highlight w:val="none"/>
              </w:rPr>
            </w:pPr>
            <w:r>
              <w:rPr>
                <w:rFonts w:hint="eastAsia"/>
                <w:color w:val="auto"/>
                <w:szCs w:val="21"/>
                <w:highlight w:val="none"/>
              </w:rPr>
              <w:t>（万元/年）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927" w:type="dxa"/>
            <w:vAlign w:val="center"/>
          </w:tcPr>
          <w:p>
            <w:pPr>
              <w:jc w:val="center"/>
              <w:rPr>
                <w:color w:val="auto"/>
                <w:szCs w:val="21"/>
                <w:highlight w:val="none"/>
              </w:rPr>
            </w:pPr>
            <w:r>
              <w:rPr>
                <w:rFonts w:hint="eastAsia"/>
                <w:color w:val="auto"/>
                <w:szCs w:val="21"/>
                <w:highlight w:val="none"/>
              </w:rPr>
              <w:t>1</w:t>
            </w:r>
          </w:p>
        </w:tc>
        <w:tc>
          <w:tcPr>
            <w:tcW w:w="5272" w:type="dxa"/>
            <w:vAlign w:val="center"/>
          </w:tcPr>
          <w:p>
            <w:pPr>
              <w:jc w:val="center"/>
              <w:rPr>
                <w:color w:val="auto"/>
                <w:szCs w:val="21"/>
                <w:highlight w:val="none"/>
              </w:rPr>
            </w:pPr>
            <w:r>
              <w:rPr>
                <w:rFonts w:hint="eastAsia"/>
                <w:color w:val="auto"/>
                <w:szCs w:val="21"/>
                <w:highlight w:val="none"/>
              </w:rPr>
              <w:t>大气颗粒物组分及VOCs多元综合分析子系统</w:t>
            </w:r>
          </w:p>
        </w:tc>
        <w:tc>
          <w:tcPr>
            <w:tcW w:w="1584" w:type="dxa"/>
            <w:vAlign w:val="center"/>
          </w:tcPr>
          <w:p>
            <w:pPr>
              <w:jc w:val="center"/>
              <w:rPr>
                <w:color w:val="auto"/>
                <w:szCs w:val="21"/>
                <w:highlight w:val="none"/>
              </w:rPr>
            </w:pPr>
            <w:r>
              <w:rPr>
                <w:color w:val="auto"/>
                <w:szCs w:val="21"/>
                <w:highlight w:val="none"/>
              </w:rPr>
              <w:t>40</w:t>
            </w:r>
          </w:p>
        </w:tc>
      </w:tr>
    </w:tbl>
    <w:p>
      <w:pPr>
        <w:spacing w:before="120" w:after="120" w:line="264" w:lineRule="auto"/>
        <w:ind w:firstLine="422" w:firstLineChars="200"/>
        <w:rPr>
          <w:rFonts w:ascii="宋体" w:hAnsi="宋体"/>
          <w:b/>
          <w:color w:val="auto"/>
          <w:szCs w:val="21"/>
          <w:highlight w:val="none"/>
        </w:rPr>
      </w:pPr>
      <w:r>
        <w:rPr>
          <w:rFonts w:hint="eastAsia" w:ascii="宋体" w:hAnsi="宋体"/>
          <w:b/>
          <w:color w:val="auto"/>
          <w:szCs w:val="21"/>
          <w:highlight w:val="none"/>
        </w:rPr>
        <w:t>二、项目需求：</w:t>
      </w:r>
    </w:p>
    <w:p>
      <w:pPr>
        <w:tabs>
          <w:tab w:val="left" w:pos="540"/>
          <w:tab w:val="left" w:pos="900"/>
        </w:tabs>
        <w:spacing w:before="120" w:after="120" w:line="264" w:lineRule="auto"/>
        <w:ind w:firstLine="420" w:firstLineChars="200"/>
        <w:rPr>
          <w:rFonts w:ascii="宋体" w:hAnsi="宋体"/>
          <w:bCs/>
          <w:color w:val="auto"/>
          <w:szCs w:val="21"/>
          <w:highlight w:val="none"/>
        </w:rPr>
      </w:pPr>
      <w:r>
        <w:rPr>
          <w:rFonts w:hint="eastAsia" w:ascii="宋体" w:hAnsi="宋体"/>
          <w:bCs/>
          <w:color w:val="auto"/>
          <w:szCs w:val="21"/>
          <w:highlight w:val="none"/>
        </w:rPr>
        <w:t>2.1总体要求</w:t>
      </w:r>
    </w:p>
    <w:p>
      <w:pPr>
        <w:tabs>
          <w:tab w:val="left" w:pos="540"/>
          <w:tab w:val="left" w:pos="900"/>
        </w:tabs>
        <w:spacing w:before="120" w:after="120" w:line="264" w:lineRule="auto"/>
        <w:ind w:firstLine="420" w:firstLineChars="200"/>
        <w:rPr>
          <w:rFonts w:ascii="宋体" w:hAnsi="宋体"/>
          <w:bCs/>
          <w:color w:val="auto"/>
          <w:szCs w:val="21"/>
          <w:highlight w:val="none"/>
        </w:rPr>
      </w:pPr>
      <w:r>
        <w:rPr>
          <w:rFonts w:hint="eastAsia" w:ascii="宋体" w:hAnsi="宋体"/>
          <w:bCs/>
          <w:color w:val="auto"/>
          <w:szCs w:val="21"/>
          <w:highlight w:val="none"/>
        </w:rPr>
        <w:t>2.1.1投标单位应提供详细的运维管理服务方案。</w:t>
      </w:r>
    </w:p>
    <w:p>
      <w:pPr>
        <w:tabs>
          <w:tab w:val="left" w:pos="540"/>
          <w:tab w:val="left" w:pos="900"/>
        </w:tabs>
        <w:spacing w:before="120" w:after="120" w:line="264" w:lineRule="auto"/>
        <w:ind w:firstLine="420" w:firstLineChars="200"/>
        <w:rPr>
          <w:rFonts w:ascii="宋体" w:hAnsi="宋体"/>
          <w:bCs/>
          <w:color w:val="auto"/>
          <w:szCs w:val="21"/>
          <w:highlight w:val="none"/>
        </w:rPr>
      </w:pPr>
      <w:r>
        <w:rPr>
          <w:rFonts w:hint="eastAsia" w:ascii="宋体" w:hAnsi="宋体"/>
          <w:bCs/>
          <w:color w:val="auto"/>
          <w:szCs w:val="21"/>
          <w:highlight w:val="none"/>
        </w:rPr>
        <w:t>2.1.2投标单位需安排有经验的技术人员1人在项目进行期间常驻江苏省环境监测中心，同时负责协助平台开发设计的相关技术人员应随时响应，处理平台异常情况的处理，完成平台涉及到的相关工作。</w:t>
      </w:r>
    </w:p>
    <w:p>
      <w:pPr>
        <w:tabs>
          <w:tab w:val="left" w:pos="540"/>
          <w:tab w:val="left" w:pos="900"/>
        </w:tabs>
        <w:spacing w:before="120" w:after="120" w:line="264" w:lineRule="auto"/>
        <w:ind w:firstLine="420" w:firstLineChars="200"/>
        <w:rPr>
          <w:rFonts w:ascii="宋体" w:hAnsi="宋体"/>
          <w:bCs/>
          <w:color w:val="auto"/>
          <w:szCs w:val="21"/>
          <w:highlight w:val="none"/>
        </w:rPr>
      </w:pPr>
      <w:r>
        <w:rPr>
          <w:rFonts w:hint="eastAsia" w:ascii="宋体" w:hAnsi="宋体"/>
          <w:bCs/>
          <w:color w:val="auto"/>
          <w:szCs w:val="21"/>
          <w:highlight w:val="none"/>
        </w:rPr>
        <w:t>2</w:t>
      </w:r>
      <w:r>
        <w:rPr>
          <w:rFonts w:ascii="宋体" w:hAnsi="宋体"/>
          <w:bCs/>
          <w:color w:val="auto"/>
          <w:szCs w:val="21"/>
          <w:highlight w:val="none"/>
        </w:rPr>
        <w:t xml:space="preserve">.1.3 </w:t>
      </w:r>
      <w:r>
        <w:rPr>
          <w:rFonts w:hint="eastAsia" w:ascii="宋体" w:hAnsi="宋体"/>
          <w:bCs/>
          <w:color w:val="auto"/>
          <w:szCs w:val="21"/>
          <w:highlight w:val="none"/>
        </w:rPr>
        <w:t>中标方与业主签订数据保密协议。</w:t>
      </w:r>
    </w:p>
    <w:p>
      <w:pPr>
        <w:tabs>
          <w:tab w:val="left" w:pos="540"/>
          <w:tab w:val="left" w:pos="900"/>
        </w:tabs>
        <w:spacing w:before="120" w:after="120" w:line="264" w:lineRule="auto"/>
        <w:ind w:firstLine="420" w:firstLineChars="200"/>
        <w:rPr>
          <w:rFonts w:ascii="宋体" w:hAnsi="宋体"/>
          <w:bCs/>
          <w:color w:val="auto"/>
          <w:szCs w:val="21"/>
          <w:highlight w:val="none"/>
        </w:rPr>
      </w:pPr>
      <w:r>
        <w:rPr>
          <w:rFonts w:hint="eastAsia" w:ascii="宋体" w:hAnsi="宋体"/>
          <w:bCs/>
          <w:color w:val="auto"/>
          <w:szCs w:val="21"/>
          <w:highlight w:val="none"/>
        </w:rPr>
        <w:t>2.2主要工作需求</w:t>
      </w:r>
    </w:p>
    <w:p>
      <w:pPr>
        <w:tabs>
          <w:tab w:val="left" w:pos="540"/>
          <w:tab w:val="left" w:pos="900"/>
        </w:tabs>
        <w:spacing w:before="120" w:after="120" w:line="264" w:lineRule="auto"/>
        <w:ind w:firstLine="420" w:firstLineChars="200"/>
        <w:rPr>
          <w:rFonts w:ascii="宋体" w:hAnsi="宋体"/>
          <w:bCs/>
          <w:color w:val="auto"/>
          <w:szCs w:val="21"/>
          <w:highlight w:val="none"/>
        </w:rPr>
      </w:pPr>
      <w:r>
        <w:rPr>
          <w:rFonts w:hint="eastAsia" w:ascii="宋体" w:hAnsi="宋体"/>
          <w:bCs/>
          <w:color w:val="auto"/>
          <w:szCs w:val="21"/>
          <w:highlight w:val="none"/>
        </w:rPr>
        <w:t>2.2.1每日远程测试各子站仪器端口是否正常，检查数据是否正常上传；登陆数据平台检查设备在线情况，数据是否更新为最新时段数据；若设备离线或数据未更新，联系设备运行维护单位检查仪器是否正常，若正常排查网络及平台程序是否正常，直至数据更新恢复正常；完成数据审查复查，检查自动审核数据标识是否正常，异常数据核实设备情况进行人工审核；每日检查数据查询功能数据载入是否正常，若异常修复程序；</w:t>
      </w:r>
    </w:p>
    <w:p>
      <w:pPr>
        <w:tabs>
          <w:tab w:val="left" w:pos="540"/>
          <w:tab w:val="left" w:pos="900"/>
        </w:tabs>
        <w:spacing w:before="120" w:after="120" w:line="264" w:lineRule="auto"/>
        <w:ind w:firstLine="420" w:firstLineChars="200"/>
        <w:rPr>
          <w:rFonts w:ascii="宋体" w:hAnsi="宋体"/>
          <w:bCs/>
          <w:color w:val="auto"/>
          <w:szCs w:val="21"/>
          <w:highlight w:val="none"/>
        </w:rPr>
      </w:pPr>
      <w:r>
        <w:rPr>
          <w:rFonts w:hint="eastAsia" w:ascii="宋体" w:hAnsi="宋体"/>
          <w:bCs/>
          <w:color w:val="auto"/>
          <w:szCs w:val="21"/>
          <w:highlight w:val="none"/>
        </w:rPr>
        <w:t>2.2.2负责平台数据库的维护，当数据库出现异常或因停电等原因造成数据库损坏的，应立刻响应，并尽快恢复；维护数据传输情况，确保数据正常传输，若异常修复程序，以实现平台端能正常实现数据应用结果为准；</w:t>
      </w:r>
    </w:p>
    <w:p>
      <w:pPr>
        <w:tabs>
          <w:tab w:val="left" w:pos="540"/>
          <w:tab w:val="left" w:pos="900"/>
        </w:tabs>
        <w:spacing w:before="120" w:after="120" w:line="264" w:lineRule="auto"/>
        <w:ind w:firstLine="420" w:firstLineChars="200"/>
        <w:rPr>
          <w:rFonts w:ascii="宋体" w:hAnsi="宋体"/>
          <w:bCs/>
          <w:color w:val="auto"/>
          <w:szCs w:val="21"/>
          <w:highlight w:val="none"/>
        </w:rPr>
      </w:pPr>
      <w:r>
        <w:rPr>
          <w:rFonts w:hint="eastAsia" w:ascii="宋体" w:hAnsi="宋体"/>
          <w:bCs/>
          <w:color w:val="auto"/>
          <w:szCs w:val="21"/>
          <w:highlight w:val="none"/>
        </w:rPr>
        <w:t>2.2.3负责现场服务器数据备份，包括免费提供备份用的数据载体与设备；</w:t>
      </w:r>
      <w:r>
        <w:rPr>
          <w:rFonts w:ascii="宋体" w:hAnsi="宋体"/>
          <w:bCs/>
          <w:color w:val="auto"/>
          <w:szCs w:val="21"/>
          <w:highlight w:val="none"/>
        </w:rPr>
        <w:t xml:space="preserve"> </w:t>
      </w:r>
    </w:p>
    <w:p>
      <w:pPr>
        <w:tabs>
          <w:tab w:val="left" w:pos="540"/>
          <w:tab w:val="left" w:pos="900"/>
        </w:tabs>
        <w:spacing w:before="120" w:after="120" w:line="264" w:lineRule="auto"/>
        <w:ind w:firstLine="420" w:firstLineChars="200"/>
        <w:rPr>
          <w:rFonts w:ascii="宋体" w:hAnsi="宋体"/>
          <w:bCs/>
          <w:color w:val="auto"/>
          <w:szCs w:val="21"/>
          <w:highlight w:val="none"/>
        </w:rPr>
      </w:pPr>
      <w:r>
        <w:rPr>
          <w:rFonts w:hint="eastAsia" w:ascii="宋体" w:hAnsi="宋体"/>
          <w:bCs/>
          <w:color w:val="auto"/>
          <w:szCs w:val="21"/>
          <w:highlight w:val="none"/>
        </w:rPr>
        <w:t>2.2.4负责平台系统漏洞的修补；</w:t>
      </w:r>
    </w:p>
    <w:p>
      <w:pPr>
        <w:tabs>
          <w:tab w:val="left" w:pos="540"/>
          <w:tab w:val="left" w:pos="900"/>
        </w:tabs>
        <w:spacing w:before="120" w:after="120" w:line="264" w:lineRule="auto"/>
        <w:ind w:firstLine="420" w:firstLineChars="200"/>
        <w:rPr>
          <w:rFonts w:ascii="宋体" w:hAnsi="宋体"/>
          <w:bCs/>
          <w:color w:val="auto"/>
          <w:szCs w:val="21"/>
          <w:highlight w:val="none"/>
        </w:rPr>
      </w:pPr>
      <w:r>
        <w:rPr>
          <w:rFonts w:hint="eastAsia" w:ascii="宋体" w:hAnsi="宋体"/>
          <w:bCs/>
          <w:color w:val="auto"/>
          <w:szCs w:val="21"/>
          <w:highlight w:val="none"/>
        </w:rPr>
        <w:t>2.2.5负责平台数据范围内的二次开发及修改，按照江苏省环境监测中心的相关要求，完成相关平台的二次开发工作；</w:t>
      </w:r>
    </w:p>
    <w:p>
      <w:pPr>
        <w:tabs>
          <w:tab w:val="left" w:pos="540"/>
          <w:tab w:val="left" w:pos="900"/>
        </w:tabs>
        <w:spacing w:before="120" w:after="120" w:line="264" w:lineRule="auto"/>
        <w:ind w:firstLine="420" w:firstLineChars="200"/>
        <w:rPr>
          <w:rFonts w:ascii="宋体" w:hAnsi="宋体"/>
          <w:bCs/>
          <w:color w:val="auto"/>
          <w:szCs w:val="21"/>
          <w:highlight w:val="none"/>
        </w:rPr>
      </w:pPr>
      <w:r>
        <w:rPr>
          <w:rFonts w:hint="eastAsia" w:ascii="宋体" w:hAnsi="宋体"/>
          <w:bCs/>
          <w:color w:val="auto"/>
          <w:szCs w:val="21"/>
          <w:highlight w:val="none"/>
        </w:rPr>
        <w:t>2.2.6按江苏省环境监测中心要求，保证后续设备或者不同类型的设备顺利接入平台；</w:t>
      </w:r>
    </w:p>
    <w:p>
      <w:pPr>
        <w:tabs>
          <w:tab w:val="left" w:pos="540"/>
          <w:tab w:val="left" w:pos="900"/>
        </w:tabs>
        <w:spacing w:before="120" w:after="120" w:line="264" w:lineRule="auto"/>
        <w:ind w:firstLine="420" w:firstLineChars="200"/>
        <w:rPr>
          <w:rFonts w:ascii="宋体" w:hAnsi="宋体"/>
          <w:bCs/>
          <w:color w:val="auto"/>
          <w:szCs w:val="21"/>
          <w:highlight w:val="none"/>
        </w:rPr>
      </w:pPr>
      <w:r>
        <w:rPr>
          <w:rFonts w:hint="eastAsia" w:ascii="宋体" w:hAnsi="宋体"/>
          <w:bCs/>
          <w:color w:val="auto"/>
          <w:szCs w:val="21"/>
          <w:highlight w:val="none"/>
        </w:rPr>
        <w:t>2.2.7当子站现场端出现数据传输故障时，在远程可以处理的情况下，协助运维方检查与排除故障，或当运维人员在现场处理相关问题时，指导维护人员进行测站故障排查；</w:t>
      </w:r>
    </w:p>
    <w:p>
      <w:pPr>
        <w:tabs>
          <w:tab w:val="left" w:pos="540"/>
          <w:tab w:val="left" w:pos="900"/>
        </w:tabs>
        <w:spacing w:before="120" w:after="120" w:line="264" w:lineRule="auto"/>
        <w:ind w:firstLine="420" w:firstLineChars="200"/>
        <w:rPr>
          <w:rFonts w:ascii="宋体" w:hAnsi="宋体"/>
          <w:bCs/>
          <w:color w:val="auto"/>
          <w:szCs w:val="21"/>
          <w:highlight w:val="none"/>
        </w:rPr>
      </w:pPr>
      <w:r>
        <w:rPr>
          <w:rFonts w:hint="eastAsia" w:ascii="宋体" w:hAnsi="宋体"/>
          <w:bCs/>
          <w:color w:val="auto"/>
          <w:szCs w:val="21"/>
          <w:highlight w:val="none"/>
        </w:rPr>
        <w:t>2.2.8承担江苏省环境监测中心安排的其他与平台相关的工作。</w:t>
      </w:r>
    </w:p>
    <w:p>
      <w:pPr>
        <w:tabs>
          <w:tab w:val="left" w:pos="540"/>
          <w:tab w:val="left" w:pos="900"/>
        </w:tabs>
        <w:spacing w:before="120" w:after="120" w:line="264" w:lineRule="auto"/>
        <w:ind w:firstLine="420" w:firstLineChars="200"/>
        <w:jc w:val="left"/>
        <w:rPr>
          <w:rFonts w:ascii="宋体" w:hAnsi="宋体"/>
          <w:bCs/>
          <w:color w:val="auto"/>
          <w:szCs w:val="21"/>
          <w:highlight w:val="none"/>
        </w:rPr>
      </w:pPr>
      <w:r>
        <w:rPr>
          <w:rFonts w:ascii="宋体" w:hAnsi="宋体"/>
          <w:bCs/>
          <w:color w:val="auto"/>
          <w:szCs w:val="21"/>
          <w:highlight w:val="none"/>
        </w:rPr>
        <w:t>2.</w:t>
      </w:r>
      <w:r>
        <w:rPr>
          <w:rFonts w:hint="eastAsia" w:ascii="宋体" w:hAnsi="宋体"/>
          <w:bCs/>
          <w:color w:val="auto"/>
          <w:szCs w:val="21"/>
          <w:highlight w:val="none"/>
        </w:rPr>
        <w:t>3</w:t>
      </w:r>
      <w:r>
        <w:rPr>
          <w:rFonts w:ascii="宋体" w:hAnsi="宋体"/>
          <w:bCs/>
          <w:color w:val="auto"/>
          <w:szCs w:val="21"/>
          <w:highlight w:val="none"/>
        </w:rPr>
        <w:t>运维记录</w:t>
      </w:r>
      <w:r>
        <w:rPr>
          <w:rFonts w:hint="eastAsia" w:ascii="宋体" w:hAnsi="宋体"/>
          <w:bCs/>
          <w:color w:val="auto"/>
          <w:szCs w:val="21"/>
          <w:highlight w:val="none"/>
        </w:rPr>
        <w:t>及报告</w:t>
      </w:r>
    </w:p>
    <w:p>
      <w:pPr>
        <w:ind w:firstLine="420" w:firstLineChars="200"/>
        <w:rPr>
          <w:color w:val="auto"/>
          <w:highlight w:val="none"/>
        </w:rPr>
      </w:pPr>
      <w:r>
        <w:rPr>
          <w:color w:val="auto"/>
          <w:highlight w:val="none"/>
        </w:rPr>
        <w:t>2.</w:t>
      </w:r>
      <w:r>
        <w:rPr>
          <w:rFonts w:hint="eastAsia"/>
          <w:color w:val="auto"/>
          <w:highlight w:val="none"/>
        </w:rPr>
        <w:t>3</w:t>
      </w:r>
      <w:r>
        <w:rPr>
          <w:color w:val="auto"/>
          <w:highlight w:val="none"/>
        </w:rPr>
        <w:t>.</w:t>
      </w:r>
      <w:r>
        <w:rPr>
          <w:rFonts w:hint="eastAsia"/>
          <w:color w:val="auto"/>
          <w:highlight w:val="none"/>
        </w:rPr>
        <w:t>1每月提供基于平台统计的月报，内容包含但不限于平台数据联网率、有效率、数据基本统计等。</w:t>
      </w:r>
    </w:p>
    <w:p>
      <w:pPr>
        <w:ind w:firstLine="420" w:firstLineChars="200"/>
        <w:rPr>
          <w:color w:val="auto"/>
          <w:highlight w:val="none"/>
        </w:rPr>
      </w:pPr>
      <w:r>
        <w:rPr>
          <w:rFonts w:hint="eastAsia"/>
          <w:color w:val="auto"/>
          <w:highlight w:val="none"/>
        </w:rPr>
        <w:t>2</w:t>
      </w:r>
      <w:r>
        <w:rPr>
          <w:color w:val="auto"/>
          <w:highlight w:val="none"/>
        </w:rPr>
        <w:t>.3.2</w:t>
      </w:r>
      <w:r>
        <w:rPr>
          <w:rFonts w:hint="eastAsia"/>
          <w:color w:val="auto"/>
          <w:highlight w:val="none"/>
        </w:rPr>
        <w:t>检查年度软件平台运行状况，统计年度问题发现与修复情况，整理成报表。</w:t>
      </w:r>
    </w:p>
    <w:p>
      <w:pPr>
        <w:ind w:firstLine="420" w:firstLineChars="200"/>
        <w:rPr>
          <w:color w:val="auto"/>
          <w:highlight w:val="none"/>
        </w:rPr>
      </w:pPr>
      <w:r>
        <w:rPr>
          <w:color w:val="auto"/>
          <w:highlight w:val="none"/>
        </w:rPr>
        <w:t>2.4</w:t>
      </w:r>
      <w:r>
        <w:rPr>
          <w:rFonts w:hint="eastAsia"/>
          <w:color w:val="auto"/>
          <w:highlight w:val="none"/>
        </w:rPr>
        <w:t>应急方案</w:t>
      </w:r>
    </w:p>
    <w:p>
      <w:pPr>
        <w:ind w:firstLine="420" w:firstLineChars="200"/>
        <w:rPr>
          <w:color w:val="auto"/>
          <w:highlight w:val="none"/>
        </w:rPr>
      </w:pPr>
      <w:r>
        <w:rPr>
          <w:rFonts w:hint="eastAsia"/>
          <w:color w:val="auto"/>
          <w:highlight w:val="none"/>
        </w:rPr>
        <w:t>投标人应提供详细的应急保障方案，当平台出现故障时，应在</w:t>
      </w:r>
      <w:r>
        <w:rPr>
          <w:color w:val="auto"/>
          <w:highlight w:val="none"/>
        </w:rPr>
        <w:t>2</w:t>
      </w:r>
      <w:r>
        <w:rPr>
          <w:rFonts w:hint="eastAsia"/>
          <w:color w:val="auto"/>
          <w:highlight w:val="none"/>
        </w:rPr>
        <w:t>小时内响应，</w:t>
      </w:r>
      <w:r>
        <w:rPr>
          <w:color w:val="auto"/>
          <w:highlight w:val="none"/>
        </w:rPr>
        <w:t>4</w:t>
      </w:r>
      <w:r>
        <w:rPr>
          <w:rFonts w:hint="eastAsia"/>
          <w:color w:val="auto"/>
          <w:highlight w:val="none"/>
        </w:rPr>
        <w:t>小时到达现场，</w:t>
      </w:r>
      <w:r>
        <w:rPr>
          <w:color w:val="auto"/>
          <w:highlight w:val="none"/>
        </w:rPr>
        <w:t>8</w:t>
      </w:r>
      <w:r>
        <w:rPr>
          <w:rFonts w:hint="eastAsia"/>
          <w:color w:val="auto"/>
          <w:highlight w:val="none"/>
        </w:rPr>
        <w:t>小时内完成维修。</w:t>
      </w:r>
    </w:p>
    <w:p>
      <w:pPr>
        <w:ind w:firstLine="420" w:firstLineChars="200"/>
        <w:rPr>
          <w:color w:val="auto"/>
          <w:highlight w:val="none"/>
        </w:rPr>
      </w:pPr>
      <w:r>
        <w:rPr>
          <w:color w:val="auto"/>
          <w:highlight w:val="none"/>
        </w:rPr>
        <w:t>2.5</w:t>
      </w:r>
      <w:r>
        <w:rPr>
          <w:rFonts w:hint="eastAsia"/>
          <w:color w:val="auto"/>
          <w:highlight w:val="none"/>
        </w:rPr>
        <w:t>培训方案</w:t>
      </w:r>
    </w:p>
    <w:p>
      <w:pPr>
        <w:ind w:firstLine="420" w:firstLineChars="200"/>
        <w:rPr>
          <w:color w:val="auto"/>
          <w:highlight w:val="none"/>
        </w:rPr>
      </w:pPr>
      <w:r>
        <w:rPr>
          <w:rFonts w:hint="eastAsia"/>
          <w:color w:val="auto"/>
          <w:highlight w:val="none"/>
        </w:rPr>
        <w:t>投标人提供详细的培训方案，为省监测中心管理人员及相关运维人员提供超站平台操作培训。</w:t>
      </w:r>
    </w:p>
    <w:p>
      <w:pPr>
        <w:ind w:firstLine="420" w:firstLineChars="200"/>
        <w:rPr>
          <w:color w:val="auto"/>
          <w:highlight w:val="none"/>
        </w:rPr>
      </w:pPr>
      <w:r>
        <w:rPr>
          <w:rFonts w:hint="eastAsia"/>
          <w:color w:val="auto"/>
          <w:highlight w:val="none"/>
        </w:rPr>
        <w:t>2</w:t>
      </w:r>
      <w:r>
        <w:rPr>
          <w:color w:val="auto"/>
          <w:highlight w:val="none"/>
        </w:rPr>
        <w:t>.6</w:t>
      </w:r>
      <w:r>
        <w:rPr>
          <w:rFonts w:hint="eastAsia"/>
          <w:color w:val="auto"/>
          <w:highlight w:val="none"/>
        </w:rPr>
        <w:t>中标人中标后与省中心签订保密协议。</w:t>
      </w:r>
    </w:p>
    <w:p>
      <w:pPr>
        <w:rPr>
          <w:color w:val="auto"/>
          <w:highlight w:val="none"/>
        </w:rPr>
      </w:pPr>
    </w:p>
    <w:p>
      <w:pPr>
        <w:keepNext/>
        <w:keepLines/>
        <w:snapToGrid w:val="0"/>
        <w:spacing w:line="360" w:lineRule="auto"/>
        <w:ind w:firstLine="420" w:firstLineChars="200"/>
        <w:jc w:val="left"/>
        <w:rPr>
          <w:rFonts w:ascii="Arial" w:hAnsi="Arial" w:cs="Arial"/>
          <w:b/>
          <w:bCs/>
          <w:color w:val="auto"/>
          <w:kern w:val="44"/>
          <w:sz w:val="32"/>
          <w:szCs w:val="44"/>
          <w:highlight w:val="none"/>
        </w:rPr>
      </w:pPr>
      <w:r>
        <w:rPr>
          <w:rFonts w:ascii="Arial" w:hAnsi="Arial" w:cs="Arial"/>
          <w:color w:val="auto"/>
          <w:highlight w:val="none"/>
        </w:rPr>
        <w:br w:type="page"/>
      </w:r>
    </w:p>
    <w:p>
      <w:pPr>
        <w:pStyle w:val="3"/>
        <w:numPr>
          <w:ilvl w:val="0"/>
          <w:numId w:val="5"/>
        </w:numPr>
        <w:rPr>
          <w:rFonts w:ascii="Arial" w:hAnsi="Arial" w:cs="Arial"/>
          <w:color w:val="auto"/>
          <w:highlight w:val="none"/>
        </w:rPr>
      </w:pPr>
      <w:bookmarkStart w:id="23" w:name="_Toc15239"/>
      <w:r>
        <w:rPr>
          <w:rFonts w:hint="eastAsia" w:ascii="Arial" w:hAnsi="Arial" w:cs="Arial"/>
          <w:color w:val="auto"/>
          <w:highlight w:val="none"/>
        </w:rPr>
        <w:t>合同</w:t>
      </w:r>
      <w:r>
        <w:rPr>
          <w:rFonts w:ascii="Arial" w:hAnsi="Arial" w:cs="Arial"/>
          <w:color w:val="auto"/>
          <w:highlight w:val="none"/>
        </w:rPr>
        <w:t>主要条款及格式</w:t>
      </w:r>
      <w:bookmarkEnd w:id="11"/>
      <w:bookmarkEnd w:id="23"/>
    </w:p>
    <w:p>
      <w:pPr>
        <w:ind w:firstLine="480" w:firstLineChars="200"/>
        <w:rPr>
          <w:bCs/>
          <w:color w:val="auto"/>
          <w:sz w:val="24"/>
          <w:highlight w:val="none"/>
        </w:rPr>
      </w:pPr>
      <w:r>
        <w:rPr>
          <w:bCs/>
          <w:color w:val="auto"/>
          <w:sz w:val="24"/>
          <w:highlight w:val="none"/>
        </w:rPr>
        <w:t>以下为中标后签定本项目合同的通用条款，中标人不得提出实质性的修改，关于专用条款将由采购人与中标人结合本项目具体情况协商后签订。</w:t>
      </w:r>
    </w:p>
    <w:p>
      <w:pPr>
        <w:pStyle w:val="14"/>
        <w:rPr>
          <w:color w:val="auto"/>
          <w:highlight w:val="none"/>
        </w:rPr>
      </w:pPr>
    </w:p>
    <w:p>
      <w:pPr>
        <w:snapToGrid w:val="0"/>
        <w:ind w:firstLine="200"/>
        <w:jc w:val="center"/>
        <w:rPr>
          <w:b/>
          <w:bCs/>
          <w:color w:val="auto"/>
          <w:sz w:val="30"/>
          <w:szCs w:val="20"/>
          <w:highlight w:val="none"/>
        </w:rPr>
      </w:pPr>
      <w:bookmarkStart w:id="24" w:name="_Toc86134618"/>
      <w:bookmarkStart w:id="25" w:name="_Toc31123"/>
      <w:bookmarkStart w:id="26" w:name="_Toc86134569"/>
      <w:r>
        <w:rPr>
          <w:b/>
          <w:color w:val="auto"/>
          <w:sz w:val="30"/>
          <w:highlight w:val="none"/>
        </w:rPr>
        <w:t>江苏省政府采购合同（服务）（合同编号）</w:t>
      </w:r>
      <w:bookmarkEnd w:id="24"/>
      <w:bookmarkEnd w:id="25"/>
      <w:bookmarkEnd w:id="26"/>
    </w:p>
    <w:p>
      <w:pPr>
        <w:tabs>
          <w:tab w:val="left" w:pos="900"/>
        </w:tabs>
        <w:spacing w:line="360" w:lineRule="auto"/>
        <w:ind w:firstLine="420" w:firstLineChars="200"/>
        <w:rPr>
          <w:bCs/>
          <w:color w:val="auto"/>
          <w:highlight w:val="none"/>
        </w:rPr>
      </w:pPr>
      <w:r>
        <w:rPr>
          <w:bCs/>
          <w:color w:val="auto"/>
          <w:highlight w:val="none"/>
        </w:rPr>
        <w:t xml:space="preserve">项目名称                                       </w:t>
      </w:r>
    </w:p>
    <w:p>
      <w:pPr>
        <w:spacing w:line="360" w:lineRule="auto"/>
        <w:ind w:firstLine="420" w:firstLineChars="200"/>
        <w:rPr>
          <w:bCs/>
          <w:color w:val="auto"/>
          <w:highlight w:val="none"/>
        </w:rPr>
      </w:pPr>
      <w:r>
        <w:rPr>
          <w:bCs/>
          <w:color w:val="auto"/>
          <w:highlight w:val="none"/>
        </w:rPr>
        <w:t>项目编号：</w:t>
      </w:r>
    </w:p>
    <w:p>
      <w:pPr>
        <w:spacing w:line="360" w:lineRule="auto"/>
        <w:ind w:firstLine="420" w:firstLineChars="200"/>
        <w:rPr>
          <w:bCs/>
          <w:color w:val="auto"/>
          <w:highlight w:val="none"/>
        </w:rPr>
      </w:pPr>
      <w:r>
        <w:rPr>
          <w:bCs/>
          <w:color w:val="auto"/>
          <w:highlight w:val="none"/>
        </w:rPr>
        <w:t>甲方：（买方）江苏省环境监测中心</w:t>
      </w:r>
    </w:p>
    <w:p>
      <w:pPr>
        <w:spacing w:line="360" w:lineRule="auto"/>
        <w:ind w:firstLine="420" w:firstLineChars="200"/>
        <w:rPr>
          <w:bCs/>
          <w:color w:val="auto"/>
          <w:highlight w:val="none"/>
        </w:rPr>
      </w:pPr>
      <w:r>
        <w:rPr>
          <w:bCs/>
          <w:color w:val="auto"/>
          <w:highlight w:val="none"/>
        </w:rPr>
        <w:t>乙方：（卖方）</w:t>
      </w:r>
    </w:p>
    <w:p>
      <w:pPr>
        <w:snapToGrid w:val="0"/>
        <w:spacing w:line="360" w:lineRule="auto"/>
        <w:ind w:firstLine="422" w:firstLineChars="200"/>
        <w:rPr>
          <w:b/>
          <w:color w:val="auto"/>
          <w:highlight w:val="none"/>
        </w:rPr>
      </w:pPr>
      <w:r>
        <w:rPr>
          <w:b/>
          <w:color w:val="auto"/>
          <w:highlight w:val="none"/>
        </w:rPr>
        <w:t>分包号：</w:t>
      </w:r>
    </w:p>
    <w:p>
      <w:pPr>
        <w:snapToGrid w:val="0"/>
        <w:spacing w:line="360" w:lineRule="auto"/>
        <w:ind w:firstLine="422" w:firstLineChars="200"/>
        <w:rPr>
          <w:b/>
          <w:color w:val="auto"/>
          <w:highlight w:val="none"/>
        </w:rPr>
      </w:pPr>
      <w:r>
        <w:rPr>
          <w:b/>
          <w:color w:val="auto"/>
          <w:highlight w:val="none"/>
        </w:rPr>
        <w:t xml:space="preserve">  </w:t>
      </w:r>
    </w:p>
    <w:p>
      <w:pPr>
        <w:snapToGrid w:val="0"/>
        <w:spacing w:line="360" w:lineRule="auto"/>
        <w:ind w:firstLine="422" w:firstLineChars="200"/>
        <w:rPr>
          <w:b/>
          <w:color w:val="auto"/>
          <w:highlight w:val="none"/>
        </w:rPr>
      </w:pPr>
      <w:r>
        <w:rPr>
          <w:b/>
          <w:color w:val="auto"/>
          <w:highlight w:val="none"/>
        </w:rPr>
        <w:t>一、服务内容</w:t>
      </w:r>
    </w:p>
    <w:p>
      <w:pPr>
        <w:spacing w:line="360" w:lineRule="auto"/>
        <w:ind w:firstLine="420" w:firstLineChars="200"/>
        <w:rPr>
          <w:bCs/>
          <w:color w:val="auto"/>
          <w:highlight w:val="none"/>
        </w:rPr>
      </w:pPr>
      <w:r>
        <w:rPr>
          <w:bCs/>
          <w:color w:val="auto"/>
          <w:highlight w:val="none"/>
        </w:rPr>
        <w:t xml:space="preserve">1.1 项目内容： </w:t>
      </w:r>
    </w:p>
    <w:p>
      <w:pPr>
        <w:spacing w:line="360" w:lineRule="auto"/>
        <w:ind w:firstLine="420" w:firstLineChars="200"/>
        <w:rPr>
          <w:bCs/>
          <w:color w:val="auto"/>
          <w:highlight w:val="none"/>
        </w:rPr>
      </w:pPr>
    </w:p>
    <w:p>
      <w:pPr>
        <w:snapToGrid w:val="0"/>
        <w:spacing w:line="360" w:lineRule="auto"/>
        <w:ind w:firstLine="422" w:firstLineChars="200"/>
        <w:rPr>
          <w:b/>
          <w:color w:val="auto"/>
          <w:highlight w:val="none"/>
        </w:rPr>
      </w:pPr>
      <w:r>
        <w:rPr>
          <w:b/>
          <w:color w:val="auto"/>
          <w:highlight w:val="none"/>
        </w:rPr>
        <w:t>二、合同金额</w:t>
      </w:r>
    </w:p>
    <w:p>
      <w:pPr>
        <w:pStyle w:val="23"/>
        <w:snapToGrid w:val="0"/>
        <w:spacing w:line="360" w:lineRule="auto"/>
        <w:ind w:firstLine="420" w:firstLineChars="200"/>
        <w:rPr>
          <w:rFonts w:ascii="Times New Roman"/>
          <w:color w:val="auto"/>
          <w:highlight w:val="none"/>
        </w:rPr>
      </w:pPr>
      <w:r>
        <w:rPr>
          <w:rFonts w:ascii="Times New Roman"/>
          <w:color w:val="auto"/>
          <w:highlight w:val="none"/>
        </w:rPr>
        <w:t>本合同金额为（大写）：____________________圆（_____________元）人民币。</w:t>
      </w:r>
    </w:p>
    <w:p>
      <w:pPr>
        <w:snapToGrid w:val="0"/>
        <w:spacing w:line="360" w:lineRule="auto"/>
        <w:ind w:firstLine="422" w:firstLineChars="200"/>
        <w:rPr>
          <w:b/>
          <w:color w:val="auto"/>
          <w:highlight w:val="none"/>
        </w:rPr>
      </w:pPr>
      <w:r>
        <w:rPr>
          <w:b/>
          <w:color w:val="auto"/>
          <w:highlight w:val="none"/>
        </w:rPr>
        <w:t>三、技术资料</w:t>
      </w:r>
    </w:p>
    <w:p>
      <w:pPr>
        <w:pStyle w:val="23"/>
        <w:spacing w:line="360" w:lineRule="auto"/>
        <w:ind w:firstLine="420" w:firstLineChars="200"/>
        <w:rPr>
          <w:rFonts w:ascii="Times New Roman"/>
          <w:color w:val="auto"/>
          <w:highlight w:val="none"/>
        </w:rPr>
      </w:pPr>
      <w:r>
        <w:rPr>
          <w:rFonts w:ascii="Times New Roman"/>
          <w:color w:val="auto"/>
          <w:highlight w:val="none"/>
        </w:rPr>
        <w:t>3.1 乙方应按招标文件规定的时间向甲方提供服务的有关技术资料。</w:t>
      </w:r>
    </w:p>
    <w:p>
      <w:pPr>
        <w:pStyle w:val="23"/>
        <w:spacing w:line="360" w:lineRule="auto"/>
        <w:ind w:firstLine="420" w:firstLineChars="200"/>
        <w:rPr>
          <w:rFonts w:ascii="Times New Roman"/>
          <w:color w:val="auto"/>
          <w:highlight w:val="none"/>
        </w:rPr>
      </w:pPr>
      <w:r>
        <w:rPr>
          <w:rFonts w:ascii="Times New Roman"/>
          <w:color w:val="auto"/>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23"/>
        <w:snapToGrid w:val="0"/>
        <w:spacing w:line="360" w:lineRule="auto"/>
        <w:ind w:firstLine="422" w:firstLineChars="200"/>
        <w:rPr>
          <w:rFonts w:ascii="Times New Roman"/>
          <w:b/>
          <w:color w:val="auto"/>
          <w:highlight w:val="none"/>
        </w:rPr>
      </w:pPr>
      <w:r>
        <w:rPr>
          <w:rFonts w:ascii="Times New Roman"/>
          <w:b/>
          <w:color w:val="auto"/>
          <w:highlight w:val="none"/>
        </w:rPr>
        <w:t>四、知识产权</w:t>
      </w:r>
    </w:p>
    <w:p>
      <w:pPr>
        <w:pStyle w:val="23"/>
        <w:spacing w:line="360" w:lineRule="auto"/>
        <w:ind w:firstLine="420" w:firstLineChars="200"/>
        <w:rPr>
          <w:rFonts w:ascii="Times New Roman"/>
          <w:color w:val="auto"/>
          <w:highlight w:val="none"/>
        </w:rPr>
      </w:pPr>
      <w:r>
        <w:rPr>
          <w:rFonts w:ascii="Times New Roman"/>
          <w:color w:val="auto"/>
          <w:highlight w:val="none"/>
        </w:rPr>
        <w:t>乙方应保证甲方在使用、接受本合同服务或其任何一部分时不受第三方提出侵犯其专利权、版权、商标权和工业设计权等知识产权的起诉。一旦出现侵权，由乙方负全部责任。</w:t>
      </w:r>
    </w:p>
    <w:p>
      <w:pPr>
        <w:pStyle w:val="23"/>
        <w:snapToGrid w:val="0"/>
        <w:spacing w:line="360" w:lineRule="auto"/>
        <w:ind w:firstLine="422" w:firstLineChars="200"/>
        <w:rPr>
          <w:rFonts w:ascii="Times New Roman"/>
          <w:b/>
          <w:color w:val="auto"/>
          <w:highlight w:val="none"/>
        </w:rPr>
      </w:pPr>
      <w:r>
        <w:rPr>
          <w:rFonts w:ascii="Times New Roman"/>
          <w:b/>
          <w:color w:val="auto"/>
          <w:highlight w:val="none"/>
        </w:rPr>
        <w:t>五、产权担保</w:t>
      </w:r>
    </w:p>
    <w:p>
      <w:pPr>
        <w:pStyle w:val="23"/>
        <w:spacing w:line="360" w:lineRule="auto"/>
        <w:ind w:firstLine="420" w:firstLineChars="200"/>
        <w:rPr>
          <w:rFonts w:ascii="Times New Roman"/>
          <w:color w:val="auto"/>
          <w:highlight w:val="none"/>
        </w:rPr>
      </w:pPr>
      <w:r>
        <w:rPr>
          <w:rFonts w:ascii="Times New Roman"/>
          <w:color w:val="auto"/>
          <w:highlight w:val="none"/>
        </w:rPr>
        <w:t>乙方保证所交付的货物的所有权完全属于乙方且无任何抵押、查封等产权瑕疵。</w:t>
      </w:r>
    </w:p>
    <w:p>
      <w:pPr>
        <w:pStyle w:val="23"/>
        <w:snapToGrid w:val="0"/>
        <w:spacing w:line="360" w:lineRule="auto"/>
        <w:ind w:firstLine="422" w:firstLineChars="200"/>
        <w:rPr>
          <w:rFonts w:ascii="Times New Roman"/>
          <w:b/>
          <w:color w:val="auto"/>
          <w:highlight w:val="none"/>
        </w:rPr>
      </w:pPr>
      <w:r>
        <w:rPr>
          <w:rFonts w:ascii="Times New Roman"/>
          <w:b/>
          <w:color w:val="auto"/>
          <w:highlight w:val="none"/>
        </w:rPr>
        <w:t>六、履约保证金</w:t>
      </w:r>
    </w:p>
    <w:p>
      <w:pPr>
        <w:pStyle w:val="23"/>
        <w:spacing w:line="360" w:lineRule="auto"/>
        <w:ind w:firstLine="420" w:firstLineChars="200"/>
        <w:rPr>
          <w:rFonts w:ascii="Times New Roman"/>
          <w:color w:val="auto"/>
          <w:highlight w:val="none"/>
        </w:rPr>
      </w:pPr>
      <w:r>
        <w:rPr>
          <w:rFonts w:ascii="Times New Roman"/>
          <w:color w:val="auto"/>
          <w:highlight w:val="none"/>
        </w:rPr>
        <w:t>6.1 乙方在完成合同签订后交纳合同金额的10%（人民币_________元）作为本合同的履约保证金。</w:t>
      </w:r>
    </w:p>
    <w:p>
      <w:pPr>
        <w:pStyle w:val="23"/>
        <w:spacing w:line="360" w:lineRule="auto"/>
        <w:ind w:firstLine="420" w:firstLineChars="200"/>
        <w:rPr>
          <w:rFonts w:ascii="Times New Roman"/>
          <w:color w:val="auto"/>
          <w:highlight w:val="none"/>
        </w:rPr>
      </w:pPr>
      <w:r>
        <w:rPr>
          <w:rFonts w:ascii="Times New Roman"/>
          <w:color w:val="auto"/>
          <w:highlight w:val="none"/>
        </w:rPr>
        <w:t>6.2 项目结束后，根据2025年12月考核结果，乙方按货款支付中的要求退回相应扣款金额后，甲方退还履约保证金（无息退还）。</w:t>
      </w:r>
    </w:p>
    <w:p>
      <w:pPr>
        <w:pStyle w:val="23"/>
        <w:snapToGrid w:val="0"/>
        <w:spacing w:line="360" w:lineRule="auto"/>
        <w:ind w:firstLine="422" w:firstLineChars="200"/>
        <w:rPr>
          <w:rFonts w:ascii="Times New Roman"/>
          <w:b/>
          <w:color w:val="auto"/>
          <w:highlight w:val="none"/>
        </w:rPr>
      </w:pPr>
      <w:r>
        <w:rPr>
          <w:rFonts w:ascii="Times New Roman"/>
          <w:b/>
          <w:color w:val="auto"/>
          <w:highlight w:val="none"/>
        </w:rPr>
        <w:t>七、转包或分包</w:t>
      </w:r>
    </w:p>
    <w:p>
      <w:pPr>
        <w:snapToGrid w:val="0"/>
        <w:spacing w:line="360" w:lineRule="auto"/>
        <w:ind w:firstLine="420" w:firstLineChars="200"/>
        <w:rPr>
          <w:color w:val="auto"/>
          <w:highlight w:val="none"/>
        </w:rPr>
      </w:pPr>
      <w:r>
        <w:rPr>
          <w:color w:val="auto"/>
          <w:highlight w:val="none"/>
        </w:rPr>
        <w:t>7.1 本合同范围的服务，应由乙方直接供应，不得转让他人供应</w:t>
      </w:r>
      <w:r>
        <w:rPr>
          <w:rFonts w:hint="eastAsia"/>
          <w:color w:val="auto"/>
          <w:highlight w:val="none"/>
        </w:rPr>
        <w:t>。</w:t>
      </w:r>
    </w:p>
    <w:p>
      <w:pPr>
        <w:snapToGrid w:val="0"/>
        <w:spacing w:line="360" w:lineRule="auto"/>
        <w:ind w:firstLine="420" w:firstLineChars="200"/>
        <w:rPr>
          <w:color w:val="auto"/>
          <w:highlight w:val="none"/>
        </w:rPr>
      </w:pPr>
      <w:r>
        <w:rPr>
          <w:color w:val="auto"/>
          <w:highlight w:val="none"/>
        </w:rPr>
        <w:t>7.2 除非得到甲方的书面同意，乙方不得部分分包给他人供应</w:t>
      </w:r>
      <w:r>
        <w:rPr>
          <w:rFonts w:hint="eastAsia"/>
          <w:color w:val="auto"/>
          <w:highlight w:val="none"/>
        </w:rPr>
        <w:t>。</w:t>
      </w:r>
    </w:p>
    <w:p>
      <w:pPr>
        <w:snapToGrid w:val="0"/>
        <w:spacing w:line="360" w:lineRule="auto"/>
        <w:ind w:firstLine="420" w:firstLineChars="200"/>
        <w:rPr>
          <w:color w:val="auto"/>
          <w:highlight w:val="none"/>
        </w:rPr>
      </w:pPr>
      <w:r>
        <w:rPr>
          <w:color w:val="auto"/>
          <w:highlight w:val="none"/>
        </w:rPr>
        <w:t>7.3 如有转让和未经甲方同意的分包行为，甲方有权给予终止合同。</w:t>
      </w:r>
    </w:p>
    <w:p>
      <w:pPr>
        <w:pStyle w:val="23"/>
        <w:snapToGrid w:val="0"/>
        <w:spacing w:line="360" w:lineRule="auto"/>
        <w:ind w:firstLine="422" w:firstLineChars="200"/>
        <w:rPr>
          <w:rFonts w:ascii="Times New Roman"/>
          <w:b/>
          <w:color w:val="auto"/>
          <w:highlight w:val="none"/>
        </w:rPr>
      </w:pPr>
      <w:r>
        <w:rPr>
          <w:rFonts w:ascii="Times New Roman"/>
          <w:b/>
          <w:color w:val="auto"/>
          <w:highlight w:val="none"/>
        </w:rPr>
        <w:t>八、服务期限</w:t>
      </w:r>
    </w:p>
    <w:p>
      <w:pPr>
        <w:snapToGrid w:val="0"/>
        <w:spacing w:line="360" w:lineRule="auto"/>
        <w:ind w:firstLine="420" w:firstLineChars="200"/>
        <w:rPr>
          <w:b/>
          <w:color w:val="auto"/>
          <w:highlight w:val="none"/>
        </w:rPr>
      </w:pPr>
      <w:r>
        <w:rPr>
          <w:color w:val="auto"/>
          <w:highlight w:val="none"/>
        </w:rPr>
        <w:t>2024年1月1日至2025年12月31日。</w:t>
      </w:r>
    </w:p>
    <w:p>
      <w:pPr>
        <w:pStyle w:val="23"/>
        <w:snapToGrid w:val="0"/>
        <w:spacing w:line="360" w:lineRule="auto"/>
        <w:ind w:firstLine="422" w:firstLineChars="200"/>
        <w:rPr>
          <w:rFonts w:ascii="Times New Roman"/>
          <w:b/>
          <w:color w:val="auto"/>
          <w:highlight w:val="none"/>
        </w:rPr>
      </w:pPr>
      <w:r>
        <w:rPr>
          <w:rFonts w:ascii="Times New Roman"/>
          <w:b/>
          <w:color w:val="auto"/>
          <w:highlight w:val="none"/>
        </w:rPr>
        <w:t>九、货款支付</w:t>
      </w:r>
    </w:p>
    <w:p>
      <w:pPr>
        <w:snapToGrid w:val="0"/>
        <w:spacing w:line="360" w:lineRule="auto"/>
        <w:ind w:firstLine="420" w:firstLineChars="200"/>
        <w:rPr>
          <w:color w:val="auto"/>
          <w:highlight w:val="none"/>
        </w:rPr>
      </w:pPr>
      <w:r>
        <w:rPr>
          <w:rFonts w:hint="eastAsia"/>
          <w:color w:val="auto"/>
          <w:highlight w:val="none"/>
        </w:rPr>
        <w:t>9.1合同款项的支付方式及进度安排</w:t>
      </w:r>
    </w:p>
    <w:p>
      <w:pPr>
        <w:snapToGrid w:val="0"/>
        <w:spacing w:line="360" w:lineRule="auto"/>
        <w:ind w:firstLine="420" w:firstLineChars="200"/>
        <w:rPr>
          <w:color w:val="auto"/>
          <w:highlight w:val="none"/>
        </w:rPr>
      </w:pPr>
      <w:r>
        <w:rPr>
          <w:rFonts w:hint="eastAsia"/>
          <w:color w:val="auto"/>
          <w:highlight w:val="none"/>
        </w:rPr>
        <w:t>付款方式：2024年第一季度支付总合同额的15%，2024年第三季度根据2024年上半年度运维考核结果，支付总合同额的20%，2024年12月支付总合同额的15%。2025年付款方式同2024年。 (实际付款根据考核结果进行相应扣减。其中2025年第4季度11月完成考核，如12月有扣减，乙方应将扣款金额退回甲方原付款账户，否则从履约保证金中扣除)。</w:t>
      </w:r>
    </w:p>
    <w:p>
      <w:pPr>
        <w:snapToGrid w:val="0"/>
        <w:spacing w:line="360" w:lineRule="auto"/>
        <w:ind w:firstLine="420" w:firstLineChars="200"/>
        <w:rPr>
          <w:color w:val="auto"/>
          <w:highlight w:val="none"/>
        </w:rPr>
      </w:pPr>
      <w:r>
        <w:rPr>
          <w:rFonts w:hint="eastAsia"/>
          <w:color w:val="auto"/>
          <w:highlight w:val="none"/>
        </w:rPr>
        <w:t>9.2</w:t>
      </w:r>
      <w:bookmarkStart w:id="27" w:name="_Hlk83475234"/>
      <w:r>
        <w:rPr>
          <w:rFonts w:hint="eastAsia"/>
          <w:color w:val="auto"/>
          <w:highlight w:val="none"/>
        </w:rPr>
        <w:t xml:space="preserve"> 实际考核办法参照招标文件约定的相关要求执行，按月考核。</w:t>
      </w:r>
      <w:bookmarkEnd w:id="27"/>
    </w:p>
    <w:p>
      <w:pPr>
        <w:pStyle w:val="23"/>
        <w:spacing w:line="360" w:lineRule="auto"/>
        <w:ind w:firstLine="420" w:firstLineChars="200"/>
        <w:rPr>
          <w:rFonts w:ascii="Times New Roman"/>
          <w:color w:val="auto"/>
          <w:highlight w:val="none"/>
        </w:rPr>
      </w:pPr>
      <w:r>
        <w:rPr>
          <w:rFonts w:ascii="Times New Roman"/>
          <w:color w:val="auto"/>
          <w:highlight w:val="none"/>
        </w:rPr>
        <w:t xml:space="preserve">9.3 </w:t>
      </w:r>
      <w:bookmarkStart w:id="28" w:name="_Hlk148896318"/>
      <w:r>
        <w:rPr>
          <w:rFonts w:ascii="Times New Roman"/>
          <w:color w:val="auto"/>
          <w:highlight w:val="none"/>
        </w:rPr>
        <w:t>如财政资金下达时间晚，甲方支付时间相应延迟。</w:t>
      </w:r>
      <w:bookmarkEnd w:id="28"/>
    </w:p>
    <w:p>
      <w:pPr>
        <w:pStyle w:val="23"/>
        <w:snapToGrid w:val="0"/>
        <w:spacing w:line="360" w:lineRule="auto"/>
        <w:ind w:firstLine="422" w:firstLineChars="200"/>
        <w:rPr>
          <w:rFonts w:ascii="Times New Roman"/>
          <w:b/>
          <w:color w:val="auto"/>
          <w:highlight w:val="none"/>
        </w:rPr>
      </w:pPr>
      <w:r>
        <w:rPr>
          <w:rFonts w:ascii="Times New Roman"/>
          <w:b/>
          <w:color w:val="auto"/>
          <w:highlight w:val="none"/>
        </w:rPr>
        <w:t>十、税</w:t>
      </w:r>
    </w:p>
    <w:p>
      <w:pPr>
        <w:snapToGrid w:val="0"/>
        <w:spacing w:line="360" w:lineRule="auto"/>
        <w:ind w:firstLine="420" w:firstLineChars="200"/>
        <w:rPr>
          <w:color w:val="auto"/>
          <w:highlight w:val="none"/>
        </w:rPr>
      </w:pPr>
      <w:r>
        <w:rPr>
          <w:color w:val="auto"/>
          <w:highlight w:val="none"/>
        </w:rPr>
        <w:t>本合同执行中相关的一切税费均由乙方负担。</w:t>
      </w:r>
    </w:p>
    <w:p>
      <w:pPr>
        <w:pStyle w:val="23"/>
        <w:snapToGrid w:val="0"/>
        <w:spacing w:line="360" w:lineRule="auto"/>
        <w:ind w:firstLine="422" w:firstLineChars="200"/>
        <w:rPr>
          <w:rFonts w:ascii="Times New Roman"/>
          <w:b/>
          <w:color w:val="auto"/>
          <w:highlight w:val="none"/>
        </w:rPr>
      </w:pPr>
      <w:r>
        <w:rPr>
          <w:rFonts w:ascii="Times New Roman"/>
          <w:b/>
          <w:color w:val="auto"/>
          <w:highlight w:val="none"/>
        </w:rPr>
        <w:t>十一、质量保证及售后服务</w:t>
      </w:r>
    </w:p>
    <w:p>
      <w:pPr>
        <w:snapToGrid w:val="0"/>
        <w:spacing w:line="360" w:lineRule="auto"/>
        <w:ind w:firstLine="420" w:firstLineChars="200"/>
        <w:rPr>
          <w:color w:val="auto"/>
          <w:highlight w:val="none"/>
        </w:rPr>
      </w:pPr>
      <w:r>
        <w:rPr>
          <w:color w:val="auto"/>
          <w:highlight w:val="none"/>
        </w:rPr>
        <w:t>乙方应按招标文件规定的技术要求、质量标准向甲方提供服务。</w:t>
      </w:r>
    </w:p>
    <w:p>
      <w:pPr>
        <w:pStyle w:val="23"/>
        <w:snapToGrid w:val="0"/>
        <w:spacing w:line="360" w:lineRule="auto"/>
        <w:ind w:firstLine="422" w:firstLineChars="200"/>
        <w:rPr>
          <w:rFonts w:ascii="Times New Roman"/>
          <w:b/>
          <w:color w:val="auto"/>
          <w:highlight w:val="none"/>
        </w:rPr>
      </w:pPr>
      <w:r>
        <w:rPr>
          <w:rFonts w:ascii="Times New Roman"/>
          <w:b/>
          <w:color w:val="auto"/>
          <w:highlight w:val="none"/>
        </w:rPr>
        <w:t>十二、验收、交付标准和方法</w:t>
      </w:r>
    </w:p>
    <w:p>
      <w:pPr>
        <w:adjustRightInd w:val="0"/>
        <w:snapToGrid w:val="0"/>
        <w:spacing w:line="360" w:lineRule="auto"/>
        <w:ind w:firstLine="420" w:firstLineChars="200"/>
        <w:rPr>
          <w:color w:val="auto"/>
          <w:highlight w:val="none"/>
        </w:rPr>
      </w:pPr>
      <w:r>
        <w:rPr>
          <w:color w:val="auto"/>
          <w:highlight w:val="none"/>
        </w:rPr>
        <w:t>12.1 乙方应根据招标文件中服务要求完成服务工作。</w:t>
      </w:r>
    </w:p>
    <w:p>
      <w:pPr>
        <w:adjustRightInd w:val="0"/>
        <w:snapToGrid w:val="0"/>
        <w:spacing w:line="360" w:lineRule="auto"/>
        <w:ind w:firstLine="420" w:firstLineChars="200"/>
        <w:rPr>
          <w:color w:val="auto"/>
          <w:highlight w:val="none"/>
        </w:rPr>
      </w:pPr>
      <w:r>
        <w:rPr>
          <w:color w:val="auto"/>
          <w:highlight w:val="none"/>
        </w:rPr>
        <w:t>12.2 项目验收前，乙方需向甲方提出书面验收申请，并提交符合甲方指定的相关服务标准或规范。甲方根据运维考核结果组织开展相关验收（考核）工作，如产生验收费用由乙方承担。</w:t>
      </w:r>
    </w:p>
    <w:p>
      <w:pPr>
        <w:adjustRightInd w:val="0"/>
        <w:snapToGrid w:val="0"/>
        <w:spacing w:line="360" w:lineRule="auto"/>
        <w:ind w:firstLine="420" w:firstLineChars="200"/>
        <w:rPr>
          <w:color w:val="auto"/>
          <w:highlight w:val="none"/>
        </w:rPr>
      </w:pPr>
      <w:r>
        <w:rPr>
          <w:color w:val="auto"/>
          <w:highlight w:val="none"/>
        </w:rPr>
        <w:t>12.3 验收合格后，甲方按照本合同规定的验收合格相关的付款条件，支付乙方相应款项。验收不合格时，按照招标文件和合同约定的相关要求扣款</w:t>
      </w:r>
      <w:r>
        <w:rPr>
          <w:rFonts w:hint="eastAsia"/>
          <w:color w:val="auto"/>
          <w:highlight w:val="none"/>
        </w:rPr>
        <w:t>。</w:t>
      </w:r>
    </w:p>
    <w:p>
      <w:pPr>
        <w:pStyle w:val="23"/>
        <w:snapToGrid w:val="0"/>
        <w:spacing w:line="360" w:lineRule="auto"/>
        <w:ind w:firstLine="422" w:firstLineChars="200"/>
        <w:rPr>
          <w:rFonts w:ascii="Times New Roman"/>
          <w:b/>
          <w:color w:val="auto"/>
          <w:highlight w:val="none"/>
        </w:rPr>
      </w:pPr>
      <w:r>
        <w:rPr>
          <w:rFonts w:ascii="Times New Roman"/>
          <w:b/>
          <w:color w:val="auto"/>
          <w:highlight w:val="none"/>
        </w:rPr>
        <w:t>十三、违约责任</w:t>
      </w:r>
    </w:p>
    <w:p>
      <w:pPr>
        <w:pStyle w:val="23"/>
        <w:spacing w:line="360" w:lineRule="auto"/>
        <w:ind w:firstLine="420" w:firstLineChars="200"/>
        <w:rPr>
          <w:rFonts w:ascii="Times New Roman"/>
          <w:color w:val="auto"/>
          <w:highlight w:val="none"/>
        </w:rPr>
      </w:pPr>
      <w:r>
        <w:rPr>
          <w:rFonts w:ascii="Times New Roman"/>
          <w:color w:val="auto"/>
          <w:highlight w:val="none"/>
        </w:rPr>
        <w:t>13.1 一旦发现篡改伪造数据，委托方有权终止合同，并按已支付费用的双倍进行经济处罚，按照环保部《环境监测数据弄虚作假行为判定及处理办法》（环发[2015]175号）文件精神进行处理。</w:t>
      </w:r>
    </w:p>
    <w:p>
      <w:pPr>
        <w:pStyle w:val="23"/>
        <w:spacing w:line="360" w:lineRule="auto"/>
        <w:ind w:firstLine="420" w:firstLineChars="200"/>
        <w:rPr>
          <w:rFonts w:ascii="Times New Roman"/>
          <w:color w:val="auto"/>
          <w:highlight w:val="none"/>
        </w:rPr>
      </w:pPr>
      <w:r>
        <w:rPr>
          <w:rFonts w:ascii="Times New Roman"/>
          <w:color w:val="auto"/>
          <w:highlight w:val="none"/>
        </w:rPr>
        <w:t>13.2 未经许可，对外泄露监测信息的，委托方有权终止合同，并酌情进行经济处罚。</w:t>
      </w:r>
    </w:p>
    <w:p>
      <w:pPr>
        <w:pStyle w:val="23"/>
        <w:spacing w:line="360" w:lineRule="auto"/>
        <w:ind w:firstLine="420" w:firstLineChars="200"/>
        <w:rPr>
          <w:rFonts w:ascii="Times New Roman"/>
          <w:color w:val="auto"/>
          <w:highlight w:val="none"/>
        </w:rPr>
      </w:pPr>
      <w:r>
        <w:rPr>
          <w:rFonts w:ascii="Times New Roman"/>
          <w:color w:val="auto"/>
          <w:highlight w:val="none"/>
        </w:rPr>
        <w:t>13.3 合同履行期间，若被第三方举报有严重数据质量问题，一经核实，委托方有权终止合同，并酌情进行经济处罚。</w:t>
      </w:r>
    </w:p>
    <w:p>
      <w:pPr>
        <w:pStyle w:val="23"/>
        <w:spacing w:line="360" w:lineRule="auto"/>
        <w:ind w:firstLine="420" w:firstLineChars="200"/>
        <w:rPr>
          <w:rFonts w:ascii="Times New Roman"/>
          <w:color w:val="auto"/>
          <w:highlight w:val="none"/>
        </w:rPr>
      </w:pPr>
      <w:r>
        <w:rPr>
          <w:rFonts w:ascii="Times New Roman"/>
          <w:color w:val="auto"/>
          <w:highlight w:val="none"/>
        </w:rPr>
        <w:t>13.4 合同履行期间，若出现违反廉政规定的情形，一经核实，委托方有权终止合同，情节严重的，移交司法部门处理。</w:t>
      </w:r>
    </w:p>
    <w:p>
      <w:pPr>
        <w:pStyle w:val="23"/>
        <w:snapToGrid w:val="0"/>
        <w:spacing w:line="360" w:lineRule="auto"/>
        <w:ind w:firstLine="422" w:firstLineChars="200"/>
        <w:rPr>
          <w:rFonts w:ascii="Times New Roman"/>
          <w:b/>
          <w:color w:val="auto"/>
          <w:highlight w:val="none"/>
        </w:rPr>
      </w:pPr>
      <w:r>
        <w:rPr>
          <w:rFonts w:ascii="Times New Roman"/>
          <w:b/>
          <w:color w:val="auto"/>
          <w:highlight w:val="none"/>
        </w:rPr>
        <w:t>十四、不可抗力事件处理</w:t>
      </w:r>
    </w:p>
    <w:p>
      <w:pPr>
        <w:pStyle w:val="23"/>
        <w:spacing w:line="360" w:lineRule="auto"/>
        <w:ind w:firstLine="420" w:firstLineChars="200"/>
        <w:rPr>
          <w:rFonts w:ascii="Times New Roman"/>
          <w:color w:val="auto"/>
          <w:highlight w:val="none"/>
        </w:rPr>
      </w:pPr>
      <w:r>
        <w:rPr>
          <w:rFonts w:ascii="Times New Roman"/>
          <w:color w:val="auto"/>
          <w:highlight w:val="none"/>
        </w:rPr>
        <w:t>14.1 在合同有效期内，任何一方因不可抗力事件导致不能履行合同，则合同履行期可延长，其延长期与不可抗力影响期相同。</w:t>
      </w:r>
    </w:p>
    <w:p>
      <w:pPr>
        <w:pStyle w:val="23"/>
        <w:spacing w:line="360" w:lineRule="auto"/>
        <w:ind w:firstLine="420" w:firstLineChars="200"/>
        <w:rPr>
          <w:rFonts w:ascii="Times New Roman"/>
          <w:color w:val="auto"/>
          <w:highlight w:val="none"/>
        </w:rPr>
      </w:pPr>
      <w:r>
        <w:rPr>
          <w:rFonts w:ascii="Times New Roman"/>
          <w:color w:val="auto"/>
          <w:highlight w:val="none"/>
        </w:rPr>
        <w:t>14.2 不可抗力事件发生后，应立即通知对方，并寄送有关权威机构出具的证明。</w:t>
      </w:r>
    </w:p>
    <w:p>
      <w:pPr>
        <w:pStyle w:val="23"/>
        <w:spacing w:line="360" w:lineRule="auto"/>
        <w:ind w:firstLine="420" w:firstLineChars="200"/>
        <w:rPr>
          <w:rFonts w:ascii="Times New Roman"/>
          <w:color w:val="auto"/>
          <w:highlight w:val="none"/>
        </w:rPr>
      </w:pPr>
      <w:r>
        <w:rPr>
          <w:rFonts w:ascii="Times New Roman"/>
          <w:color w:val="auto"/>
          <w:highlight w:val="none"/>
        </w:rPr>
        <w:t>14.3 不可抗力事件延续120天以上，双方应通过友好协商，确定是否继续履行合同。</w:t>
      </w:r>
    </w:p>
    <w:p>
      <w:pPr>
        <w:pStyle w:val="23"/>
        <w:spacing w:line="360" w:lineRule="auto"/>
        <w:ind w:firstLine="420" w:firstLineChars="200"/>
        <w:rPr>
          <w:rFonts w:ascii="Times New Roman"/>
          <w:color w:val="auto"/>
          <w:highlight w:val="none"/>
        </w:rPr>
      </w:pPr>
      <w:r>
        <w:rPr>
          <w:rFonts w:ascii="Times New Roman"/>
          <w:color w:val="auto"/>
          <w:highlight w:val="none"/>
        </w:rPr>
        <w:t>14.4 乙方需提供详细分项保价表，如财政拨付资金少于本项目合同金额，甲乙双方可协商按减少的资金量减免部分工作。</w:t>
      </w:r>
    </w:p>
    <w:p>
      <w:pPr>
        <w:pStyle w:val="23"/>
        <w:snapToGrid w:val="0"/>
        <w:spacing w:line="360" w:lineRule="auto"/>
        <w:ind w:firstLine="422" w:firstLineChars="200"/>
        <w:rPr>
          <w:rFonts w:ascii="Times New Roman"/>
          <w:b/>
          <w:color w:val="auto"/>
          <w:highlight w:val="none"/>
        </w:rPr>
      </w:pPr>
      <w:r>
        <w:rPr>
          <w:rFonts w:ascii="Times New Roman"/>
          <w:b/>
          <w:color w:val="auto"/>
          <w:highlight w:val="none"/>
        </w:rPr>
        <w:t>十五、诉讼</w:t>
      </w:r>
    </w:p>
    <w:p>
      <w:pPr>
        <w:pStyle w:val="23"/>
        <w:spacing w:line="360" w:lineRule="auto"/>
        <w:ind w:firstLine="420" w:firstLineChars="200"/>
        <w:rPr>
          <w:rFonts w:ascii="Times New Roman"/>
          <w:color w:val="auto"/>
          <w:highlight w:val="none"/>
        </w:rPr>
      </w:pPr>
      <w:r>
        <w:rPr>
          <w:rFonts w:ascii="Times New Roman"/>
          <w:color w:val="auto"/>
          <w:highlight w:val="none"/>
        </w:rPr>
        <w:t>双方在执行合同中所发生的一切争议，应通过协商解决。如协商不成，可向合同签订地法院起诉，合同签订地在此约定为南京市。</w:t>
      </w:r>
    </w:p>
    <w:p>
      <w:pPr>
        <w:pStyle w:val="23"/>
        <w:snapToGrid w:val="0"/>
        <w:spacing w:line="360" w:lineRule="auto"/>
        <w:ind w:firstLine="422" w:firstLineChars="200"/>
        <w:rPr>
          <w:rFonts w:ascii="Times New Roman"/>
          <w:b/>
          <w:color w:val="auto"/>
          <w:highlight w:val="none"/>
        </w:rPr>
      </w:pPr>
      <w:r>
        <w:rPr>
          <w:rFonts w:ascii="Times New Roman"/>
          <w:b/>
          <w:color w:val="auto"/>
          <w:highlight w:val="none"/>
        </w:rPr>
        <w:t>十六、合同生效及其它</w:t>
      </w:r>
    </w:p>
    <w:p>
      <w:pPr>
        <w:pStyle w:val="23"/>
        <w:spacing w:line="360" w:lineRule="auto"/>
        <w:ind w:firstLine="420" w:firstLineChars="200"/>
        <w:rPr>
          <w:rFonts w:ascii="Times New Roman"/>
          <w:color w:val="auto"/>
          <w:highlight w:val="none"/>
        </w:rPr>
      </w:pPr>
      <w:r>
        <w:rPr>
          <w:rFonts w:ascii="Times New Roman"/>
          <w:color w:val="auto"/>
          <w:highlight w:val="none"/>
        </w:rPr>
        <w:t>16.1 合同经双方法定代表人或授权委托代表人签字并加盖单位公章后生效。</w:t>
      </w:r>
    </w:p>
    <w:p>
      <w:pPr>
        <w:pStyle w:val="23"/>
        <w:spacing w:line="360" w:lineRule="auto"/>
        <w:ind w:firstLine="420" w:firstLineChars="200"/>
        <w:rPr>
          <w:rFonts w:ascii="Times New Roman"/>
          <w:color w:val="auto"/>
          <w:highlight w:val="none"/>
        </w:rPr>
      </w:pPr>
      <w:r>
        <w:rPr>
          <w:rFonts w:ascii="Times New Roman"/>
          <w:color w:val="auto"/>
          <w:highlight w:val="none"/>
        </w:rPr>
        <w:t>16.2 本合同未尽事宜，遵照《民法典》有关条文执行。</w:t>
      </w:r>
    </w:p>
    <w:p>
      <w:pPr>
        <w:pStyle w:val="23"/>
        <w:spacing w:line="360" w:lineRule="auto"/>
        <w:ind w:firstLine="420" w:firstLineChars="200"/>
        <w:rPr>
          <w:rFonts w:ascii="Times New Roman"/>
          <w:color w:val="auto"/>
          <w:highlight w:val="none"/>
        </w:rPr>
      </w:pPr>
      <w:r>
        <w:rPr>
          <w:rFonts w:ascii="Times New Roman"/>
          <w:color w:val="auto"/>
          <w:highlight w:val="none"/>
        </w:rPr>
        <w:t>16.3 本合同正本一式</w:t>
      </w:r>
      <w:r>
        <w:rPr>
          <w:rFonts w:hint="eastAsia" w:ascii="Times New Roman"/>
          <w:color w:val="auto"/>
          <w:highlight w:val="none"/>
        </w:rPr>
        <w:t>肆</w:t>
      </w:r>
      <w:r>
        <w:rPr>
          <w:rFonts w:ascii="Times New Roman"/>
          <w:color w:val="auto"/>
          <w:highlight w:val="none"/>
        </w:rPr>
        <w:t>份，具有同等法律效力，甲方、乙方各执贰份。</w:t>
      </w:r>
    </w:p>
    <w:p>
      <w:pPr>
        <w:spacing w:line="360" w:lineRule="auto"/>
        <w:ind w:firstLine="420" w:firstLineChars="200"/>
        <w:rPr>
          <w:color w:val="auto"/>
          <w:highlight w:val="none"/>
        </w:rPr>
      </w:pPr>
    </w:p>
    <w:p>
      <w:pPr>
        <w:pStyle w:val="23"/>
        <w:snapToGrid w:val="0"/>
        <w:spacing w:line="360" w:lineRule="auto"/>
        <w:ind w:firstLine="420" w:firstLineChars="200"/>
        <w:rPr>
          <w:rFonts w:ascii="Times New Roman"/>
          <w:color w:val="auto"/>
          <w:highlight w:val="none"/>
        </w:rPr>
      </w:pPr>
      <w:r>
        <w:rPr>
          <w:rFonts w:ascii="Times New Roman"/>
          <w:color w:val="auto"/>
          <w:highlight w:val="none"/>
        </w:rPr>
        <w:t xml:space="preserve">甲方：                        乙方： </w:t>
      </w:r>
    </w:p>
    <w:p>
      <w:pPr>
        <w:pStyle w:val="23"/>
        <w:snapToGrid w:val="0"/>
        <w:spacing w:line="360" w:lineRule="auto"/>
        <w:ind w:firstLine="420" w:firstLineChars="200"/>
        <w:rPr>
          <w:rFonts w:ascii="Times New Roman"/>
          <w:color w:val="auto"/>
          <w:highlight w:val="none"/>
        </w:rPr>
      </w:pPr>
      <w:r>
        <w:rPr>
          <w:rFonts w:ascii="Times New Roman"/>
          <w:color w:val="auto"/>
          <w:highlight w:val="none"/>
        </w:rPr>
        <w:t xml:space="preserve">  </w:t>
      </w:r>
    </w:p>
    <w:p>
      <w:pPr>
        <w:pStyle w:val="23"/>
        <w:snapToGrid w:val="0"/>
        <w:spacing w:line="360" w:lineRule="auto"/>
        <w:ind w:firstLine="420" w:firstLineChars="200"/>
        <w:rPr>
          <w:rFonts w:ascii="Times New Roman"/>
          <w:color w:val="auto"/>
          <w:highlight w:val="none"/>
        </w:rPr>
      </w:pPr>
      <w:r>
        <w:rPr>
          <w:rFonts w:ascii="Times New Roman"/>
          <w:color w:val="auto"/>
          <w:highlight w:val="none"/>
        </w:rPr>
        <w:t xml:space="preserve">地址：                        地址： </w:t>
      </w:r>
    </w:p>
    <w:p>
      <w:pPr>
        <w:pStyle w:val="23"/>
        <w:snapToGrid w:val="0"/>
        <w:spacing w:line="360" w:lineRule="auto"/>
        <w:ind w:firstLine="420" w:firstLineChars="200"/>
        <w:rPr>
          <w:rFonts w:ascii="Times New Roman"/>
          <w:color w:val="auto"/>
          <w:highlight w:val="none"/>
        </w:rPr>
      </w:pPr>
      <w:r>
        <w:rPr>
          <w:rFonts w:ascii="Times New Roman"/>
          <w:color w:val="auto"/>
          <w:highlight w:val="none"/>
        </w:rPr>
        <w:t xml:space="preserve"> </w:t>
      </w:r>
    </w:p>
    <w:p>
      <w:pPr>
        <w:pStyle w:val="23"/>
        <w:snapToGrid w:val="0"/>
        <w:spacing w:line="360" w:lineRule="auto"/>
        <w:ind w:firstLine="420" w:firstLineChars="200"/>
        <w:rPr>
          <w:rFonts w:ascii="Times New Roman"/>
          <w:color w:val="auto"/>
          <w:highlight w:val="none"/>
        </w:rPr>
      </w:pPr>
      <w:r>
        <w:rPr>
          <w:rFonts w:ascii="Times New Roman"/>
          <w:color w:val="auto"/>
          <w:highlight w:val="none"/>
        </w:rPr>
        <w:t>法定代表人或授权代表：        法定代表人或授权代表：</w:t>
      </w:r>
    </w:p>
    <w:p>
      <w:pPr>
        <w:pStyle w:val="23"/>
        <w:snapToGrid w:val="0"/>
        <w:spacing w:line="360" w:lineRule="auto"/>
        <w:ind w:firstLine="420" w:firstLineChars="200"/>
        <w:rPr>
          <w:rFonts w:ascii="Times New Roman"/>
          <w:color w:val="auto"/>
          <w:highlight w:val="none"/>
        </w:rPr>
      </w:pPr>
    </w:p>
    <w:p>
      <w:pPr>
        <w:pStyle w:val="23"/>
        <w:snapToGrid w:val="0"/>
        <w:spacing w:line="360" w:lineRule="auto"/>
        <w:ind w:firstLine="420" w:firstLineChars="200"/>
        <w:rPr>
          <w:rFonts w:ascii="Times New Roman"/>
          <w:color w:val="auto"/>
          <w:highlight w:val="none"/>
        </w:rPr>
      </w:pPr>
    </w:p>
    <w:p>
      <w:pPr>
        <w:pStyle w:val="23"/>
        <w:snapToGrid w:val="0"/>
        <w:spacing w:line="360" w:lineRule="auto"/>
        <w:ind w:firstLine="420" w:firstLineChars="200"/>
        <w:rPr>
          <w:rFonts w:ascii="Times New Roman"/>
          <w:color w:val="auto"/>
          <w:highlight w:val="none"/>
        </w:rPr>
      </w:pPr>
      <w:r>
        <w:rPr>
          <w:rFonts w:ascii="Times New Roman"/>
          <w:color w:val="auto"/>
          <w:highlight w:val="none"/>
        </w:rPr>
        <w:t xml:space="preserve">联系电话：                    联系电话：           </w:t>
      </w:r>
    </w:p>
    <w:p>
      <w:pPr>
        <w:pStyle w:val="23"/>
        <w:snapToGrid w:val="0"/>
        <w:spacing w:line="360" w:lineRule="auto"/>
        <w:ind w:firstLine="420" w:firstLineChars="200"/>
        <w:jc w:val="center"/>
        <w:rPr>
          <w:rFonts w:ascii="Times New Roman"/>
          <w:color w:val="auto"/>
          <w:highlight w:val="none"/>
        </w:rPr>
      </w:pPr>
    </w:p>
    <w:p>
      <w:pPr>
        <w:pStyle w:val="23"/>
        <w:snapToGrid w:val="0"/>
        <w:spacing w:line="360" w:lineRule="auto"/>
        <w:ind w:firstLine="420" w:firstLineChars="200"/>
        <w:jc w:val="center"/>
        <w:rPr>
          <w:rFonts w:ascii="Times New Roman"/>
          <w:color w:val="auto"/>
          <w:highlight w:val="none"/>
        </w:rPr>
      </w:pPr>
      <w:r>
        <w:rPr>
          <w:rFonts w:ascii="Times New Roman"/>
          <w:color w:val="auto"/>
          <w:highlight w:val="none"/>
        </w:rPr>
        <w:t xml:space="preserve">                                          签订日期：      年    月   日</w:t>
      </w:r>
      <w:bookmarkStart w:id="29" w:name="_Hlk149148397"/>
    </w:p>
    <w:bookmarkEnd w:id="29"/>
    <w:p>
      <w:pPr>
        <w:rPr>
          <w:color w:val="auto"/>
          <w:highlight w:val="none"/>
        </w:rPr>
      </w:pPr>
    </w:p>
    <w:p>
      <w:pPr>
        <w:widowControl/>
        <w:jc w:val="left"/>
        <w:rPr>
          <w:rFonts w:ascii="Arial" w:hAnsi="Arial" w:cs="Arial"/>
          <w:b/>
          <w:bCs/>
          <w:color w:val="auto"/>
          <w:kern w:val="44"/>
          <w:sz w:val="32"/>
          <w:szCs w:val="44"/>
          <w:highlight w:val="none"/>
          <w:lang w:val="zh-CN"/>
        </w:rPr>
      </w:pPr>
      <w:r>
        <w:rPr>
          <w:rFonts w:ascii="Arial" w:hAnsi="Arial" w:cs="Arial"/>
          <w:color w:val="auto"/>
          <w:highlight w:val="none"/>
          <w:lang w:val="zh-CN"/>
        </w:rPr>
        <w:br w:type="page"/>
      </w:r>
    </w:p>
    <w:p>
      <w:pPr>
        <w:pStyle w:val="3"/>
        <w:numPr>
          <w:ilvl w:val="0"/>
          <w:numId w:val="0"/>
        </w:numPr>
        <w:rPr>
          <w:rFonts w:ascii="Arial" w:hAnsi="Arial" w:cs="Arial"/>
          <w:color w:val="auto"/>
          <w:highlight w:val="none"/>
        </w:rPr>
      </w:pPr>
      <w:bookmarkStart w:id="30" w:name="_Toc6328"/>
      <w:r>
        <w:rPr>
          <w:rFonts w:ascii="Arial" w:hAnsi="Arial" w:cs="Arial"/>
          <w:color w:val="auto"/>
          <w:highlight w:val="none"/>
        </w:rPr>
        <w:t xml:space="preserve">第六章 </w:t>
      </w:r>
      <w:r>
        <w:rPr>
          <w:rFonts w:hint="eastAsia" w:ascii="Arial" w:hAnsi="Arial" w:cs="Arial"/>
          <w:color w:val="auto"/>
          <w:highlight w:val="none"/>
        </w:rPr>
        <w:t>投标文件格式及</w:t>
      </w:r>
      <w:r>
        <w:rPr>
          <w:rFonts w:ascii="Arial" w:hAnsi="Arial" w:cs="Arial"/>
          <w:color w:val="auto"/>
          <w:highlight w:val="none"/>
        </w:rPr>
        <w:t>附件</w:t>
      </w:r>
      <w:bookmarkEnd w:id="30"/>
    </w:p>
    <w:p>
      <w:pPr>
        <w:widowControl/>
        <w:adjustRightInd w:val="0"/>
        <w:spacing w:line="240" w:lineRule="atLeast"/>
        <w:jc w:val="left"/>
        <w:rPr>
          <w:rFonts w:ascii="Arial" w:hAnsi="Arial" w:cs="Arial"/>
          <w:b/>
          <w:bCs/>
          <w:color w:val="auto"/>
          <w:szCs w:val="21"/>
          <w:highlight w:val="none"/>
        </w:rPr>
      </w:pPr>
    </w:p>
    <w:p>
      <w:pPr>
        <w:spacing w:line="440" w:lineRule="exact"/>
        <w:rPr>
          <w:rFonts w:ascii="Arial" w:hAnsi="Arial" w:eastAsia="黑体" w:cs="Arial"/>
          <w:color w:val="auto"/>
          <w:sz w:val="20"/>
          <w:szCs w:val="20"/>
          <w:highlight w:val="none"/>
        </w:rPr>
      </w:pPr>
    </w:p>
    <w:p>
      <w:pPr>
        <w:spacing w:line="440" w:lineRule="exact"/>
        <w:rPr>
          <w:rFonts w:ascii="Arial" w:hAnsi="Arial" w:eastAsia="黑体" w:cs="Arial"/>
          <w:color w:val="auto"/>
          <w:sz w:val="20"/>
          <w:szCs w:val="20"/>
          <w:highlight w:val="none"/>
        </w:rPr>
      </w:pPr>
    </w:p>
    <w:p>
      <w:pPr>
        <w:spacing w:line="440" w:lineRule="exact"/>
        <w:rPr>
          <w:rFonts w:ascii="Arial" w:hAnsi="Arial" w:eastAsia="黑体" w:cs="Arial"/>
          <w:color w:val="auto"/>
          <w:sz w:val="20"/>
          <w:szCs w:val="20"/>
          <w:highlight w:val="none"/>
        </w:rPr>
      </w:pPr>
    </w:p>
    <w:p>
      <w:pPr>
        <w:spacing w:line="440" w:lineRule="exact"/>
        <w:rPr>
          <w:rFonts w:ascii="Arial" w:hAnsi="Arial" w:eastAsia="黑体" w:cs="Arial"/>
          <w:color w:val="auto"/>
          <w:sz w:val="20"/>
          <w:szCs w:val="20"/>
          <w:highlight w:val="none"/>
        </w:rPr>
      </w:pPr>
    </w:p>
    <w:p>
      <w:pPr>
        <w:spacing w:line="440" w:lineRule="exact"/>
        <w:rPr>
          <w:rFonts w:ascii="Arial" w:hAnsi="Arial" w:eastAsia="黑体" w:cs="Arial"/>
          <w:color w:val="auto"/>
          <w:sz w:val="20"/>
          <w:szCs w:val="20"/>
          <w:highlight w:val="none"/>
        </w:rPr>
      </w:pPr>
    </w:p>
    <w:p>
      <w:pPr>
        <w:spacing w:line="440" w:lineRule="exact"/>
        <w:rPr>
          <w:rFonts w:ascii="Arial" w:hAnsi="Arial" w:eastAsia="黑体" w:cs="Arial"/>
          <w:color w:val="auto"/>
          <w:sz w:val="20"/>
          <w:szCs w:val="20"/>
          <w:highlight w:val="none"/>
        </w:rPr>
      </w:pPr>
    </w:p>
    <w:p>
      <w:pPr>
        <w:jc w:val="center"/>
        <w:rPr>
          <w:rFonts w:ascii="Arial" w:hAnsi="Arial" w:eastAsia="黑体" w:cs="Arial"/>
          <w:color w:val="auto"/>
          <w:sz w:val="20"/>
          <w:szCs w:val="20"/>
          <w:highlight w:val="none"/>
        </w:rPr>
      </w:pPr>
      <w:r>
        <w:rPr>
          <w:rFonts w:ascii="Arial" w:hAnsi="Arial" w:eastAsia="黑体" w:cs="Arial"/>
          <w:color w:val="auto"/>
          <w:sz w:val="28"/>
          <w:szCs w:val="28"/>
          <w:highlight w:val="none"/>
        </w:rPr>
        <w:t>（项目名称）</w:t>
      </w:r>
    </w:p>
    <w:p>
      <w:pPr>
        <w:jc w:val="center"/>
        <w:rPr>
          <w:rFonts w:ascii="Arial" w:hAnsi="Arial" w:eastAsia="黑体" w:cs="Arial"/>
          <w:color w:val="auto"/>
          <w:sz w:val="20"/>
          <w:szCs w:val="20"/>
          <w:highlight w:val="none"/>
        </w:rPr>
      </w:pPr>
    </w:p>
    <w:p>
      <w:pPr>
        <w:rPr>
          <w:rFonts w:ascii="Arial" w:hAnsi="Arial" w:eastAsia="黑体" w:cs="Arial"/>
          <w:color w:val="auto"/>
          <w:sz w:val="20"/>
          <w:szCs w:val="20"/>
          <w:highlight w:val="none"/>
        </w:rPr>
      </w:pPr>
    </w:p>
    <w:p>
      <w:pPr>
        <w:jc w:val="center"/>
        <w:rPr>
          <w:rFonts w:ascii="Arial" w:hAnsi="Arial" w:eastAsia="黑体" w:cs="Arial"/>
          <w:color w:val="auto"/>
          <w:sz w:val="44"/>
          <w:szCs w:val="44"/>
          <w:highlight w:val="none"/>
        </w:rPr>
      </w:pPr>
      <w:r>
        <w:rPr>
          <w:rFonts w:ascii="Arial" w:hAnsi="Arial" w:eastAsia="黑体" w:cs="Arial"/>
          <w:color w:val="auto"/>
          <w:sz w:val="44"/>
          <w:szCs w:val="44"/>
          <w:highlight w:val="none"/>
        </w:rPr>
        <w:t>投标文件</w:t>
      </w:r>
    </w:p>
    <w:p>
      <w:pPr>
        <w:rPr>
          <w:rFonts w:ascii="Arial" w:hAnsi="Arial" w:eastAsia="黑体" w:cs="Arial"/>
          <w:color w:val="auto"/>
          <w:sz w:val="28"/>
          <w:szCs w:val="28"/>
          <w:highlight w:val="none"/>
        </w:rPr>
      </w:pPr>
    </w:p>
    <w:p>
      <w:pPr>
        <w:rPr>
          <w:rFonts w:ascii="Arial" w:hAnsi="Arial" w:eastAsia="黑体" w:cs="Arial"/>
          <w:color w:val="auto"/>
          <w:sz w:val="28"/>
          <w:szCs w:val="28"/>
          <w:highlight w:val="none"/>
        </w:rPr>
      </w:pPr>
    </w:p>
    <w:p>
      <w:pPr>
        <w:rPr>
          <w:rFonts w:ascii="Arial" w:hAnsi="Arial" w:eastAsia="黑体" w:cs="Arial"/>
          <w:color w:val="auto"/>
          <w:sz w:val="28"/>
          <w:szCs w:val="28"/>
          <w:highlight w:val="none"/>
        </w:rPr>
      </w:pPr>
    </w:p>
    <w:p>
      <w:pPr>
        <w:rPr>
          <w:rFonts w:ascii="Arial" w:hAnsi="Arial" w:eastAsia="黑体" w:cs="Arial"/>
          <w:color w:val="auto"/>
          <w:sz w:val="28"/>
          <w:szCs w:val="28"/>
          <w:highlight w:val="none"/>
        </w:rPr>
      </w:pPr>
    </w:p>
    <w:p>
      <w:pPr>
        <w:rPr>
          <w:rFonts w:ascii="Arial" w:hAnsi="Arial" w:eastAsia="黑体" w:cs="Arial"/>
          <w:color w:val="auto"/>
          <w:sz w:val="28"/>
          <w:szCs w:val="28"/>
          <w:highlight w:val="none"/>
        </w:rPr>
      </w:pPr>
    </w:p>
    <w:p>
      <w:pPr>
        <w:rPr>
          <w:rFonts w:ascii="Arial" w:hAnsi="Arial" w:eastAsia="黑体" w:cs="Arial"/>
          <w:color w:val="auto"/>
          <w:sz w:val="28"/>
          <w:szCs w:val="28"/>
          <w:highlight w:val="none"/>
        </w:rPr>
      </w:pPr>
    </w:p>
    <w:p>
      <w:pPr>
        <w:rPr>
          <w:rFonts w:ascii="Arial" w:hAnsi="Arial" w:eastAsia="黑体" w:cs="Arial"/>
          <w:color w:val="auto"/>
          <w:sz w:val="28"/>
          <w:szCs w:val="28"/>
          <w:highlight w:val="none"/>
        </w:rPr>
      </w:pPr>
    </w:p>
    <w:p>
      <w:pPr>
        <w:rPr>
          <w:rFonts w:ascii="Arial" w:hAnsi="Arial" w:eastAsia="黑体" w:cs="Arial"/>
          <w:color w:val="auto"/>
          <w:sz w:val="28"/>
          <w:szCs w:val="28"/>
          <w:highlight w:val="none"/>
        </w:rPr>
      </w:pPr>
    </w:p>
    <w:p>
      <w:pPr>
        <w:jc w:val="center"/>
        <w:rPr>
          <w:rFonts w:ascii="Arial" w:hAnsi="Arial" w:eastAsia="黑体" w:cs="Arial"/>
          <w:color w:val="auto"/>
          <w:sz w:val="28"/>
          <w:szCs w:val="28"/>
          <w:highlight w:val="none"/>
          <w:u w:val="single"/>
        </w:rPr>
      </w:pPr>
      <w:r>
        <w:rPr>
          <w:rFonts w:ascii="Arial" w:hAnsi="Arial" w:eastAsia="黑体" w:cs="Arial"/>
          <w:color w:val="auto"/>
          <w:sz w:val="28"/>
          <w:szCs w:val="28"/>
          <w:highlight w:val="none"/>
        </w:rPr>
        <w:t>投标人：（盖单位章）</w:t>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法定代表人或其委托代理人：（签字</w:t>
      </w:r>
      <w:r>
        <w:rPr>
          <w:rFonts w:hint="eastAsia" w:ascii="Arial" w:hAnsi="Arial" w:eastAsia="黑体" w:cs="Arial"/>
          <w:color w:val="auto"/>
          <w:sz w:val="28"/>
          <w:szCs w:val="28"/>
          <w:highlight w:val="none"/>
        </w:rPr>
        <w:t>/签章</w:t>
      </w:r>
      <w:r>
        <w:rPr>
          <w:rFonts w:ascii="Arial" w:hAnsi="Arial" w:eastAsia="黑体" w:cs="Arial"/>
          <w:color w:val="auto"/>
          <w:sz w:val="28"/>
          <w:szCs w:val="28"/>
          <w:highlight w:val="none"/>
        </w:rPr>
        <w:t>）</w:t>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年 月  日</w:t>
      </w:r>
    </w:p>
    <w:p>
      <w:pPr>
        <w:widowControl/>
        <w:jc w:val="left"/>
        <w:rPr>
          <w:rFonts w:ascii="Arial" w:hAnsi="Arial" w:eastAsia="黑体" w:cs="Arial"/>
          <w:color w:val="auto"/>
          <w:sz w:val="28"/>
          <w:szCs w:val="28"/>
          <w:highlight w:val="none"/>
        </w:rPr>
      </w:pPr>
      <w:r>
        <w:rPr>
          <w:rFonts w:ascii="Arial" w:hAnsi="Arial" w:eastAsia="黑体" w:cs="Arial"/>
          <w:color w:val="auto"/>
          <w:sz w:val="28"/>
          <w:szCs w:val="28"/>
          <w:highlight w:val="none"/>
        </w:rPr>
        <w:br w:type="page"/>
      </w:r>
    </w:p>
    <w:p>
      <w:pPr>
        <w:spacing w:before="312" w:beforeLines="100" w:after="312" w:afterLines="100"/>
        <w:jc w:val="center"/>
        <w:rPr>
          <w:rFonts w:ascii="Arial" w:hAnsi="Arial" w:eastAsia="黑体" w:cs="Arial"/>
          <w:color w:val="auto"/>
          <w:sz w:val="32"/>
          <w:szCs w:val="32"/>
          <w:highlight w:val="none"/>
        </w:rPr>
      </w:pPr>
      <w:r>
        <w:rPr>
          <w:rFonts w:ascii="Arial" w:hAnsi="Arial" w:eastAsia="黑体" w:cs="Arial"/>
          <w:color w:val="auto"/>
          <w:sz w:val="32"/>
          <w:szCs w:val="32"/>
          <w:highlight w:val="none"/>
        </w:rPr>
        <w:t>目录</w:t>
      </w:r>
    </w:p>
    <w:p>
      <w:pPr>
        <w:jc w:val="center"/>
        <w:rPr>
          <w:rFonts w:ascii="Arial" w:hAnsi="Arial" w:eastAsia="黑体" w:cs="Arial"/>
          <w:color w:val="auto"/>
          <w:szCs w:val="21"/>
          <w:highlight w:val="none"/>
        </w:rPr>
      </w:pPr>
      <w:r>
        <w:rPr>
          <w:rFonts w:ascii="Arial" w:hAnsi="Arial" w:eastAsia="黑体" w:cs="Arial"/>
          <w:color w:val="auto"/>
          <w:szCs w:val="21"/>
          <w:highlight w:val="none"/>
        </w:rPr>
        <w:t>（注：供应商根据</w:t>
      </w:r>
      <w:r>
        <w:rPr>
          <w:rFonts w:hint="eastAsia" w:ascii="Arial" w:hAnsi="Arial" w:eastAsia="黑体" w:cs="Arial"/>
          <w:color w:val="auto"/>
          <w:szCs w:val="21"/>
          <w:highlight w:val="none"/>
        </w:rPr>
        <w:t>本章</w:t>
      </w:r>
      <w:r>
        <w:rPr>
          <w:rFonts w:ascii="Arial" w:hAnsi="Arial" w:eastAsia="黑体" w:cs="Arial"/>
          <w:color w:val="auto"/>
          <w:szCs w:val="21"/>
          <w:highlight w:val="none"/>
        </w:rPr>
        <w:t>附件顺序编制投标文件并制作目录（须生成页码））</w:t>
      </w:r>
    </w:p>
    <w:tbl>
      <w:tblPr>
        <w:tblStyle w:val="44"/>
        <w:tblW w:w="8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4419"/>
        <w:gridCol w:w="3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024" w:type="dxa"/>
            <w:vAlign w:val="center"/>
          </w:tcPr>
          <w:p>
            <w:pPr>
              <w:pStyle w:val="148"/>
              <w:spacing w:line="265" w:lineRule="atLeast"/>
              <w:ind w:left="0"/>
              <w:jc w:val="both"/>
              <w:rPr>
                <w:rFonts w:ascii="宋体" w:hAnsi="宋体" w:eastAsia="宋体"/>
                <w:b/>
                <w:color w:val="auto"/>
                <w:highlight w:val="none"/>
                <w:lang w:eastAsia="zh-CN"/>
              </w:rPr>
            </w:pPr>
            <w:r>
              <w:rPr>
                <w:rFonts w:hint="eastAsia" w:ascii="宋体" w:hAnsi="宋体" w:eastAsia="宋体"/>
                <w:b/>
                <w:color w:val="auto"/>
                <w:highlight w:val="none"/>
                <w:lang w:eastAsia="zh-CN"/>
              </w:rPr>
              <w:t>序号</w:t>
            </w:r>
          </w:p>
        </w:tc>
        <w:tc>
          <w:tcPr>
            <w:tcW w:w="4419" w:type="dxa"/>
            <w:vAlign w:val="center"/>
          </w:tcPr>
          <w:p>
            <w:pPr>
              <w:pStyle w:val="148"/>
              <w:spacing w:line="265" w:lineRule="atLeast"/>
              <w:ind w:left="0"/>
              <w:rPr>
                <w:rFonts w:ascii="宋体" w:hAnsi="宋体" w:eastAsia="宋体"/>
                <w:b/>
                <w:color w:val="auto"/>
                <w:highlight w:val="none"/>
                <w:lang w:eastAsia="zh-CN"/>
              </w:rPr>
            </w:pPr>
            <w:r>
              <w:rPr>
                <w:rFonts w:hint="eastAsia" w:ascii="宋体" w:hAnsi="宋体" w:eastAsia="宋体"/>
                <w:b/>
                <w:color w:val="auto"/>
                <w:highlight w:val="none"/>
              </w:rPr>
              <w:t>评分项目</w:t>
            </w:r>
          </w:p>
        </w:tc>
        <w:tc>
          <w:tcPr>
            <w:tcW w:w="3016" w:type="dxa"/>
            <w:vAlign w:val="center"/>
          </w:tcPr>
          <w:p>
            <w:pPr>
              <w:pStyle w:val="148"/>
              <w:spacing w:line="265" w:lineRule="atLeast"/>
              <w:ind w:left="0"/>
              <w:rPr>
                <w:rFonts w:ascii="宋体" w:hAnsi="宋体" w:eastAsia="宋体"/>
                <w:b/>
                <w:color w:val="auto"/>
                <w:highlight w:val="none"/>
                <w:lang w:eastAsia="zh-CN"/>
              </w:rPr>
            </w:pPr>
            <w:r>
              <w:rPr>
                <w:rFonts w:hint="eastAsia" w:ascii="宋体" w:hAnsi="宋体" w:eastAsia="宋体"/>
                <w:b/>
                <w:color w:val="auto"/>
                <w:highlight w:val="none"/>
                <w:lang w:eastAsia="zh-CN"/>
              </w:rPr>
              <w:t>在投标文件中的页码位置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24"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4419" w:type="dxa"/>
            <w:vAlign w:val="center"/>
          </w:tcPr>
          <w:p>
            <w:pPr>
              <w:pStyle w:val="148"/>
              <w:spacing w:line="265" w:lineRule="atLeast"/>
              <w:ind w:left="420" w:firstLine="482"/>
              <w:jc w:val="center"/>
              <w:rPr>
                <w:rFonts w:ascii="宋体" w:hAnsi="宋体" w:eastAsia="宋体"/>
                <w:b/>
                <w:color w:val="auto"/>
                <w:highlight w:val="none"/>
                <w:lang w:eastAsia="zh-CN"/>
              </w:rPr>
            </w:pPr>
          </w:p>
        </w:tc>
        <w:tc>
          <w:tcPr>
            <w:tcW w:w="3016" w:type="dxa"/>
            <w:vAlign w:val="center"/>
          </w:tcPr>
          <w:p>
            <w:pPr>
              <w:pStyle w:val="148"/>
              <w:spacing w:line="265" w:lineRule="atLeast"/>
              <w:ind w:left="420" w:firstLine="482"/>
              <w:jc w:val="center"/>
              <w:rPr>
                <w:rFonts w:ascii="宋体" w:hAnsi="宋体" w:eastAsia="宋体"/>
                <w:b/>
                <w:color w:val="auto"/>
                <w:highlight w:val="none"/>
                <w:lang w:eastAsia="zh-CN"/>
              </w:rPr>
            </w:pPr>
          </w:p>
        </w:tc>
      </w:tr>
    </w:tbl>
    <w:p>
      <w:pPr>
        <w:rPr>
          <w:color w:val="auto"/>
          <w:highlight w:val="none"/>
        </w:rPr>
      </w:pPr>
    </w:p>
    <w:p>
      <w:pPr>
        <w:spacing w:line="440" w:lineRule="exact"/>
        <w:rPr>
          <w:rFonts w:ascii="Arial" w:hAnsi="Arial" w:cs="Arial"/>
          <w:color w:val="auto"/>
          <w:kern w:val="0"/>
          <w:szCs w:val="21"/>
          <w:highlight w:val="none"/>
        </w:rPr>
      </w:pPr>
      <w:r>
        <w:rPr>
          <w:rFonts w:ascii="Arial" w:hAnsi="Arial" w:cs="Arial"/>
          <w:color w:val="auto"/>
          <w:highlight w:val="none"/>
        </w:rPr>
        <w:br w:type="page"/>
      </w:r>
      <w:r>
        <w:rPr>
          <w:rFonts w:ascii="Arial" w:hAnsi="Arial" w:cs="Arial"/>
          <w:b/>
          <w:bCs/>
          <w:color w:val="auto"/>
          <w:kern w:val="0"/>
          <w:szCs w:val="21"/>
          <w:highlight w:val="none"/>
        </w:rPr>
        <w:t>附件一、投标申请及声明格式</w:t>
      </w:r>
    </w:p>
    <w:p>
      <w:pPr>
        <w:widowControl/>
        <w:shd w:val="clear" w:color="auto" w:fill="FFFFFF"/>
        <w:spacing w:line="360" w:lineRule="auto"/>
        <w:jc w:val="center"/>
        <w:rPr>
          <w:rFonts w:ascii="Arial" w:hAnsi="Arial" w:cs="Arial"/>
          <w:b/>
          <w:color w:val="auto"/>
          <w:kern w:val="0"/>
          <w:szCs w:val="21"/>
          <w:highlight w:val="none"/>
        </w:rPr>
      </w:pPr>
      <w:r>
        <w:rPr>
          <w:rFonts w:ascii="Arial" w:hAnsi="Arial" w:cs="Arial"/>
          <w:b/>
          <w:color w:val="auto"/>
          <w:kern w:val="0"/>
          <w:sz w:val="36"/>
          <w:szCs w:val="36"/>
          <w:highlight w:val="none"/>
        </w:rPr>
        <w:t>投标申请及声明</w:t>
      </w:r>
    </w:p>
    <w:p>
      <w:pPr>
        <w:widowControl/>
        <w:shd w:val="clear" w:color="auto" w:fill="FFFFFF"/>
        <w:spacing w:line="400" w:lineRule="exact"/>
        <w:rPr>
          <w:rFonts w:ascii="Arial" w:hAnsi="Arial" w:cs="Arial"/>
          <w:color w:val="auto"/>
          <w:kern w:val="0"/>
          <w:szCs w:val="21"/>
          <w:highlight w:val="none"/>
        </w:rPr>
      </w:pPr>
      <w:r>
        <w:rPr>
          <w:rFonts w:ascii="Arial" w:hAnsi="Arial" w:cs="Arial"/>
          <w:color w:val="auto"/>
          <w:kern w:val="0"/>
          <w:szCs w:val="21"/>
          <w:highlight w:val="none"/>
        </w:rPr>
        <w:t> 致：江苏省设备成套股份有限公司</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根据贵方</w:t>
      </w:r>
      <w:r>
        <w:rPr>
          <w:rFonts w:ascii="Arial" w:hAnsi="Arial" w:cs="Arial"/>
          <w:color w:val="auto"/>
          <w:kern w:val="0"/>
          <w:szCs w:val="21"/>
          <w:highlight w:val="none"/>
          <w:u w:val="single"/>
        </w:rPr>
        <w:t>           </w:t>
      </w:r>
      <w:r>
        <w:rPr>
          <w:rFonts w:hint="eastAsia" w:ascii="Arial" w:hAnsi="Arial" w:cs="Arial"/>
          <w:color w:val="auto"/>
          <w:kern w:val="0"/>
          <w:szCs w:val="21"/>
          <w:highlight w:val="none"/>
          <w:u w:val="single"/>
        </w:rPr>
        <w:t>（</w:t>
      </w:r>
      <w:r>
        <w:rPr>
          <w:rFonts w:ascii="Arial" w:hAnsi="Arial" w:cs="Arial"/>
          <w:color w:val="auto"/>
          <w:kern w:val="0"/>
          <w:szCs w:val="21"/>
          <w:highlight w:val="none"/>
        </w:rPr>
        <w:t>项目名称） </w:t>
      </w:r>
      <w:r>
        <w:rPr>
          <w:rFonts w:ascii="Arial" w:hAnsi="Arial" w:cs="Arial"/>
          <w:color w:val="auto"/>
          <w:kern w:val="0"/>
          <w:szCs w:val="21"/>
          <w:highlight w:val="none"/>
          <w:u w:val="single"/>
        </w:rPr>
        <w:t>       </w:t>
      </w:r>
      <w:r>
        <w:rPr>
          <w:rFonts w:ascii="Arial" w:hAnsi="Arial" w:cs="Arial"/>
          <w:color w:val="auto"/>
          <w:kern w:val="0"/>
          <w:szCs w:val="21"/>
          <w:highlight w:val="none"/>
        </w:rPr>
        <w:t>（项目编号）投标邀请，正式授权下述签字人</w:t>
      </w:r>
      <w:r>
        <w:rPr>
          <w:rFonts w:ascii="Arial" w:hAnsi="Arial" w:cs="Arial"/>
          <w:color w:val="auto"/>
          <w:kern w:val="0"/>
          <w:szCs w:val="21"/>
          <w:highlight w:val="none"/>
          <w:u w:val="single"/>
        </w:rPr>
        <w:t>           </w:t>
      </w:r>
      <w:r>
        <w:rPr>
          <w:rFonts w:ascii="Arial" w:hAnsi="Arial" w:cs="Arial"/>
          <w:color w:val="auto"/>
          <w:kern w:val="0"/>
          <w:szCs w:val="21"/>
          <w:highlight w:val="none"/>
        </w:rPr>
        <w:t>(姓名和职务)代表投标人</w:t>
      </w:r>
      <w:r>
        <w:rPr>
          <w:rFonts w:ascii="Arial" w:hAnsi="Arial" w:cs="Arial"/>
          <w:color w:val="auto"/>
          <w:kern w:val="0"/>
          <w:szCs w:val="21"/>
          <w:highlight w:val="none"/>
          <w:u w:val="single"/>
        </w:rPr>
        <w:t>     </w:t>
      </w:r>
      <w:r>
        <w:rPr>
          <w:rFonts w:ascii="Arial" w:hAnsi="Arial" w:cs="Arial"/>
          <w:color w:val="auto"/>
          <w:kern w:val="0"/>
          <w:szCs w:val="21"/>
          <w:highlight w:val="none"/>
        </w:rPr>
        <w:t>（投标人名称），提交投标文件。</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据此函，签字人兹宣布声明和承诺如下：</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1、我们的资格条件完全符合政府采购法和本次招标要求，我们同意并向贵方提供了与投标有关的所有证据和资料。</w:t>
      </w:r>
    </w:p>
    <w:p>
      <w:pPr>
        <w:widowControl/>
        <w:shd w:val="clear" w:color="auto" w:fill="FFFFFF"/>
        <w:spacing w:line="400" w:lineRule="exact"/>
        <w:ind w:left="1470" w:hanging="1050"/>
        <w:rPr>
          <w:rFonts w:ascii="Arial" w:hAnsi="Arial" w:cs="Arial"/>
          <w:color w:val="auto"/>
          <w:kern w:val="0"/>
          <w:szCs w:val="21"/>
          <w:highlight w:val="none"/>
        </w:rPr>
      </w:pPr>
      <w:r>
        <w:rPr>
          <w:rFonts w:ascii="Arial" w:hAnsi="Arial" w:cs="Arial"/>
          <w:color w:val="auto"/>
          <w:kern w:val="0"/>
          <w:szCs w:val="21"/>
          <w:highlight w:val="none"/>
        </w:rPr>
        <w:t>2、按招标要求，我们的投标总报价</w:t>
      </w:r>
      <w:r>
        <w:rPr>
          <w:rFonts w:hint="eastAsia" w:ascii="Arial" w:hAnsi="Arial" w:cs="Arial"/>
          <w:color w:val="auto"/>
          <w:kern w:val="0"/>
          <w:szCs w:val="21"/>
          <w:highlight w:val="none"/>
        </w:rPr>
        <w:t>详见开标一览表</w:t>
      </w:r>
      <w:r>
        <w:rPr>
          <w:rFonts w:ascii="Arial" w:hAnsi="Arial" w:cs="Arial"/>
          <w:color w:val="auto"/>
          <w:kern w:val="0"/>
          <w:szCs w:val="21"/>
          <w:highlight w:val="none"/>
        </w:rPr>
        <w:t>。</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3、本项目交付时间为：</w:t>
      </w:r>
      <w:r>
        <w:rPr>
          <w:rFonts w:ascii="Arial" w:hAnsi="Arial" w:cs="Arial"/>
          <w:color w:val="auto"/>
          <w:kern w:val="0"/>
          <w:szCs w:val="21"/>
          <w:highlight w:val="none"/>
          <w:u w:val="single"/>
        </w:rPr>
        <w:t xml:space="preserve">  满足招标文件要求  </w:t>
      </w:r>
      <w:r>
        <w:rPr>
          <w:rFonts w:ascii="Arial" w:hAnsi="Arial" w:cs="Arial"/>
          <w:color w:val="auto"/>
          <w:kern w:val="0"/>
          <w:szCs w:val="21"/>
          <w:highlight w:val="none"/>
        </w:rPr>
        <w:t>。</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4、我们已详细阅读全部招标文件及其有效补充文件，我们放弃对招标文件任何误解的权利，提交投标文件后，不对招标文件本身提出质疑。</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5、我们同意从规定的开标日期起遵循本投标文件，并在规定的投标有效期期满之前均具有约束力。</w:t>
      </w:r>
    </w:p>
    <w:p>
      <w:pPr>
        <w:widowControl/>
        <w:shd w:val="clear" w:color="auto" w:fill="FFFFFF"/>
        <w:spacing w:line="400" w:lineRule="exact"/>
        <w:ind w:firstLine="420"/>
        <w:rPr>
          <w:rFonts w:ascii="Arial" w:hAnsi="Arial" w:cs="Arial"/>
          <w:color w:val="auto"/>
          <w:kern w:val="0"/>
          <w:szCs w:val="21"/>
          <w:highlight w:val="none"/>
        </w:rPr>
      </w:pPr>
      <w:r>
        <w:rPr>
          <w:rFonts w:hint="eastAsia" w:ascii="Arial" w:hAnsi="Arial" w:cs="Arial"/>
          <w:color w:val="auto"/>
          <w:kern w:val="0"/>
          <w:szCs w:val="21"/>
          <w:highlight w:val="none"/>
        </w:rPr>
        <w:t>6</w:t>
      </w:r>
      <w:r>
        <w:rPr>
          <w:rFonts w:ascii="Arial" w:hAnsi="Arial" w:cs="Arial"/>
          <w:color w:val="auto"/>
          <w:kern w:val="0"/>
          <w:szCs w:val="21"/>
          <w:highlight w:val="none"/>
        </w:rPr>
        <w:t>、一旦我方中标，我方将根据招标文件的规定</w:t>
      </w:r>
      <w:r>
        <w:rPr>
          <w:rFonts w:hint="eastAsia" w:ascii="Arial" w:hAnsi="Arial" w:cs="Arial"/>
          <w:color w:val="auto"/>
          <w:kern w:val="0"/>
          <w:szCs w:val="21"/>
          <w:highlight w:val="none"/>
        </w:rPr>
        <w:t>及我方投标承诺</w:t>
      </w:r>
      <w:r>
        <w:rPr>
          <w:rFonts w:ascii="Arial" w:hAnsi="Arial" w:cs="Arial"/>
          <w:color w:val="auto"/>
          <w:kern w:val="0"/>
          <w:szCs w:val="21"/>
          <w:highlight w:val="none"/>
        </w:rPr>
        <w:t>严格履行合同。</w:t>
      </w:r>
    </w:p>
    <w:p>
      <w:pPr>
        <w:widowControl/>
        <w:shd w:val="clear" w:color="auto" w:fill="FFFFFF"/>
        <w:spacing w:line="400" w:lineRule="exact"/>
        <w:ind w:firstLine="420"/>
        <w:rPr>
          <w:rFonts w:ascii="Arial" w:hAnsi="Arial" w:cs="Arial"/>
          <w:color w:val="auto"/>
          <w:kern w:val="0"/>
          <w:szCs w:val="21"/>
          <w:highlight w:val="none"/>
        </w:rPr>
      </w:pPr>
      <w:r>
        <w:rPr>
          <w:rFonts w:hint="eastAsia" w:ascii="Arial" w:hAnsi="Arial" w:cs="Arial"/>
          <w:color w:val="auto"/>
          <w:kern w:val="0"/>
          <w:szCs w:val="21"/>
          <w:highlight w:val="none"/>
        </w:rPr>
        <w:t>7</w:t>
      </w:r>
      <w:r>
        <w:rPr>
          <w:rFonts w:ascii="Arial" w:hAnsi="Arial" w:cs="Arial"/>
          <w:color w:val="auto"/>
          <w:kern w:val="0"/>
          <w:szCs w:val="21"/>
          <w:highlight w:val="none"/>
        </w:rPr>
        <w:t>、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pPr>
        <w:widowControl/>
        <w:shd w:val="clear" w:color="auto" w:fill="FFFFFF"/>
        <w:spacing w:line="400" w:lineRule="exact"/>
        <w:ind w:firstLine="420"/>
        <w:rPr>
          <w:rFonts w:ascii="Arial" w:hAnsi="Arial" w:cs="Arial"/>
          <w:color w:val="auto"/>
          <w:kern w:val="0"/>
          <w:szCs w:val="21"/>
          <w:highlight w:val="none"/>
        </w:rPr>
      </w:pPr>
      <w:r>
        <w:rPr>
          <w:rFonts w:hint="eastAsia" w:ascii="Arial" w:hAnsi="Arial" w:cs="Arial"/>
          <w:color w:val="auto"/>
          <w:kern w:val="0"/>
          <w:szCs w:val="21"/>
          <w:highlight w:val="none"/>
        </w:rPr>
        <w:t>8</w:t>
      </w:r>
      <w:r>
        <w:rPr>
          <w:rFonts w:ascii="Arial" w:hAnsi="Arial" w:cs="Arial"/>
          <w:color w:val="auto"/>
          <w:kern w:val="0"/>
          <w:szCs w:val="21"/>
          <w:highlight w:val="none"/>
        </w:rPr>
        <w:t>、与本投标有关的正式联系方式为：</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地   址：</w:t>
      </w:r>
      <w:r>
        <w:rPr>
          <w:rFonts w:ascii="Arial" w:hAnsi="Arial" w:cs="Arial"/>
          <w:color w:val="auto"/>
          <w:kern w:val="0"/>
          <w:szCs w:val="21"/>
          <w:highlight w:val="none"/>
          <w:u w:val="single"/>
        </w:rPr>
        <w:t>                      </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电   话：</w:t>
      </w:r>
      <w:r>
        <w:rPr>
          <w:rFonts w:ascii="Arial" w:hAnsi="Arial" w:cs="Arial"/>
          <w:color w:val="auto"/>
          <w:kern w:val="0"/>
          <w:szCs w:val="21"/>
          <w:highlight w:val="none"/>
          <w:u w:val="single"/>
        </w:rPr>
        <w:t>                      </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传   真：</w:t>
      </w:r>
      <w:r>
        <w:rPr>
          <w:rFonts w:ascii="Arial" w:hAnsi="Arial" w:cs="Arial"/>
          <w:color w:val="auto"/>
          <w:kern w:val="0"/>
          <w:szCs w:val="21"/>
          <w:highlight w:val="none"/>
          <w:u w:val="single"/>
        </w:rPr>
        <w:t>                      </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开户银行：</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银行账号：</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投标人授权代表姓名（签字</w:t>
      </w:r>
      <w:r>
        <w:rPr>
          <w:rFonts w:hint="eastAsia" w:ascii="Arial" w:hAnsi="Arial" w:cs="Arial"/>
          <w:color w:val="auto"/>
          <w:kern w:val="0"/>
          <w:szCs w:val="21"/>
          <w:highlight w:val="none"/>
        </w:rPr>
        <w:t>或签章</w:t>
      </w:r>
      <w:r>
        <w:rPr>
          <w:rFonts w:ascii="Arial" w:hAnsi="Arial" w:cs="Arial"/>
          <w:color w:val="auto"/>
          <w:kern w:val="0"/>
          <w:szCs w:val="21"/>
          <w:highlight w:val="none"/>
        </w:rPr>
        <w:t>）：</w:t>
      </w:r>
      <w:r>
        <w:rPr>
          <w:rFonts w:ascii="Arial" w:hAnsi="Arial" w:cs="Arial"/>
          <w:color w:val="auto"/>
          <w:kern w:val="0"/>
          <w:szCs w:val="21"/>
          <w:highlight w:val="none"/>
          <w:u w:val="single"/>
        </w:rPr>
        <w:t>        </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投标人名称：</w:t>
      </w:r>
      <w:r>
        <w:rPr>
          <w:rFonts w:ascii="Arial" w:hAnsi="Arial" w:cs="Arial"/>
          <w:color w:val="auto"/>
          <w:kern w:val="0"/>
          <w:szCs w:val="21"/>
          <w:highlight w:val="none"/>
          <w:u w:val="single"/>
        </w:rPr>
        <w:t>                 </w:t>
      </w:r>
      <w:r>
        <w:rPr>
          <w:rFonts w:ascii="Arial" w:hAnsi="Arial" w:cs="Arial"/>
          <w:color w:val="auto"/>
          <w:kern w:val="0"/>
          <w:szCs w:val="21"/>
          <w:highlight w:val="none"/>
        </w:rPr>
        <w:t>（盖章）</w:t>
      </w:r>
    </w:p>
    <w:p>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日    期：</w:t>
      </w:r>
      <w:r>
        <w:rPr>
          <w:rFonts w:ascii="Arial" w:hAnsi="Arial" w:cs="Arial"/>
          <w:color w:val="auto"/>
          <w:kern w:val="0"/>
          <w:szCs w:val="21"/>
          <w:highlight w:val="none"/>
          <w:u w:val="single"/>
        </w:rPr>
        <w:t>     </w:t>
      </w:r>
      <w:r>
        <w:rPr>
          <w:rFonts w:ascii="Arial" w:hAnsi="Arial" w:cs="Arial"/>
          <w:color w:val="auto"/>
          <w:kern w:val="0"/>
          <w:szCs w:val="21"/>
          <w:highlight w:val="none"/>
        </w:rPr>
        <w:t>年</w:t>
      </w:r>
      <w:r>
        <w:rPr>
          <w:rFonts w:ascii="Arial" w:hAnsi="Arial" w:cs="Arial"/>
          <w:color w:val="auto"/>
          <w:kern w:val="0"/>
          <w:szCs w:val="21"/>
          <w:highlight w:val="none"/>
          <w:u w:val="single"/>
        </w:rPr>
        <w:t>    </w:t>
      </w:r>
      <w:r>
        <w:rPr>
          <w:rFonts w:ascii="Arial" w:hAnsi="Arial" w:cs="Arial"/>
          <w:color w:val="auto"/>
          <w:kern w:val="0"/>
          <w:szCs w:val="21"/>
          <w:highlight w:val="none"/>
        </w:rPr>
        <w:t>月</w:t>
      </w:r>
      <w:r>
        <w:rPr>
          <w:rFonts w:ascii="Arial" w:hAnsi="Arial" w:cs="Arial"/>
          <w:color w:val="auto"/>
          <w:kern w:val="0"/>
          <w:szCs w:val="21"/>
          <w:highlight w:val="none"/>
          <w:u w:val="single"/>
        </w:rPr>
        <w:t>    </w:t>
      </w:r>
      <w:r>
        <w:rPr>
          <w:rFonts w:ascii="Arial" w:hAnsi="Arial" w:cs="Arial"/>
          <w:color w:val="auto"/>
          <w:kern w:val="0"/>
          <w:szCs w:val="21"/>
          <w:highlight w:val="none"/>
        </w:rPr>
        <w:t>日</w:t>
      </w:r>
    </w:p>
    <w:p>
      <w:pPr>
        <w:widowControl/>
        <w:shd w:val="clear" w:color="auto" w:fill="FFFFFF"/>
        <w:spacing w:line="360" w:lineRule="auto"/>
        <w:rPr>
          <w:rFonts w:ascii="Arial" w:hAnsi="Arial" w:cs="Arial"/>
          <w:color w:val="auto"/>
          <w:kern w:val="0"/>
          <w:szCs w:val="21"/>
          <w:highlight w:val="none"/>
        </w:rPr>
      </w:pPr>
      <w:r>
        <w:rPr>
          <w:rFonts w:ascii="Arial" w:hAnsi="Arial" w:cs="Arial"/>
          <w:b/>
          <w:bCs/>
          <w:color w:val="auto"/>
          <w:kern w:val="0"/>
          <w:szCs w:val="21"/>
          <w:highlight w:val="none"/>
        </w:rPr>
        <w:br w:type="page"/>
      </w:r>
      <w:r>
        <w:rPr>
          <w:rFonts w:ascii="Arial" w:hAnsi="Arial" w:cs="Arial"/>
          <w:b/>
          <w:bCs/>
          <w:color w:val="auto"/>
          <w:kern w:val="0"/>
          <w:szCs w:val="21"/>
          <w:highlight w:val="none"/>
        </w:rPr>
        <w:t>附件二、</w:t>
      </w:r>
      <w:r>
        <w:rPr>
          <w:rFonts w:hint="eastAsia" w:ascii="Arial" w:hAnsi="Arial" w:cs="Arial"/>
          <w:b/>
          <w:bCs/>
          <w:color w:val="auto"/>
          <w:kern w:val="0"/>
          <w:szCs w:val="21"/>
          <w:highlight w:val="none"/>
        </w:rPr>
        <w:t>法定代表人授权书</w:t>
      </w:r>
      <w:r>
        <w:rPr>
          <w:rFonts w:ascii="Arial" w:hAnsi="Arial" w:cs="Arial"/>
          <w:b/>
          <w:bCs/>
          <w:color w:val="auto"/>
          <w:kern w:val="0"/>
          <w:szCs w:val="21"/>
          <w:highlight w:val="none"/>
        </w:rPr>
        <w:t>格式</w:t>
      </w:r>
    </w:p>
    <w:p>
      <w:pPr>
        <w:widowControl/>
        <w:shd w:val="clear" w:color="auto" w:fill="FFFFFF"/>
        <w:spacing w:line="360" w:lineRule="auto"/>
        <w:ind w:firstLine="720"/>
        <w:jc w:val="center"/>
        <w:rPr>
          <w:rFonts w:ascii="Arial" w:hAnsi="Arial" w:cs="Arial"/>
          <w:color w:val="auto"/>
          <w:kern w:val="0"/>
          <w:sz w:val="36"/>
          <w:szCs w:val="36"/>
          <w:highlight w:val="none"/>
        </w:rPr>
      </w:pPr>
    </w:p>
    <w:p>
      <w:pPr>
        <w:widowControl/>
        <w:shd w:val="clear" w:color="auto" w:fill="FFFFFF"/>
        <w:spacing w:line="360" w:lineRule="auto"/>
        <w:ind w:firstLine="720"/>
        <w:jc w:val="center"/>
        <w:rPr>
          <w:rFonts w:ascii="Arial" w:hAnsi="Arial" w:cs="Arial"/>
          <w:b/>
          <w:color w:val="auto"/>
          <w:kern w:val="0"/>
          <w:szCs w:val="21"/>
          <w:highlight w:val="none"/>
        </w:rPr>
      </w:pPr>
      <w:r>
        <w:rPr>
          <w:rFonts w:ascii="Arial" w:hAnsi="Arial" w:cs="Arial"/>
          <w:b/>
          <w:color w:val="auto"/>
          <w:kern w:val="0"/>
          <w:sz w:val="36"/>
          <w:szCs w:val="36"/>
          <w:highlight w:val="none"/>
        </w:rPr>
        <w:t>法定代表人授权书</w:t>
      </w: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致：江苏省设备成套股份有限公司</w:t>
      </w:r>
    </w:p>
    <w:p>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color w:val="auto"/>
          <w:kern w:val="0"/>
          <w:szCs w:val="21"/>
          <w:highlight w:val="none"/>
        </w:rPr>
        <w:t>本授权书声明：注册于</w:t>
      </w:r>
      <w:r>
        <w:rPr>
          <w:rFonts w:ascii="Arial" w:hAnsi="Arial" w:cs="Arial"/>
          <w:color w:val="auto"/>
          <w:kern w:val="0"/>
          <w:szCs w:val="21"/>
          <w:highlight w:val="none"/>
          <w:u w:val="single"/>
        </w:rPr>
        <w:t>              </w:t>
      </w:r>
      <w:r>
        <w:rPr>
          <w:rFonts w:ascii="Arial" w:hAnsi="Arial" w:cs="Arial"/>
          <w:color w:val="auto"/>
          <w:kern w:val="0"/>
          <w:szCs w:val="21"/>
          <w:highlight w:val="none"/>
        </w:rPr>
        <w:t>（投标人住址）的</w:t>
      </w:r>
      <w:r>
        <w:rPr>
          <w:rFonts w:ascii="Arial" w:hAnsi="Arial" w:cs="Arial"/>
          <w:color w:val="auto"/>
          <w:kern w:val="0"/>
          <w:szCs w:val="21"/>
          <w:highlight w:val="none"/>
          <w:u w:val="single"/>
        </w:rPr>
        <w:t>           </w:t>
      </w:r>
      <w:r>
        <w:rPr>
          <w:rFonts w:ascii="Arial" w:hAnsi="Arial" w:cs="Arial"/>
          <w:color w:val="auto"/>
          <w:kern w:val="0"/>
          <w:szCs w:val="21"/>
          <w:highlight w:val="none"/>
        </w:rPr>
        <w:t>（投标人名称）法定代表人</w:t>
      </w:r>
      <w:r>
        <w:rPr>
          <w:rFonts w:ascii="Arial" w:hAnsi="Arial" w:cs="Arial"/>
          <w:color w:val="auto"/>
          <w:kern w:val="0"/>
          <w:szCs w:val="21"/>
          <w:highlight w:val="none"/>
          <w:u w:val="single"/>
        </w:rPr>
        <w:t>        </w:t>
      </w:r>
      <w:r>
        <w:rPr>
          <w:rFonts w:ascii="Arial" w:hAnsi="Arial" w:cs="Arial"/>
          <w:color w:val="auto"/>
          <w:kern w:val="0"/>
          <w:szCs w:val="21"/>
          <w:highlight w:val="none"/>
        </w:rPr>
        <w:t>（法定代表人姓名、职务）代表本公司授权在下面签字的</w:t>
      </w:r>
      <w:r>
        <w:rPr>
          <w:rFonts w:ascii="Arial" w:hAnsi="Arial" w:cs="Arial"/>
          <w:color w:val="auto"/>
          <w:kern w:val="0"/>
          <w:szCs w:val="21"/>
          <w:highlight w:val="none"/>
          <w:u w:val="single"/>
        </w:rPr>
        <w:t>        </w:t>
      </w:r>
      <w:r>
        <w:rPr>
          <w:rFonts w:ascii="Arial" w:hAnsi="Arial" w:cs="Arial"/>
          <w:color w:val="auto"/>
          <w:kern w:val="0"/>
          <w:szCs w:val="21"/>
          <w:highlight w:val="none"/>
        </w:rPr>
        <w:t>（投标人代表姓名、职务）为本公司的合法代理人，就贵方组织的</w:t>
      </w:r>
      <w:r>
        <w:rPr>
          <w:rFonts w:ascii="Arial" w:hAnsi="Arial" w:cs="Arial"/>
          <w:color w:val="auto"/>
          <w:kern w:val="0"/>
          <w:szCs w:val="21"/>
          <w:highlight w:val="none"/>
          <w:u w:val="single"/>
        </w:rPr>
        <w:t>       </w:t>
      </w:r>
      <w:r>
        <w:rPr>
          <w:rFonts w:hint="eastAsia" w:ascii="Arial" w:hAnsi="Arial" w:cs="Arial"/>
          <w:color w:val="auto"/>
          <w:kern w:val="0"/>
          <w:szCs w:val="21"/>
          <w:highlight w:val="none"/>
          <w:u w:val="single"/>
        </w:rPr>
        <w:t xml:space="preserve">    </w:t>
      </w:r>
      <w:r>
        <w:rPr>
          <w:rFonts w:ascii="Arial" w:hAnsi="Arial" w:cs="Arial"/>
          <w:color w:val="auto"/>
          <w:kern w:val="0"/>
          <w:szCs w:val="21"/>
          <w:highlight w:val="none"/>
        </w:rPr>
        <w:t>（项目名称），</w:t>
      </w:r>
      <w:r>
        <w:rPr>
          <w:rFonts w:ascii="Arial" w:hAnsi="Arial" w:cs="Arial"/>
          <w:color w:val="auto"/>
          <w:kern w:val="0"/>
          <w:szCs w:val="21"/>
          <w:highlight w:val="none"/>
          <w:u w:val="single"/>
        </w:rPr>
        <w:t>        </w:t>
      </w:r>
      <w:r>
        <w:rPr>
          <w:rFonts w:ascii="Arial" w:hAnsi="Arial" w:cs="Arial"/>
          <w:color w:val="auto"/>
          <w:kern w:val="0"/>
          <w:szCs w:val="21"/>
          <w:highlight w:val="none"/>
        </w:rPr>
        <w:t>（项目编号）投标，以本公司名义处理一切与之有关的事务。</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r>
        <w:rPr>
          <w:rFonts w:hint="eastAsia" w:ascii="Arial" w:hAnsi="Arial" w:cs="Arial"/>
          <w:color w:val="auto"/>
          <w:kern w:val="0"/>
          <w:szCs w:val="21"/>
          <w:highlight w:val="none"/>
        </w:rPr>
        <w:t xml:space="preserve"> </w:t>
      </w:r>
      <w:r>
        <w:rPr>
          <w:rFonts w:ascii="Arial" w:hAnsi="Arial" w:cs="Arial"/>
          <w:color w:val="auto"/>
          <w:kern w:val="0"/>
          <w:szCs w:val="21"/>
          <w:highlight w:val="none"/>
        </w:rPr>
        <w:t>本授权书于    年  月  日签字生效，特此声明。</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r>
        <w:rPr>
          <w:rFonts w:hint="eastAsia" w:ascii="Arial" w:hAnsi="Arial" w:cs="Arial"/>
          <w:color w:val="auto"/>
          <w:kern w:val="0"/>
          <w:szCs w:val="21"/>
          <w:highlight w:val="none"/>
        </w:rPr>
        <w:t xml:space="preserve"> </w:t>
      </w:r>
      <w:r>
        <w:rPr>
          <w:rFonts w:ascii="Arial" w:hAnsi="Arial" w:cs="Arial"/>
          <w:color w:val="auto"/>
          <w:kern w:val="0"/>
          <w:szCs w:val="21"/>
          <w:highlight w:val="none"/>
        </w:rPr>
        <w:t>法定代表人签字</w:t>
      </w:r>
      <w:r>
        <w:rPr>
          <w:rFonts w:hint="eastAsia" w:ascii="Arial" w:hAnsi="Arial" w:cs="Arial"/>
          <w:color w:val="auto"/>
          <w:kern w:val="0"/>
          <w:szCs w:val="21"/>
          <w:highlight w:val="none"/>
        </w:rPr>
        <w:t>或签章</w:t>
      </w:r>
      <w:r>
        <w:rPr>
          <w:rFonts w:ascii="Arial" w:hAnsi="Arial" w:cs="Arial"/>
          <w:color w:val="auto"/>
          <w:kern w:val="0"/>
          <w:szCs w:val="21"/>
          <w:highlight w:val="none"/>
        </w:rPr>
        <w:t>：</w:t>
      </w:r>
    </w:p>
    <w:p>
      <w:pPr>
        <w:widowControl/>
        <w:shd w:val="clear" w:color="auto" w:fill="FFFFFF"/>
        <w:spacing w:line="360" w:lineRule="auto"/>
        <w:ind w:firstLine="338" w:firstLineChars="161"/>
        <w:jc w:val="left"/>
        <w:rPr>
          <w:rFonts w:ascii="Arial" w:hAnsi="Arial" w:cs="Arial"/>
          <w:color w:val="auto"/>
          <w:kern w:val="0"/>
          <w:szCs w:val="21"/>
          <w:highlight w:val="none"/>
        </w:rPr>
      </w:pPr>
      <w:r>
        <w:rPr>
          <w:rFonts w:hint="eastAsia" w:ascii="Arial" w:hAnsi="Arial" w:cs="Arial"/>
          <w:color w:val="auto"/>
          <w:kern w:val="0"/>
          <w:szCs w:val="21"/>
          <w:highlight w:val="none"/>
        </w:rPr>
        <w:t>被</w:t>
      </w:r>
      <w:r>
        <w:rPr>
          <w:rFonts w:ascii="Arial" w:hAnsi="Arial" w:cs="Arial"/>
          <w:color w:val="auto"/>
          <w:kern w:val="0"/>
          <w:szCs w:val="21"/>
          <w:highlight w:val="none"/>
        </w:rPr>
        <w:t>授权人签字</w:t>
      </w:r>
      <w:r>
        <w:rPr>
          <w:rFonts w:hint="eastAsia" w:ascii="Arial" w:hAnsi="Arial" w:cs="Arial"/>
          <w:color w:val="auto"/>
          <w:kern w:val="0"/>
          <w:szCs w:val="21"/>
          <w:highlight w:val="none"/>
        </w:rPr>
        <w:t>或签章</w:t>
      </w:r>
      <w:r>
        <w:rPr>
          <w:rFonts w:ascii="Arial" w:hAnsi="Arial" w:cs="Arial"/>
          <w:color w:val="auto"/>
          <w:kern w:val="0"/>
          <w:szCs w:val="21"/>
          <w:highlight w:val="none"/>
        </w:rPr>
        <w:t>：   </w:t>
      </w:r>
    </w:p>
    <w:p>
      <w:pPr>
        <w:widowControl/>
        <w:shd w:val="clear" w:color="auto" w:fill="FFFFFF"/>
        <w:spacing w:line="360" w:lineRule="auto"/>
        <w:ind w:firstLine="338" w:firstLineChars="161"/>
        <w:jc w:val="left"/>
        <w:rPr>
          <w:rFonts w:ascii="Arial" w:hAnsi="Arial" w:cs="Arial"/>
          <w:color w:val="auto"/>
          <w:kern w:val="0"/>
          <w:szCs w:val="21"/>
          <w:highlight w:val="none"/>
        </w:rPr>
      </w:pPr>
      <w:r>
        <w:rPr>
          <w:rFonts w:hint="eastAsia" w:ascii="Arial" w:hAnsi="Arial" w:cs="Arial"/>
          <w:color w:val="auto"/>
          <w:kern w:val="0"/>
          <w:szCs w:val="21"/>
          <w:highlight w:val="none"/>
        </w:rPr>
        <w:t>供应商盖章：</w:t>
      </w:r>
      <w:r>
        <w:rPr>
          <w:rFonts w:ascii="Arial" w:hAnsi="Arial" w:cs="Arial"/>
          <w:color w:val="auto"/>
          <w:kern w:val="0"/>
          <w:szCs w:val="21"/>
          <w:highlight w:val="none"/>
        </w:rPr>
        <w:t>                </w:t>
      </w:r>
    </w:p>
    <w:p>
      <w:pPr>
        <w:widowControl/>
        <w:shd w:val="clear" w:color="auto" w:fill="FFFFFF"/>
        <w:spacing w:line="360" w:lineRule="auto"/>
        <w:ind w:firstLine="338" w:firstLineChars="161"/>
        <w:jc w:val="left"/>
        <w:rPr>
          <w:rFonts w:ascii="Arial" w:hAnsi="Arial" w:cs="Arial"/>
          <w:color w:val="auto"/>
          <w:kern w:val="0"/>
          <w:szCs w:val="21"/>
          <w:highlight w:val="none"/>
        </w:rPr>
      </w:pPr>
      <w:r>
        <w:rPr>
          <w:rFonts w:ascii="Arial" w:hAnsi="Arial" w:cs="Arial"/>
          <w:color w:val="auto"/>
          <w:kern w:val="0"/>
          <w:szCs w:val="21"/>
          <w:highlight w:val="none"/>
        </w:rPr>
        <w:t>日     期：        年    月    日</w:t>
      </w:r>
    </w:p>
    <w:p>
      <w:pPr>
        <w:widowControl/>
        <w:shd w:val="clear" w:color="auto" w:fill="FFFFFF"/>
        <w:spacing w:line="360" w:lineRule="auto"/>
        <w:ind w:firstLine="840" w:firstLineChars="400"/>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b/>
          <w:color w:val="auto"/>
          <w:kern w:val="0"/>
          <w:szCs w:val="21"/>
          <w:highlight w:val="none"/>
        </w:rPr>
      </w:pPr>
      <w:r>
        <w:rPr>
          <w:rFonts w:ascii="Arial" w:hAnsi="Arial" w:cs="Arial"/>
          <w:b/>
          <w:color w:val="auto"/>
          <w:kern w:val="0"/>
          <w:szCs w:val="21"/>
          <w:highlight w:val="none"/>
        </w:rPr>
        <w:t>被授权人的身份证的复印件:</w:t>
      </w:r>
    </w:p>
    <w:p>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color w:val="auto"/>
          <w:kern w:val="0"/>
          <w:szCs w:val="21"/>
          <w:highlight w:val="none"/>
        </w:rPr>
        <w:t> </w:t>
      </w:r>
    </w:p>
    <w:p>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color w:val="auto"/>
          <w:kern w:val="0"/>
          <w:szCs w:val="21"/>
          <w:highlight w:val="none"/>
        </w:rPr>
        <w:t> </w:t>
      </w:r>
    </w:p>
    <w:p>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color w:val="auto"/>
          <w:kern w:val="0"/>
          <w:szCs w:val="21"/>
          <w:highlight w:val="none"/>
        </w:rPr>
        <w:t> </w:t>
      </w:r>
    </w:p>
    <w:p>
      <w:pPr>
        <w:autoSpaceDE w:val="0"/>
        <w:autoSpaceDN w:val="0"/>
        <w:adjustRightInd w:val="0"/>
        <w:spacing w:line="360" w:lineRule="auto"/>
        <w:rPr>
          <w:rFonts w:ascii="Arial" w:hAnsi="Arial" w:cs="Arial"/>
          <w:color w:val="auto"/>
          <w:highlight w:val="none"/>
        </w:rPr>
      </w:pPr>
      <w:r>
        <w:rPr>
          <w:rFonts w:ascii="Arial" w:hAnsi="Arial" w:cs="Arial"/>
          <w:b/>
          <w:bCs/>
          <w:color w:val="auto"/>
          <w:kern w:val="0"/>
          <w:szCs w:val="21"/>
          <w:highlight w:val="none"/>
        </w:rPr>
        <w:br w:type="page"/>
      </w:r>
      <w:bookmarkStart w:id="31" w:name="_Toc26810"/>
      <w:r>
        <w:rPr>
          <w:rFonts w:ascii="Arial" w:hAnsi="Arial" w:cs="Arial"/>
          <w:b/>
          <w:bCs/>
          <w:color w:val="auto"/>
          <w:kern w:val="0"/>
          <w:szCs w:val="21"/>
          <w:highlight w:val="none"/>
          <w:lang w:val="zh-CN"/>
        </w:rPr>
        <w:t>附件三、</w:t>
      </w:r>
      <w:bookmarkEnd w:id="31"/>
      <w:r>
        <w:rPr>
          <w:rFonts w:hint="eastAsia" w:ascii="Arial" w:hAnsi="Arial" w:cs="Arial"/>
          <w:b/>
          <w:bCs/>
          <w:color w:val="auto"/>
          <w:kern w:val="0"/>
          <w:szCs w:val="21"/>
          <w:highlight w:val="none"/>
        </w:rPr>
        <w:t>开标一览表</w:t>
      </w:r>
    </w:p>
    <w:p>
      <w:pPr>
        <w:autoSpaceDE w:val="0"/>
        <w:autoSpaceDN w:val="0"/>
        <w:adjustRightInd w:val="0"/>
        <w:rPr>
          <w:rFonts w:ascii="Arial" w:hAnsi="Arial" w:cs="Arial"/>
          <w:b/>
          <w:bCs/>
          <w:color w:val="auto"/>
          <w:highlight w:val="none"/>
          <w:lang w:val="zh-CN"/>
        </w:rPr>
      </w:pPr>
    </w:p>
    <w:p>
      <w:pPr>
        <w:jc w:val="center"/>
        <w:rPr>
          <w:rFonts w:ascii="Arial" w:hAnsi="Arial" w:cs="Arial"/>
          <w:b/>
          <w:color w:val="auto"/>
          <w:sz w:val="36"/>
          <w:szCs w:val="36"/>
          <w:highlight w:val="none"/>
        </w:rPr>
      </w:pPr>
      <w:r>
        <w:rPr>
          <w:rFonts w:ascii="Arial" w:hAnsi="Arial" w:cs="Arial"/>
          <w:b/>
          <w:color w:val="auto"/>
          <w:sz w:val="36"/>
          <w:szCs w:val="36"/>
          <w:highlight w:val="none"/>
        </w:rPr>
        <w:t>开标一览表</w:t>
      </w:r>
    </w:p>
    <w:p>
      <w:pPr>
        <w:widowControl/>
        <w:shd w:val="clear" w:color="auto" w:fill="FFFFFF"/>
        <w:spacing w:line="360" w:lineRule="auto"/>
        <w:jc w:val="center"/>
        <w:rPr>
          <w:rFonts w:ascii="Arial" w:hAnsi="Arial" w:cs="Arial"/>
          <w:color w:val="auto"/>
          <w:kern w:val="0"/>
          <w:sz w:val="24"/>
          <w:highlight w:val="none"/>
        </w:rPr>
      </w:pPr>
      <w:r>
        <w:rPr>
          <w:rFonts w:ascii="Arial" w:hAnsi="Arial" w:cs="Arial"/>
          <w:color w:val="auto"/>
          <w:highlight w:val="none"/>
          <w:lang w:val="zh-CN"/>
        </w:rPr>
        <w:t xml:space="preserve">               </w:t>
      </w:r>
    </w:p>
    <w:p>
      <w:pPr>
        <w:pStyle w:val="14"/>
        <w:spacing w:line="440" w:lineRule="exact"/>
        <w:ind w:firstLine="474" w:firstLineChars="225"/>
        <w:rPr>
          <w:rFonts w:ascii="Arial" w:hAnsi="Arial" w:cs="Arial"/>
          <w:color w:val="auto"/>
          <w:sz w:val="21"/>
          <w:szCs w:val="21"/>
          <w:highlight w:val="none"/>
        </w:rPr>
      </w:pPr>
      <w:r>
        <w:rPr>
          <w:rFonts w:ascii="Arial" w:hAnsi="Arial" w:cs="Arial"/>
          <w:color w:val="auto"/>
          <w:sz w:val="21"/>
          <w:szCs w:val="21"/>
          <w:highlight w:val="none"/>
        </w:rPr>
        <w:t>项目名称：                                         项目编号：</w:t>
      </w:r>
    </w:p>
    <w:tbl>
      <w:tblPr>
        <w:tblStyle w:val="44"/>
        <w:tblW w:w="868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1948"/>
        <w:gridCol w:w="890"/>
        <w:gridCol w:w="5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1198" w:hRule="atLeast"/>
        </w:trPr>
        <w:tc>
          <w:tcPr>
            <w:tcW w:w="1948" w:type="dxa"/>
            <w:vAlign w:val="center"/>
          </w:tcPr>
          <w:p>
            <w:pPr>
              <w:pStyle w:val="14"/>
              <w:spacing w:line="440" w:lineRule="exact"/>
              <w:ind w:firstLine="0"/>
              <w:jc w:val="center"/>
              <w:rPr>
                <w:rFonts w:ascii="宋体" w:hAnsi="宋体" w:cs="Arial"/>
                <w:color w:val="auto"/>
                <w:sz w:val="21"/>
                <w:szCs w:val="21"/>
                <w:highlight w:val="none"/>
              </w:rPr>
            </w:pPr>
            <w:r>
              <w:rPr>
                <w:rFonts w:ascii="宋体" w:hAnsi="宋体" w:cs="Arial"/>
                <w:color w:val="auto"/>
                <w:sz w:val="21"/>
                <w:szCs w:val="21"/>
                <w:highlight w:val="none"/>
              </w:rPr>
              <w:t>投标总价</w:t>
            </w:r>
          </w:p>
        </w:tc>
        <w:tc>
          <w:tcPr>
            <w:tcW w:w="890" w:type="dxa"/>
            <w:vAlign w:val="center"/>
          </w:tcPr>
          <w:p>
            <w:pPr>
              <w:pStyle w:val="14"/>
              <w:spacing w:line="440" w:lineRule="exact"/>
              <w:ind w:firstLine="0"/>
              <w:jc w:val="center"/>
              <w:rPr>
                <w:rFonts w:ascii="宋体" w:hAnsi="宋体" w:cs="Arial"/>
                <w:color w:val="auto"/>
                <w:sz w:val="21"/>
                <w:szCs w:val="21"/>
                <w:highlight w:val="none"/>
              </w:rPr>
            </w:pPr>
            <w:r>
              <w:rPr>
                <w:rFonts w:ascii="宋体" w:hAnsi="宋体" w:cs="Arial"/>
                <w:color w:val="auto"/>
                <w:sz w:val="21"/>
                <w:szCs w:val="21"/>
                <w:highlight w:val="none"/>
              </w:rPr>
              <w:t>合计</w:t>
            </w:r>
          </w:p>
        </w:tc>
        <w:tc>
          <w:tcPr>
            <w:tcW w:w="5842" w:type="dxa"/>
            <w:vAlign w:val="center"/>
          </w:tcPr>
          <w:p>
            <w:pPr>
              <w:pStyle w:val="14"/>
              <w:spacing w:line="440" w:lineRule="exact"/>
              <w:ind w:firstLine="0"/>
              <w:rPr>
                <w:rFonts w:ascii="宋体" w:hAnsi="宋体" w:cs="Arial"/>
                <w:bCs/>
                <w:color w:val="auto"/>
                <w:sz w:val="21"/>
                <w:szCs w:val="21"/>
                <w:highlight w:val="none"/>
              </w:rPr>
            </w:pPr>
            <w:r>
              <w:rPr>
                <w:rFonts w:ascii="宋体" w:hAnsi="宋体" w:cs="Arial"/>
                <w:color w:val="auto"/>
                <w:sz w:val="21"/>
                <w:szCs w:val="21"/>
                <w:highlight w:val="none"/>
              </w:rPr>
              <w:t xml:space="preserve">小写：人民币          </w:t>
            </w:r>
            <w:r>
              <w:rPr>
                <w:rFonts w:hint="eastAsia" w:ascii="宋体" w:hAnsi="宋体" w:cs="Arial"/>
                <w:color w:val="auto"/>
                <w:sz w:val="21"/>
                <w:szCs w:val="21"/>
                <w:highlight w:val="none"/>
              </w:rPr>
              <w:t xml:space="preserve">  元</w:t>
            </w:r>
            <w:r>
              <w:rPr>
                <w:rFonts w:ascii="宋体" w:hAnsi="宋体" w:cs="Arial"/>
                <w:color w:val="auto"/>
                <w:sz w:val="21"/>
                <w:szCs w:val="21"/>
                <w:highlight w:val="none"/>
              </w:rPr>
              <w:t xml:space="preserve">   </w:t>
            </w:r>
          </w:p>
          <w:p>
            <w:pPr>
              <w:pStyle w:val="14"/>
              <w:spacing w:line="440" w:lineRule="exact"/>
              <w:ind w:firstLine="474" w:firstLineChars="225"/>
              <w:rPr>
                <w:rFonts w:ascii="宋体" w:hAnsi="宋体" w:cs="Arial"/>
                <w:color w:val="auto"/>
                <w:sz w:val="21"/>
                <w:szCs w:val="21"/>
                <w:highlight w:val="none"/>
              </w:rPr>
            </w:pPr>
          </w:p>
          <w:p>
            <w:pPr>
              <w:pStyle w:val="14"/>
              <w:spacing w:line="440" w:lineRule="exact"/>
              <w:ind w:firstLine="0"/>
              <w:rPr>
                <w:rFonts w:ascii="宋体" w:hAnsi="宋体" w:cs="Arial"/>
                <w:color w:val="auto"/>
                <w:sz w:val="21"/>
                <w:szCs w:val="21"/>
                <w:highlight w:val="none"/>
              </w:rPr>
            </w:pPr>
            <w:r>
              <w:rPr>
                <w:rFonts w:ascii="宋体" w:hAnsi="宋体" w:cs="Arial"/>
                <w:color w:val="auto"/>
                <w:sz w:val="21"/>
                <w:szCs w:val="21"/>
                <w:highlight w:val="none"/>
              </w:rPr>
              <w:t xml:space="preserve">大写：人民币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829" w:hRule="atLeast"/>
        </w:trPr>
        <w:tc>
          <w:tcPr>
            <w:tcW w:w="1948" w:type="dxa"/>
            <w:vAlign w:val="center"/>
          </w:tcPr>
          <w:p>
            <w:pPr>
              <w:pStyle w:val="14"/>
              <w:spacing w:line="440" w:lineRule="exact"/>
              <w:ind w:firstLine="0"/>
              <w:jc w:val="center"/>
              <w:rPr>
                <w:rFonts w:ascii="宋体" w:hAnsi="宋体" w:cs="Arial"/>
                <w:color w:val="auto"/>
                <w:sz w:val="21"/>
                <w:szCs w:val="21"/>
                <w:highlight w:val="none"/>
              </w:rPr>
            </w:pPr>
            <w:r>
              <w:rPr>
                <w:rFonts w:ascii="宋体" w:hAnsi="宋体" w:cs="Arial"/>
                <w:color w:val="auto"/>
                <w:sz w:val="21"/>
                <w:szCs w:val="21"/>
                <w:highlight w:val="none"/>
              </w:rPr>
              <w:t>服务时间/交付使用时间</w:t>
            </w:r>
          </w:p>
        </w:tc>
        <w:tc>
          <w:tcPr>
            <w:tcW w:w="6732" w:type="dxa"/>
            <w:gridSpan w:val="2"/>
            <w:vAlign w:val="center"/>
          </w:tcPr>
          <w:p>
            <w:pPr>
              <w:pStyle w:val="14"/>
              <w:tabs>
                <w:tab w:val="left" w:pos="3624"/>
              </w:tabs>
              <w:spacing w:line="440" w:lineRule="exact"/>
              <w:ind w:firstLine="474" w:firstLineChars="225"/>
              <w:rPr>
                <w:rFonts w:ascii="宋体" w:hAnsi="宋体" w:cs="Arial"/>
                <w:color w:val="auto"/>
                <w:sz w:val="21"/>
                <w:szCs w:val="21"/>
                <w:highlight w:val="none"/>
                <w:u w:val="single"/>
              </w:rPr>
            </w:pPr>
            <w:r>
              <w:rPr>
                <w:rFonts w:ascii="宋体" w:hAnsi="宋体" w:cs="Arial"/>
                <w:color w:val="auto"/>
                <w:sz w:val="21"/>
                <w:szCs w:val="21"/>
                <w:highlight w:val="none"/>
                <w:u w:val="single"/>
              </w:rPr>
              <w:t>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206" w:hRule="atLeast"/>
        </w:trPr>
        <w:tc>
          <w:tcPr>
            <w:tcW w:w="1948" w:type="dxa"/>
            <w:vAlign w:val="center"/>
          </w:tcPr>
          <w:p>
            <w:pPr>
              <w:pStyle w:val="14"/>
              <w:ind w:firstLine="0"/>
              <w:jc w:val="center"/>
              <w:rPr>
                <w:rFonts w:ascii="Arial" w:hAnsi="Arial" w:cs="Arial"/>
                <w:color w:val="auto"/>
                <w:sz w:val="21"/>
                <w:szCs w:val="21"/>
                <w:highlight w:val="none"/>
              </w:rPr>
            </w:pPr>
            <w:r>
              <w:rPr>
                <w:rFonts w:hint="eastAsia" w:ascii="Arial" w:hAnsi="Arial" w:cs="Arial"/>
                <w:color w:val="auto"/>
                <w:sz w:val="21"/>
                <w:szCs w:val="21"/>
                <w:highlight w:val="none"/>
              </w:rPr>
              <w:t>投标标的是否全部由小微企业（含视同小微企业）提供</w:t>
            </w:r>
          </w:p>
        </w:tc>
        <w:tc>
          <w:tcPr>
            <w:tcW w:w="6732" w:type="dxa"/>
            <w:gridSpan w:val="2"/>
            <w:vAlign w:val="center"/>
          </w:tcPr>
          <w:p>
            <w:pPr>
              <w:pStyle w:val="14"/>
              <w:ind w:firstLine="474" w:firstLineChars="225"/>
              <w:rPr>
                <w:rFonts w:ascii="宋体" w:hAnsi="宋体" w:cs="Arial"/>
                <w:color w:val="auto"/>
                <w:sz w:val="21"/>
                <w:szCs w:val="21"/>
                <w:highlight w:val="none"/>
              </w:rPr>
            </w:pPr>
            <w:r>
              <w:rPr>
                <w:rFonts w:ascii="Arial" w:hAnsi="Arial" w:cs="Arial"/>
                <w:color w:val="auto"/>
                <w:sz w:val="21"/>
                <w:szCs w:val="21"/>
                <w:highlight w:val="none"/>
              </w:rPr>
              <w:t>（</w:t>
            </w:r>
            <w:r>
              <w:rPr>
                <w:rFonts w:ascii="Arial" w:hAnsi="Arial" w:cs="Arial"/>
                <w:color w:val="auto"/>
                <w:sz w:val="21"/>
                <w:szCs w:val="21"/>
                <w:highlight w:val="none"/>
                <w:lang w:val="zh-CN"/>
              </w:rPr>
              <w:t>填写“是”或“否</w:t>
            </w:r>
            <w:r>
              <w:rPr>
                <w:rFonts w:hint="eastAsia" w:ascii="Arial" w:hAnsi="Arial" w:cs="Arial"/>
                <w:color w:val="auto"/>
                <w:sz w:val="21"/>
                <w:szCs w:val="21"/>
                <w:highlight w:val="none"/>
                <w:lang w:val="zh-CN"/>
              </w:rPr>
              <w:t>”</w:t>
            </w:r>
            <w:r>
              <w:rPr>
                <w:rFonts w:ascii="Arial" w:hAnsi="Arial" w:cs="Arial"/>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206" w:hRule="atLeast"/>
        </w:trPr>
        <w:tc>
          <w:tcPr>
            <w:tcW w:w="1948" w:type="dxa"/>
            <w:vAlign w:val="center"/>
          </w:tcPr>
          <w:p>
            <w:pPr>
              <w:pStyle w:val="14"/>
              <w:ind w:firstLine="0"/>
              <w:jc w:val="center"/>
              <w:rPr>
                <w:rFonts w:ascii="Arial" w:hAnsi="Arial" w:cs="Arial"/>
                <w:color w:val="auto"/>
                <w:sz w:val="21"/>
                <w:szCs w:val="21"/>
                <w:highlight w:val="none"/>
              </w:rPr>
            </w:pPr>
            <w:r>
              <w:rPr>
                <w:rFonts w:hint="eastAsia" w:ascii="Arial" w:hAnsi="Arial" w:cs="Arial"/>
                <w:color w:val="auto"/>
                <w:sz w:val="21"/>
                <w:szCs w:val="21"/>
                <w:highlight w:val="none"/>
              </w:rPr>
              <w:t>备注</w:t>
            </w:r>
          </w:p>
        </w:tc>
        <w:tc>
          <w:tcPr>
            <w:tcW w:w="6732" w:type="dxa"/>
            <w:gridSpan w:val="2"/>
            <w:vAlign w:val="center"/>
          </w:tcPr>
          <w:p>
            <w:pPr>
              <w:pStyle w:val="14"/>
              <w:ind w:firstLine="474" w:firstLineChars="225"/>
              <w:rPr>
                <w:rFonts w:ascii="Arial" w:hAnsi="Arial" w:cs="Arial"/>
                <w:color w:val="auto"/>
                <w:sz w:val="21"/>
                <w:szCs w:val="21"/>
                <w:highlight w:val="none"/>
              </w:rPr>
            </w:pPr>
          </w:p>
        </w:tc>
      </w:tr>
    </w:tbl>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投标单位（盖章）：</w:t>
      </w:r>
      <w:r>
        <w:rPr>
          <w:rFonts w:ascii="Arial" w:hAnsi="Arial" w:cs="Arial"/>
          <w:color w:val="auto"/>
          <w:kern w:val="0"/>
          <w:szCs w:val="21"/>
          <w:highlight w:val="none"/>
          <w:u w:val="single"/>
        </w:rPr>
        <w:t>                             </w:t>
      </w:r>
      <w:r>
        <w:rPr>
          <w:rFonts w:ascii="Arial" w:hAnsi="Arial" w:cs="Arial"/>
          <w:color w:val="auto"/>
          <w:kern w:val="0"/>
          <w:szCs w:val="21"/>
          <w:highlight w:val="none"/>
        </w:rPr>
        <w:t xml:space="preserve"> </w:t>
      </w:r>
    </w:p>
    <w:p>
      <w:pPr>
        <w:widowControl/>
        <w:shd w:val="clear" w:color="auto" w:fill="FFFFFF"/>
        <w:spacing w:line="360" w:lineRule="auto"/>
        <w:jc w:val="left"/>
        <w:rPr>
          <w:rFonts w:ascii="Arial" w:hAnsi="Arial" w:cs="Arial"/>
          <w:color w:val="auto"/>
          <w:kern w:val="0"/>
          <w:szCs w:val="21"/>
          <w:highlight w:val="none"/>
          <w:u w:val="single"/>
        </w:rPr>
      </w:pPr>
      <w:r>
        <w:rPr>
          <w:rFonts w:ascii="Arial" w:hAnsi="Arial" w:cs="Arial"/>
          <w:color w:val="auto"/>
          <w:kern w:val="0"/>
          <w:szCs w:val="21"/>
          <w:highlight w:val="none"/>
        </w:rPr>
        <w:t>法定代表人或授权代表（签字</w:t>
      </w:r>
      <w:r>
        <w:rPr>
          <w:rFonts w:hint="eastAsia" w:ascii="Arial" w:hAnsi="Arial" w:cs="Arial"/>
          <w:color w:val="auto"/>
          <w:kern w:val="0"/>
          <w:szCs w:val="21"/>
          <w:highlight w:val="none"/>
        </w:rPr>
        <w:t>或签章</w:t>
      </w:r>
      <w:r>
        <w:rPr>
          <w:rFonts w:ascii="Arial" w:hAnsi="Arial" w:cs="Arial"/>
          <w:color w:val="auto"/>
          <w:kern w:val="0"/>
          <w:szCs w:val="21"/>
          <w:highlight w:val="none"/>
        </w:rPr>
        <w:t>）：</w:t>
      </w:r>
      <w:r>
        <w:rPr>
          <w:rFonts w:ascii="Arial" w:hAnsi="Arial" w:cs="Arial"/>
          <w:color w:val="auto"/>
          <w:kern w:val="0"/>
          <w:szCs w:val="21"/>
          <w:highlight w:val="none"/>
          <w:u w:val="single"/>
        </w:rPr>
        <w:t>                              </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说明：</w:t>
      </w:r>
    </w:p>
    <w:p>
      <w:pPr>
        <w:widowControl/>
        <w:numPr>
          <w:ilvl w:val="0"/>
          <w:numId w:val="6"/>
        </w:numPr>
        <w:shd w:val="clear" w:color="auto" w:fill="FFFFFF"/>
        <w:spacing w:line="360" w:lineRule="auto"/>
        <w:ind w:firstLine="422" w:firstLineChars="200"/>
        <w:jc w:val="left"/>
        <w:rPr>
          <w:rFonts w:ascii="Arial" w:hAnsi="Arial" w:cs="Arial"/>
          <w:b/>
          <w:bCs/>
          <w:color w:val="auto"/>
          <w:kern w:val="0"/>
          <w:szCs w:val="21"/>
          <w:highlight w:val="none"/>
        </w:rPr>
      </w:pPr>
      <w:r>
        <w:rPr>
          <w:rFonts w:ascii="Arial" w:hAnsi="Arial" w:cs="Arial"/>
          <w:b/>
          <w:bCs/>
          <w:color w:val="auto"/>
          <w:kern w:val="0"/>
          <w:szCs w:val="21"/>
          <w:highlight w:val="none"/>
        </w:rPr>
        <w:t>本项目仅接受一个价格，不得填报有选择性报价方案。</w:t>
      </w:r>
      <w:r>
        <w:rPr>
          <w:rFonts w:hint="eastAsia" w:ascii="Arial" w:hAnsi="Arial" w:cs="Arial"/>
          <w:b/>
          <w:bCs/>
          <w:color w:val="auto"/>
          <w:kern w:val="0"/>
          <w:szCs w:val="21"/>
          <w:highlight w:val="none"/>
        </w:rPr>
        <w:t>如</w:t>
      </w:r>
      <w:r>
        <w:rPr>
          <w:rFonts w:ascii="Arial" w:hAnsi="Arial" w:cs="Arial"/>
          <w:b/>
          <w:bCs/>
          <w:color w:val="auto"/>
          <w:kern w:val="0"/>
          <w:szCs w:val="21"/>
          <w:highlight w:val="none"/>
        </w:rPr>
        <w:t>有优惠条款须注明，但不得影响报价，影响</w:t>
      </w:r>
      <w:r>
        <w:rPr>
          <w:rFonts w:hint="eastAsia" w:ascii="Arial" w:hAnsi="Arial" w:cs="Arial"/>
          <w:b/>
          <w:bCs/>
          <w:color w:val="auto"/>
          <w:kern w:val="0"/>
          <w:szCs w:val="21"/>
          <w:highlight w:val="none"/>
        </w:rPr>
        <w:t>项目履约交付</w:t>
      </w:r>
      <w:r>
        <w:rPr>
          <w:rFonts w:ascii="Arial" w:hAnsi="Arial" w:cs="Arial"/>
          <w:b/>
          <w:bCs/>
          <w:color w:val="auto"/>
          <w:kern w:val="0"/>
          <w:szCs w:val="21"/>
          <w:highlight w:val="none"/>
        </w:rPr>
        <w:t>。</w:t>
      </w:r>
    </w:p>
    <w:p>
      <w:pPr>
        <w:widowControl/>
        <w:shd w:val="clear" w:color="auto" w:fill="FFFFFF"/>
        <w:spacing w:line="360" w:lineRule="auto"/>
        <w:ind w:firstLine="420"/>
        <w:jc w:val="left"/>
        <w:rPr>
          <w:b/>
          <w:bCs/>
          <w:color w:val="auto"/>
          <w:kern w:val="0"/>
          <w:szCs w:val="21"/>
          <w:highlight w:val="none"/>
        </w:rPr>
      </w:pPr>
      <w:r>
        <w:rPr>
          <w:rFonts w:ascii="Arial" w:hAnsi="Arial" w:cs="Arial"/>
          <w:b/>
          <w:bCs/>
          <w:color w:val="auto"/>
          <w:kern w:val="0"/>
          <w:szCs w:val="21"/>
          <w:highlight w:val="none"/>
        </w:rPr>
        <w:t>2、</w:t>
      </w:r>
      <w:r>
        <w:rPr>
          <w:b/>
          <w:bCs/>
          <w:color w:val="auto"/>
          <w:szCs w:val="21"/>
          <w:highlight w:val="none"/>
        </w:rPr>
        <w:t>“投标标的是否全部由小微企业提供</w:t>
      </w:r>
      <w:r>
        <w:rPr>
          <w:b/>
          <w:bCs/>
          <w:color w:val="auto"/>
          <w:szCs w:val="21"/>
          <w:highlight w:val="none"/>
          <w:lang w:val="zh-CN"/>
        </w:rPr>
        <w:t>”栏内填写“是”或“否”。如填写“是”，</w:t>
      </w:r>
      <w:r>
        <w:rPr>
          <w:b/>
          <w:bCs/>
          <w:color w:val="auto"/>
          <w:szCs w:val="21"/>
          <w:highlight w:val="none"/>
        </w:rPr>
        <w:t>投标人应按招标文件要求提供《中小企业声明函》、《残疾人福利性单位声明函》、《属于监狱企业的证明文件》。如未按要求提供、填写，不享受价格扣除。</w:t>
      </w:r>
    </w:p>
    <w:p>
      <w:pPr>
        <w:widowControl/>
        <w:shd w:val="clear" w:color="auto" w:fill="FFFFFF"/>
        <w:spacing w:line="360" w:lineRule="auto"/>
        <w:ind w:firstLine="420"/>
        <w:jc w:val="left"/>
        <w:rPr>
          <w:rFonts w:ascii="Arial" w:hAnsi="Arial" w:cs="Arial"/>
          <w:b/>
          <w:bCs/>
          <w:color w:val="auto"/>
          <w:kern w:val="0"/>
          <w:szCs w:val="21"/>
          <w:highlight w:val="none"/>
        </w:rPr>
      </w:pPr>
    </w:p>
    <w:p>
      <w:pPr>
        <w:widowControl/>
        <w:shd w:val="clear" w:color="auto" w:fill="FFFFFF"/>
        <w:spacing w:line="360" w:lineRule="auto"/>
        <w:jc w:val="left"/>
        <w:rPr>
          <w:rFonts w:ascii="Arial" w:hAnsi="Arial" w:cs="Arial"/>
          <w:b/>
          <w:bCs/>
          <w:color w:val="auto"/>
          <w:kern w:val="0"/>
          <w:szCs w:val="21"/>
          <w:highlight w:val="none"/>
          <w:lang w:val="zh-CN"/>
        </w:rPr>
      </w:pPr>
      <w:bookmarkStart w:id="32" w:name="_Toc12264"/>
      <w:r>
        <w:rPr>
          <w:rFonts w:ascii="Arial" w:hAnsi="Arial" w:cs="Arial"/>
          <w:b/>
          <w:bCs/>
          <w:color w:val="auto"/>
          <w:kern w:val="0"/>
          <w:szCs w:val="21"/>
          <w:highlight w:val="none"/>
          <w:lang w:val="zh-CN"/>
        </w:rPr>
        <w:br w:type="page"/>
      </w:r>
    </w:p>
    <w:p>
      <w:pPr>
        <w:widowControl/>
        <w:shd w:val="clear" w:color="auto" w:fill="FFFFFF"/>
        <w:spacing w:line="360" w:lineRule="auto"/>
        <w:jc w:val="left"/>
        <w:rPr>
          <w:rFonts w:ascii="Arial" w:hAnsi="Arial" w:cs="Arial"/>
          <w:b/>
          <w:bCs/>
          <w:color w:val="auto"/>
          <w:kern w:val="0"/>
          <w:szCs w:val="21"/>
          <w:highlight w:val="none"/>
          <w:lang w:val="zh-CN"/>
        </w:rPr>
      </w:pPr>
      <w:r>
        <w:rPr>
          <w:rFonts w:hint="eastAsia" w:ascii="Arial" w:hAnsi="Arial" w:cs="Arial"/>
          <w:b/>
          <w:bCs/>
          <w:color w:val="auto"/>
          <w:kern w:val="0"/>
          <w:szCs w:val="21"/>
          <w:highlight w:val="none"/>
        </w:rPr>
        <w:t>附表</w:t>
      </w:r>
      <w:r>
        <w:rPr>
          <w:rFonts w:hint="eastAsia" w:ascii="Arial" w:hAnsi="Arial" w:cs="Arial"/>
          <w:b/>
          <w:bCs/>
          <w:color w:val="auto"/>
          <w:kern w:val="0"/>
          <w:szCs w:val="21"/>
          <w:highlight w:val="none"/>
          <w:lang w:val="zh-CN"/>
        </w:rPr>
        <w:t>——</w:t>
      </w:r>
      <w:r>
        <w:rPr>
          <w:rFonts w:ascii="Arial" w:hAnsi="Arial" w:cs="Arial"/>
          <w:b/>
          <w:bCs/>
          <w:color w:val="auto"/>
          <w:kern w:val="0"/>
          <w:szCs w:val="21"/>
          <w:highlight w:val="none"/>
          <w:lang w:val="zh-CN"/>
        </w:rPr>
        <w:t>分项报价表格式</w:t>
      </w:r>
      <w:bookmarkEnd w:id="32"/>
    </w:p>
    <w:p>
      <w:pPr>
        <w:widowControl/>
        <w:adjustRightInd w:val="0"/>
        <w:spacing w:line="240" w:lineRule="atLeast"/>
        <w:jc w:val="left"/>
        <w:rPr>
          <w:rFonts w:ascii="Arial" w:hAnsi="Arial" w:cs="Arial"/>
          <w:b/>
          <w:bCs/>
          <w:color w:val="auto"/>
          <w:kern w:val="0"/>
          <w:highlight w:val="none"/>
          <w:lang w:val="zh-CN"/>
        </w:rPr>
      </w:pPr>
    </w:p>
    <w:p>
      <w:pPr>
        <w:widowControl/>
        <w:shd w:val="clear" w:color="auto" w:fill="FFFFFF"/>
        <w:spacing w:line="360" w:lineRule="auto"/>
        <w:jc w:val="center"/>
        <w:rPr>
          <w:rFonts w:ascii="Arial" w:hAnsi="Arial" w:cs="Arial"/>
          <w:b/>
          <w:color w:val="auto"/>
          <w:kern w:val="0"/>
          <w:sz w:val="36"/>
          <w:szCs w:val="36"/>
          <w:highlight w:val="none"/>
        </w:rPr>
      </w:pPr>
      <w:r>
        <w:rPr>
          <w:rFonts w:ascii="Arial" w:hAnsi="Arial" w:cs="Arial"/>
          <w:b/>
          <w:color w:val="auto"/>
          <w:kern w:val="0"/>
          <w:sz w:val="36"/>
          <w:szCs w:val="36"/>
          <w:highlight w:val="none"/>
        </w:rPr>
        <w:t>分项报价表</w:t>
      </w:r>
      <w:r>
        <w:rPr>
          <w:rFonts w:hint="eastAsia" w:ascii="Arial" w:hAnsi="Arial" w:cs="Arial"/>
          <w:b/>
          <w:color w:val="auto"/>
          <w:kern w:val="0"/>
          <w:sz w:val="36"/>
          <w:szCs w:val="36"/>
          <w:highlight w:val="none"/>
        </w:rPr>
        <w:t>（货物）</w:t>
      </w:r>
    </w:p>
    <w:tbl>
      <w:tblPr>
        <w:tblStyle w:val="44"/>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1254"/>
        <w:gridCol w:w="1142"/>
        <w:gridCol w:w="1124"/>
        <w:gridCol w:w="709"/>
        <w:gridCol w:w="708"/>
        <w:gridCol w:w="656"/>
        <w:gridCol w:w="1069"/>
        <w:gridCol w:w="13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11" w:type="dxa"/>
            <w:vAlign w:val="center"/>
          </w:tcPr>
          <w:p>
            <w:pPr>
              <w:widowControl/>
              <w:rPr>
                <w:rFonts w:ascii="宋体" w:cs="宋体"/>
                <w:color w:val="auto"/>
                <w:kern w:val="0"/>
                <w:szCs w:val="21"/>
                <w:highlight w:val="none"/>
              </w:rPr>
            </w:pPr>
            <w:r>
              <w:rPr>
                <w:rFonts w:hint="eastAsia" w:ascii="宋体" w:hAnsi="宋体" w:cs="宋体"/>
                <w:color w:val="auto"/>
                <w:kern w:val="0"/>
                <w:szCs w:val="21"/>
                <w:highlight w:val="none"/>
              </w:rPr>
              <w:t>序号</w:t>
            </w:r>
          </w:p>
        </w:tc>
        <w:tc>
          <w:tcPr>
            <w:tcW w:w="1254" w:type="dxa"/>
            <w:vAlign w:val="center"/>
          </w:tcPr>
          <w:p>
            <w:pPr>
              <w:widowControl/>
              <w:rPr>
                <w:rFonts w:ascii="宋体" w:cs="宋体"/>
                <w:color w:val="auto"/>
                <w:kern w:val="0"/>
                <w:szCs w:val="21"/>
                <w:highlight w:val="none"/>
              </w:rPr>
            </w:pPr>
            <w:r>
              <w:rPr>
                <w:rFonts w:hint="eastAsia" w:ascii="宋体" w:hAnsi="宋体" w:cs="宋体"/>
                <w:color w:val="auto"/>
                <w:kern w:val="0"/>
                <w:szCs w:val="21"/>
                <w:highlight w:val="none"/>
              </w:rPr>
              <w:t>分项内容</w:t>
            </w:r>
          </w:p>
        </w:tc>
        <w:tc>
          <w:tcPr>
            <w:tcW w:w="1142" w:type="dxa"/>
            <w:vAlign w:val="center"/>
          </w:tcPr>
          <w:p>
            <w:pPr>
              <w:widowControl/>
              <w:jc w:val="center"/>
              <w:rPr>
                <w:rFonts w:ascii="宋体" w:cs="宋体"/>
                <w:color w:val="auto"/>
                <w:kern w:val="0"/>
                <w:szCs w:val="21"/>
                <w:highlight w:val="none"/>
              </w:rPr>
            </w:pPr>
            <w:r>
              <w:rPr>
                <w:rFonts w:hint="eastAsia" w:ascii="宋体" w:hAnsi="宋体" w:cs="宋体"/>
                <w:color w:val="auto"/>
                <w:kern w:val="0"/>
                <w:szCs w:val="21"/>
                <w:highlight w:val="none"/>
              </w:rPr>
              <w:t>制造商名称及产地</w:t>
            </w:r>
          </w:p>
        </w:tc>
        <w:tc>
          <w:tcPr>
            <w:tcW w:w="1124" w:type="dxa"/>
            <w:vAlign w:val="center"/>
          </w:tcPr>
          <w:p>
            <w:pPr>
              <w:widowControl/>
              <w:rPr>
                <w:rFonts w:ascii="宋体" w:cs="宋体"/>
                <w:color w:val="auto"/>
                <w:kern w:val="0"/>
                <w:szCs w:val="21"/>
                <w:highlight w:val="none"/>
              </w:rPr>
            </w:pPr>
            <w:r>
              <w:rPr>
                <w:rFonts w:hint="eastAsia" w:ascii="宋体" w:hAnsi="宋体" w:cs="宋体"/>
                <w:color w:val="auto"/>
                <w:kern w:val="0"/>
                <w:szCs w:val="21"/>
                <w:highlight w:val="none"/>
              </w:rPr>
              <w:t>型号规格</w:t>
            </w:r>
          </w:p>
        </w:tc>
        <w:tc>
          <w:tcPr>
            <w:tcW w:w="709" w:type="dxa"/>
            <w:vAlign w:val="center"/>
          </w:tcPr>
          <w:p>
            <w:pPr>
              <w:widowControl/>
              <w:rPr>
                <w:rFonts w:ascii="宋体" w:cs="宋体"/>
                <w:color w:val="auto"/>
                <w:kern w:val="0"/>
                <w:szCs w:val="21"/>
                <w:highlight w:val="none"/>
              </w:rPr>
            </w:pPr>
            <w:r>
              <w:rPr>
                <w:rFonts w:hint="eastAsia" w:ascii="宋体" w:hAnsi="宋体" w:cs="宋体"/>
                <w:color w:val="auto"/>
                <w:kern w:val="0"/>
                <w:szCs w:val="21"/>
                <w:highlight w:val="none"/>
              </w:rPr>
              <w:t>单位</w:t>
            </w:r>
          </w:p>
        </w:tc>
        <w:tc>
          <w:tcPr>
            <w:tcW w:w="708" w:type="dxa"/>
            <w:vAlign w:val="center"/>
          </w:tcPr>
          <w:p>
            <w:pPr>
              <w:widowControl/>
              <w:rPr>
                <w:rFonts w:ascii="宋体" w:cs="宋体"/>
                <w:color w:val="auto"/>
                <w:kern w:val="0"/>
                <w:szCs w:val="21"/>
                <w:highlight w:val="none"/>
              </w:rPr>
            </w:pPr>
            <w:r>
              <w:rPr>
                <w:rFonts w:hint="eastAsia" w:ascii="宋体" w:hAnsi="宋体" w:cs="宋体"/>
                <w:color w:val="auto"/>
                <w:kern w:val="0"/>
                <w:szCs w:val="21"/>
                <w:highlight w:val="none"/>
              </w:rPr>
              <w:t>数量</w:t>
            </w:r>
          </w:p>
        </w:tc>
        <w:tc>
          <w:tcPr>
            <w:tcW w:w="656" w:type="dxa"/>
            <w:vAlign w:val="center"/>
          </w:tcPr>
          <w:p>
            <w:pPr>
              <w:widowControl/>
              <w:rPr>
                <w:rFonts w:ascii="宋体" w:cs="宋体"/>
                <w:color w:val="auto"/>
                <w:kern w:val="0"/>
                <w:szCs w:val="21"/>
                <w:highlight w:val="none"/>
              </w:rPr>
            </w:pPr>
            <w:r>
              <w:rPr>
                <w:rFonts w:hint="eastAsia" w:ascii="宋体" w:hAnsi="宋体" w:cs="宋体"/>
                <w:color w:val="auto"/>
                <w:kern w:val="0"/>
                <w:szCs w:val="21"/>
                <w:highlight w:val="none"/>
              </w:rPr>
              <w:t>单价</w:t>
            </w:r>
          </w:p>
        </w:tc>
        <w:tc>
          <w:tcPr>
            <w:tcW w:w="1069" w:type="dxa"/>
            <w:vAlign w:val="center"/>
          </w:tcPr>
          <w:p>
            <w:pPr>
              <w:rPr>
                <w:rFonts w:ascii="宋体" w:cs="宋体"/>
                <w:color w:val="auto"/>
                <w:kern w:val="0"/>
                <w:szCs w:val="21"/>
                <w:highlight w:val="none"/>
              </w:rPr>
            </w:pPr>
            <w:r>
              <w:rPr>
                <w:rFonts w:hint="eastAsia" w:ascii="宋体" w:hAnsi="宋体"/>
                <w:color w:val="auto"/>
                <w:szCs w:val="21"/>
                <w:highlight w:val="none"/>
              </w:rPr>
              <w:t>合价</w:t>
            </w:r>
          </w:p>
        </w:tc>
        <w:tc>
          <w:tcPr>
            <w:tcW w:w="1373" w:type="dxa"/>
            <w:vAlign w:val="center"/>
          </w:tcPr>
          <w:p>
            <w:pPr>
              <w:widowControl/>
              <w:rPr>
                <w:rFonts w:ascii="宋体" w:cs="宋体"/>
                <w:color w:val="auto"/>
                <w:kern w:val="0"/>
                <w:szCs w:val="21"/>
                <w:highlight w:val="none"/>
              </w:rPr>
            </w:pPr>
            <w:r>
              <w:rPr>
                <w:rFonts w:hint="eastAsia" w:ascii="宋体" w:hAnsi="宋体" w:cs="宋体"/>
                <w:color w:val="auto"/>
                <w:kern w:val="0"/>
                <w:szCs w:val="21"/>
                <w:highlight w:val="none"/>
              </w:rPr>
              <w:t>是否小、微企业产品（货物或服务）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pPr>
              <w:widowControl/>
              <w:jc w:val="center"/>
              <w:rPr>
                <w:rFonts w:ascii="宋体" w:cs="宋体"/>
                <w:color w:val="auto"/>
                <w:kern w:val="0"/>
                <w:szCs w:val="21"/>
                <w:highlight w:val="none"/>
              </w:rPr>
            </w:pPr>
            <w:r>
              <w:rPr>
                <w:rFonts w:ascii="宋体" w:hAnsi="宋体" w:cs="宋体"/>
                <w:color w:val="auto"/>
                <w:kern w:val="0"/>
                <w:szCs w:val="21"/>
                <w:highlight w:val="none"/>
              </w:rPr>
              <w:t>1</w:t>
            </w:r>
          </w:p>
        </w:tc>
        <w:tc>
          <w:tcPr>
            <w:tcW w:w="1254" w:type="dxa"/>
            <w:vAlign w:val="center"/>
          </w:tcPr>
          <w:p>
            <w:pPr>
              <w:widowControl/>
              <w:rPr>
                <w:rFonts w:ascii="宋体" w:cs="宋体"/>
                <w:color w:val="auto"/>
                <w:kern w:val="0"/>
                <w:szCs w:val="21"/>
                <w:highlight w:val="none"/>
              </w:rPr>
            </w:pPr>
          </w:p>
        </w:tc>
        <w:tc>
          <w:tcPr>
            <w:tcW w:w="1142" w:type="dxa"/>
            <w:vAlign w:val="center"/>
          </w:tcPr>
          <w:p>
            <w:pPr>
              <w:widowControl/>
              <w:rPr>
                <w:rFonts w:ascii="宋体" w:cs="宋体"/>
                <w:color w:val="auto"/>
                <w:kern w:val="0"/>
                <w:szCs w:val="21"/>
                <w:highlight w:val="none"/>
              </w:rPr>
            </w:pPr>
          </w:p>
        </w:tc>
        <w:tc>
          <w:tcPr>
            <w:tcW w:w="1124" w:type="dxa"/>
            <w:vAlign w:val="center"/>
          </w:tcPr>
          <w:p>
            <w:pPr>
              <w:widowControl/>
              <w:rPr>
                <w:rFonts w:ascii="宋体" w:cs="宋体"/>
                <w:color w:val="auto"/>
                <w:kern w:val="0"/>
                <w:szCs w:val="21"/>
                <w:highlight w:val="none"/>
              </w:rPr>
            </w:pPr>
          </w:p>
        </w:tc>
        <w:tc>
          <w:tcPr>
            <w:tcW w:w="709" w:type="dxa"/>
            <w:vAlign w:val="center"/>
          </w:tcPr>
          <w:p>
            <w:pPr>
              <w:widowControl/>
              <w:rPr>
                <w:rFonts w:ascii="宋体" w:cs="宋体"/>
                <w:color w:val="auto"/>
                <w:kern w:val="0"/>
                <w:szCs w:val="21"/>
                <w:highlight w:val="none"/>
              </w:rPr>
            </w:pPr>
          </w:p>
        </w:tc>
        <w:tc>
          <w:tcPr>
            <w:tcW w:w="708" w:type="dxa"/>
            <w:vAlign w:val="center"/>
          </w:tcPr>
          <w:p>
            <w:pPr>
              <w:widowControl/>
              <w:rPr>
                <w:rFonts w:ascii="宋体" w:cs="宋体"/>
                <w:color w:val="auto"/>
                <w:kern w:val="0"/>
                <w:szCs w:val="21"/>
                <w:highlight w:val="none"/>
              </w:rPr>
            </w:pPr>
          </w:p>
        </w:tc>
        <w:tc>
          <w:tcPr>
            <w:tcW w:w="656" w:type="dxa"/>
            <w:vAlign w:val="center"/>
          </w:tcPr>
          <w:p>
            <w:pPr>
              <w:widowControl/>
              <w:rPr>
                <w:rFonts w:ascii="宋体" w:cs="宋体"/>
                <w:color w:val="auto"/>
                <w:kern w:val="0"/>
                <w:szCs w:val="21"/>
                <w:highlight w:val="none"/>
              </w:rPr>
            </w:pPr>
          </w:p>
        </w:tc>
        <w:tc>
          <w:tcPr>
            <w:tcW w:w="1069" w:type="dxa"/>
            <w:vAlign w:val="center"/>
          </w:tcPr>
          <w:p>
            <w:pPr>
              <w:rPr>
                <w:rFonts w:ascii="宋体" w:cs="宋体"/>
                <w:color w:val="auto"/>
                <w:kern w:val="0"/>
                <w:szCs w:val="21"/>
                <w:highlight w:val="none"/>
              </w:rPr>
            </w:pPr>
          </w:p>
        </w:tc>
        <w:tc>
          <w:tcPr>
            <w:tcW w:w="1373" w:type="dxa"/>
            <w:vAlign w:val="center"/>
          </w:tcPr>
          <w:p>
            <w:pPr>
              <w:widowControl/>
              <w:rPr>
                <w:rFonts w:asci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pPr>
              <w:widowControl/>
              <w:jc w:val="center"/>
              <w:rPr>
                <w:rFonts w:ascii="宋体" w:cs="宋体"/>
                <w:color w:val="auto"/>
                <w:kern w:val="0"/>
                <w:szCs w:val="21"/>
                <w:highlight w:val="none"/>
              </w:rPr>
            </w:pPr>
            <w:r>
              <w:rPr>
                <w:rFonts w:ascii="宋体" w:hAnsi="宋体" w:cs="宋体"/>
                <w:color w:val="auto"/>
                <w:kern w:val="0"/>
                <w:szCs w:val="21"/>
                <w:highlight w:val="none"/>
              </w:rPr>
              <w:t>2</w:t>
            </w:r>
          </w:p>
        </w:tc>
        <w:tc>
          <w:tcPr>
            <w:tcW w:w="1254" w:type="dxa"/>
            <w:vAlign w:val="center"/>
          </w:tcPr>
          <w:p>
            <w:pPr>
              <w:widowControl/>
              <w:rPr>
                <w:rFonts w:ascii="宋体" w:cs="宋体"/>
                <w:color w:val="auto"/>
                <w:kern w:val="0"/>
                <w:szCs w:val="21"/>
                <w:highlight w:val="none"/>
              </w:rPr>
            </w:pPr>
          </w:p>
        </w:tc>
        <w:tc>
          <w:tcPr>
            <w:tcW w:w="1142" w:type="dxa"/>
            <w:vAlign w:val="center"/>
          </w:tcPr>
          <w:p>
            <w:pPr>
              <w:widowControl/>
              <w:rPr>
                <w:rFonts w:ascii="宋体" w:cs="宋体"/>
                <w:color w:val="auto"/>
                <w:kern w:val="0"/>
                <w:szCs w:val="21"/>
                <w:highlight w:val="none"/>
              </w:rPr>
            </w:pPr>
          </w:p>
        </w:tc>
        <w:tc>
          <w:tcPr>
            <w:tcW w:w="1124" w:type="dxa"/>
            <w:vAlign w:val="center"/>
          </w:tcPr>
          <w:p>
            <w:pPr>
              <w:widowControl/>
              <w:rPr>
                <w:rFonts w:ascii="宋体" w:cs="宋体"/>
                <w:color w:val="auto"/>
                <w:kern w:val="0"/>
                <w:szCs w:val="21"/>
                <w:highlight w:val="none"/>
              </w:rPr>
            </w:pPr>
          </w:p>
        </w:tc>
        <w:tc>
          <w:tcPr>
            <w:tcW w:w="709" w:type="dxa"/>
            <w:vAlign w:val="center"/>
          </w:tcPr>
          <w:p>
            <w:pPr>
              <w:widowControl/>
              <w:rPr>
                <w:rFonts w:ascii="宋体" w:cs="宋体"/>
                <w:color w:val="auto"/>
                <w:kern w:val="0"/>
                <w:szCs w:val="21"/>
                <w:highlight w:val="none"/>
              </w:rPr>
            </w:pPr>
          </w:p>
        </w:tc>
        <w:tc>
          <w:tcPr>
            <w:tcW w:w="708" w:type="dxa"/>
            <w:vAlign w:val="center"/>
          </w:tcPr>
          <w:p>
            <w:pPr>
              <w:widowControl/>
              <w:rPr>
                <w:rFonts w:ascii="宋体" w:cs="宋体"/>
                <w:color w:val="auto"/>
                <w:kern w:val="0"/>
                <w:szCs w:val="21"/>
                <w:highlight w:val="none"/>
              </w:rPr>
            </w:pPr>
          </w:p>
        </w:tc>
        <w:tc>
          <w:tcPr>
            <w:tcW w:w="656" w:type="dxa"/>
            <w:vAlign w:val="center"/>
          </w:tcPr>
          <w:p>
            <w:pPr>
              <w:widowControl/>
              <w:rPr>
                <w:rFonts w:ascii="宋体" w:cs="宋体"/>
                <w:color w:val="auto"/>
                <w:kern w:val="0"/>
                <w:szCs w:val="21"/>
                <w:highlight w:val="none"/>
              </w:rPr>
            </w:pPr>
          </w:p>
        </w:tc>
        <w:tc>
          <w:tcPr>
            <w:tcW w:w="1069" w:type="dxa"/>
            <w:vAlign w:val="center"/>
          </w:tcPr>
          <w:p>
            <w:pPr>
              <w:rPr>
                <w:rFonts w:ascii="宋体" w:cs="宋体"/>
                <w:color w:val="auto"/>
                <w:kern w:val="0"/>
                <w:szCs w:val="21"/>
                <w:highlight w:val="none"/>
              </w:rPr>
            </w:pPr>
          </w:p>
        </w:tc>
        <w:tc>
          <w:tcPr>
            <w:tcW w:w="1373" w:type="dxa"/>
            <w:vAlign w:val="center"/>
          </w:tcPr>
          <w:p>
            <w:pPr>
              <w:widowControl/>
              <w:rPr>
                <w:rFonts w:asci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pPr>
              <w:widowControl/>
              <w:jc w:val="center"/>
              <w:rPr>
                <w:rFonts w:ascii="宋体" w:cs="宋体"/>
                <w:color w:val="auto"/>
                <w:kern w:val="0"/>
                <w:szCs w:val="21"/>
                <w:highlight w:val="none"/>
              </w:rPr>
            </w:pPr>
            <w:r>
              <w:rPr>
                <w:rFonts w:ascii="宋体" w:hAnsi="宋体" w:cs="宋体"/>
                <w:color w:val="auto"/>
                <w:kern w:val="0"/>
                <w:szCs w:val="21"/>
                <w:highlight w:val="none"/>
              </w:rPr>
              <w:t>3</w:t>
            </w:r>
          </w:p>
        </w:tc>
        <w:tc>
          <w:tcPr>
            <w:tcW w:w="1254" w:type="dxa"/>
            <w:vAlign w:val="center"/>
          </w:tcPr>
          <w:p>
            <w:pPr>
              <w:widowControl/>
              <w:rPr>
                <w:rFonts w:ascii="宋体" w:cs="宋体"/>
                <w:color w:val="auto"/>
                <w:kern w:val="0"/>
                <w:szCs w:val="21"/>
                <w:highlight w:val="none"/>
              </w:rPr>
            </w:pPr>
          </w:p>
        </w:tc>
        <w:tc>
          <w:tcPr>
            <w:tcW w:w="1142" w:type="dxa"/>
            <w:vAlign w:val="center"/>
          </w:tcPr>
          <w:p>
            <w:pPr>
              <w:widowControl/>
              <w:rPr>
                <w:rFonts w:ascii="宋体" w:cs="宋体"/>
                <w:color w:val="auto"/>
                <w:kern w:val="0"/>
                <w:szCs w:val="21"/>
                <w:highlight w:val="none"/>
              </w:rPr>
            </w:pPr>
          </w:p>
        </w:tc>
        <w:tc>
          <w:tcPr>
            <w:tcW w:w="1124" w:type="dxa"/>
            <w:vAlign w:val="center"/>
          </w:tcPr>
          <w:p>
            <w:pPr>
              <w:widowControl/>
              <w:rPr>
                <w:rFonts w:ascii="宋体" w:cs="宋体"/>
                <w:color w:val="auto"/>
                <w:kern w:val="0"/>
                <w:szCs w:val="21"/>
                <w:highlight w:val="none"/>
              </w:rPr>
            </w:pPr>
          </w:p>
        </w:tc>
        <w:tc>
          <w:tcPr>
            <w:tcW w:w="709" w:type="dxa"/>
            <w:vAlign w:val="center"/>
          </w:tcPr>
          <w:p>
            <w:pPr>
              <w:widowControl/>
              <w:rPr>
                <w:rFonts w:ascii="宋体" w:cs="宋体"/>
                <w:color w:val="auto"/>
                <w:kern w:val="0"/>
                <w:szCs w:val="21"/>
                <w:highlight w:val="none"/>
              </w:rPr>
            </w:pPr>
          </w:p>
        </w:tc>
        <w:tc>
          <w:tcPr>
            <w:tcW w:w="708" w:type="dxa"/>
            <w:vAlign w:val="center"/>
          </w:tcPr>
          <w:p>
            <w:pPr>
              <w:widowControl/>
              <w:rPr>
                <w:rFonts w:ascii="宋体" w:cs="宋体"/>
                <w:color w:val="auto"/>
                <w:kern w:val="0"/>
                <w:szCs w:val="21"/>
                <w:highlight w:val="none"/>
              </w:rPr>
            </w:pPr>
          </w:p>
        </w:tc>
        <w:tc>
          <w:tcPr>
            <w:tcW w:w="656" w:type="dxa"/>
            <w:vAlign w:val="center"/>
          </w:tcPr>
          <w:p>
            <w:pPr>
              <w:widowControl/>
              <w:rPr>
                <w:rFonts w:ascii="宋体" w:cs="宋体"/>
                <w:color w:val="auto"/>
                <w:kern w:val="0"/>
                <w:szCs w:val="21"/>
                <w:highlight w:val="none"/>
              </w:rPr>
            </w:pPr>
          </w:p>
        </w:tc>
        <w:tc>
          <w:tcPr>
            <w:tcW w:w="1069" w:type="dxa"/>
            <w:vAlign w:val="center"/>
          </w:tcPr>
          <w:p>
            <w:pPr>
              <w:rPr>
                <w:rFonts w:ascii="宋体" w:cs="宋体"/>
                <w:color w:val="auto"/>
                <w:kern w:val="0"/>
                <w:szCs w:val="21"/>
                <w:highlight w:val="none"/>
              </w:rPr>
            </w:pPr>
          </w:p>
        </w:tc>
        <w:tc>
          <w:tcPr>
            <w:tcW w:w="1373" w:type="dxa"/>
            <w:vAlign w:val="center"/>
          </w:tcPr>
          <w:p>
            <w:pPr>
              <w:widowControl/>
              <w:rPr>
                <w:rFonts w:asci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611" w:type="dxa"/>
            <w:vAlign w:val="center"/>
          </w:tcPr>
          <w:p>
            <w:pPr>
              <w:widowControl/>
              <w:jc w:val="center"/>
              <w:rPr>
                <w:rFonts w:ascii="宋体" w:cs="宋体"/>
                <w:color w:val="auto"/>
                <w:kern w:val="0"/>
                <w:szCs w:val="21"/>
                <w:highlight w:val="none"/>
              </w:rPr>
            </w:pPr>
            <w:r>
              <w:rPr>
                <w:rFonts w:ascii="宋体" w:hAnsi="宋体" w:cs="宋体"/>
                <w:color w:val="auto"/>
                <w:kern w:val="0"/>
                <w:szCs w:val="21"/>
                <w:highlight w:val="none"/>
              </w:rPr>
              <w:t>4</w:t>
            </w:r>
          </w:p>
        </w:tc>
        <w:tc>
          <w:tcPr>
            <w:tcW w:w="1254" w:type="dxa"/>
            <w:vAlign w:val="center"/>
          </w:tcPr>
          <w:p>
            <w:pPr>
              <w:widowControl/>
              <w:rPr>
                <w:rFonts w:ascii="宋体" w:cs="宋体"/>
                <w:color w:val="auto"/>
                <w:kern w:val="0"/>
                <w:szCs w:val="21"/>
                <w:highlight w:val="none"/>
              </w:rPr>
            </w:pPr>
          </w:p>
        </w:tc>
        <w:tc>
          <w:tcPr>
            <w:tcW w:w="1142" w:type="dxa"/>
            <w:vAlign w:val="center"/>
          </w:tcPr>
          <w:p>
            <w:pPr>
              <w:widowControl/>
              <w:rPr>
                <w:rFonts w:ascii="宋体" w:cs="宋体"/>
                <w:color w:val="auto"/>
                <w:kern w:val="0"/>
                <w:szCs w:val="21"/>
                <w:highlight w:val="none"/>
              </w:rPr>
            </w:pPr>
          </w:p>
        </w:tc>
        <w:tc>
          <w:tcPr>
            <w:tcW w:w="1124" w:type="dxa"/>
            <w:vAlign w:val="center"/>
          </w:tcPr>
          <w:p>
            <w:pPr>
              <w:widowControl/>
              <w:rPr>
                <w:rFonts w:ascii="宋体" w:cs="宋体"/>
                <w:color w:val="auto"/>
                <w:kern w:val="0"/>
                <w:szCs w:val="21"/>
                <w:highlight w:val="none"/>
              </w:rPr>
            </w:pPr>
          </w:p>
        </w:tc>
        <w:tc>
          <w:tcPr>
            <w:tcW w:w="709" w:type="dxa"/>
            <w:vAlign w:val="center"/>
          </w:tcPr>
          <w:p>
            <w:pPr>
              <w:widowControl/>
              <w:rPr>
                <w:rFonts w:ascii="宋体" w:cs="宋体"/>
                <w:color w:val="auto"/>
                <w:kern w:val="0"/>
                <w:szCs w:val="21"/>
                <w:highlight w:val="none"/>
              </w:rPr>
            </w:pPr>
          </w:p>
        </w:tc>
        <w:tc>
          <w:tcPr>
            <w:tcW w:w="708" w:type="dxa"/>
            <w:vAlign w:val="center"/>
          </w:tcPr>
          <w:p>
            <w:pPr>
              <w:widowControl/>
              <w:rPr>
                <w:rFonts w:ascii="宋体" w:cs="宋体"/>
                <w:color w:val="auto"/>
                <w:kern w:val="0"/>
                <w:szCs w:val="21"/>
                <w:highlight w:val="none"/>
              </w:rPr>
            </w:pPr>
          </w:p>
        </w:tc>
        <w:tc>
          <w:tcPr>
            <w:tcW w:w="656" w:type="dxa"/>
            <w:vAlign w:val="center"/>
          </w:tcPr>
          <w:p>
            <w:pPr>
              <w:widowControl/>
              <w:rPr>
                <w:rFonts w:ascii="宋体" w:cs="宋体"/>
                <w:color w:val="auto"/>
                <w:kern w:val="0"/>
                <w:szCs w:val="21"/>
                <w:highlight w:val="none"/>
              </w:rPr>
            </w:pPr>
          </w:p>
        </w:tc>
        <w:tc>
          <w:tcPr>
            <w:tcW w:w="1069" w:type="dxa"/>
            <w:vAlign w:val="center"/>
          </w:tcPr>
          <w:p>
            <w:pPr>
              <w:rPr>
                <w:rFonts w:ascii="宋体" w:cs="宋体"/>
                <w:color w:val="auto"/>
                <w:kern w:val="0"/>
                <w:szCs w:val="21"/>
                <w:highlight w:val="none"/>
              </w:rPr>
            </w:pPr>
          </w:p>
        </w:tc>
        <w:tc>
          <w:tcPr>
            <w:tcW w:w="1373" w:type="dxa"/>
            <w:vAlign w:val="center"/>
          </w:tcPr>
          <w:p>
            <w:pPr>
              <w:widowControl/>
              <w:rPr>
                <w:rFonts w:asci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611" w:type="dxa"/>
            <w:vAlign w:val="center"/>
          </w:tcPr>
          <w:p>
            <w:pPr>
              <w:widowControl/>
              <w:jc w:val="center"/>
              <w:rPr>
                <w:rFonts w:ascii="宋体" w:cs="宋体"/>
                <w:color w:val="auto"/>
                <w:kern w:val="0"/>
                <w:szCs w:val="21"/>
                <w:highlight w:val="none"/>
              </w:rPr>
            </w:pPr>
            <w:r>
              <w:rPr>
                <w:rFonts w:ascii="宋体" w:hAnsi="宋体" w:cs="宋体"/>
                <w:color w:val="auto"/>
                <w:kern w:val="0"/>
                <w:szCs w:val="21"/>
                <w:highlight w:val="none"/>
              </w:rPr>
              <w:t>5</w:t>
            </w:r>
          </w:p>
        </w:tc>
        <w:tc>
          <w:tcPr>
            <w:tcW w:w="1254" w:type="dxa"/>
            <w:vAlign w:val="center"/>
          </w:tcPr>
          <w:p>
            <w:pPr>
              <w:widowControl/>
              <w:rPr>
                <w:rFonts w:ascii="宋体" w:cs="宋体"/>
                <w:color w:val="auto"/>
                <w:kern w:val="0"/>
                <w:szCs w:val="21"/>
                <w:highlight w:val="none"/>
              </w:rPr>
            </w:pPr>
          </w:p>
        </w:tc>
        <w:tc>
          <w:tcPr>
            <w:tcW w:w="1142" w:type="dxa"/>
            <w:vAlign w:val="center"/>
          </w:tcPr>
          <w:p>
            <w:pPr>
              <w:widowControl/>
              <w:rPr>
                <w:rFonts w:ascii="宋体" w:cs="宋体"/>
                <w:color w:val="auto"/>
                <w:kern w:val="0"/>
                <w:szCs w:val="21"/>
                <w:highlight w:val="none"/>
              </w:rPr>
            </w:pPr>
          </w:p>
        </w:tc>
        <w:tc>
          <w:tcPr>
            <w:tcW w:w="1124" w:type="dxa"/>
            <w:vAlign w:val="center"/>
          </w:tcPr>
          <w:p>
            <w:pPr>
              <w:widowControl/>
              <w:rPr>
                <w:rFonts w:ascii="宋体" w:cs="宋体"/>
                <w:color w:val="auto"/>
                <w:kern w:val="0"/>
                <w:szCs w:val="21"/>
                <w:highlight w:val="none"/>
              </w:rPr>
            </w:pPr>
          </w:p>
        </w:tc>
        <w:tc>
          <w:tcPr>
            <w:tcW w:w="709" w:type="dxa"/>
            <w:vAlign w:val="center"/>
          </w:tcPr>
          <w:p>
            <w:pPr>
              <w:widowControl/>
              <w:rPr>
                <w:rFonts w:ascii="宋体" w:cs="宋体"/>
                <w:color w:val="auto"/>
                <w:kern w:val="0"/>
                <w:szCs w:val="21"/>
                <w:highlight w:val="none"/>
              </w:rPr>
            </w:pPr>
          </w:p>
        </w:tc>
        <w:tc>
          <w:tcPr>
            <w:tcW w:w="708" w:type="dxa"/>
            <w:vAlign w:val="center"/>
          </w:tcPr>
          <w:p>
            <w:pPr>
              <w:widowControl/>
              <w:rPr>
                <w:rFonts w:ascii="宋体" w:cs="宋体"/>
                <w:color w:val="auto"/>
                <w:kern w:val="0"/>
                <w:szCs w:val="21"/>
                <w:highlight w:val="none"/>
              </w:rPr>
            </w:pPr>
          </w:p>
        </w:tc>
        <w:tc>
          <w:tcPr>
            <w:tcW w:w="656" w:type="dxa"/>
            <w:vAlign w:val="center"/>
          </w:tcPr>
          <w:p>
            <w:pPr>
              <w:widowControl/>
              <w:rPr>
                <w:rFonts w:ascii="宋体" w:cs="宋体"/>
                <w:color w:val="auto"/>
                <w:kern w:val="0"/>
                <w:szCs w:val="21"/>
                <w:highlight w:val="none"/>
              </w:rPr>
            </w:pPr>
          </w:p>
        </w:tc>
        <w:tc>
          <w:tcPr>
            <w:tcW w:w="1069" w:type="dxa"/>
            <w:vAlign w:val="center"/>
          </w:tcPr>
          <w:p>
            <w:pPr>
              <w:rPr>
                <w:rFonts w:ascii="宋体" w:cs="宋体"/>
                <w:color w:val="auto"/>
                <w:kern w:val="0"/>
                <w:szCs w:val="21"/>
                <w:highlight w:val="none"/>
              </w:rPr>
            </w:pPr>
          </w:p>
        </w:tc>
        <w:tc>
          <w:tcPr>
            <w:tcW w:w="1373" w:type="dxa"/>
            <w:vAlign w:val="center"/>
          </w:tcPr>
          <w:p>
            <w:pPr>
              <w:widowControl/>
              <w:rPr>
                <w:rFonts w:asci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pPr>
              <w:widowControl/>
              <w:jc w:val="center"/>
              <w:rPr>
                <w:rFonts w:ascii="宋体" w:cs="宋体"/>
                <w:color w:val="auto"/>
                <w:kern w:val="0"/>
                <w:szCs w:val="21"/>
                <w:highlight w:val="none"/>
              </w:rPr>
            </w:pPr>
            <w:r>
              <w:rPr>
                <w:rFonts w:ascii="宋体" w:hAnsi="宋体" w:cs="宋体"/>
                <w:color w:val="auto"/>
                <w:kern w:val="0"/>
                <w:szCs w:val="21"/>
                <w:highlight w:val="none"/>
              </w:rPr>
              <w:t>6</w:t>
            </w:r>
          </w:p>
        </w:tc>
        <w:tc>
          <w:tcPr>
            <w:tcW w:w="1254" w:type="dxa"/>
            <w:vAlign w:val="center"/>
          </w:tcPr>
          <w:p>
            <w:pPr>
              <w:widowControl/>
              <w:rPr>
                <w:rFonts w:ascii="宋体" w:cs="宋体"/>
                <w:color w:val="auto"/>
                <w:kern w:val="0"/>
                <w:szCs w:val="21"/>
                <w:highlight w:val="none"/>
              </w:rPr>
            </w:pPr>
            <w:r>
              <w:rPr>
                <w:rFonts w:hint="eastAsia" w:ascii="宋体" w:hAnsi="宋体" w:cs="宋体"/>
                <w:color w:val="auto"/>
                <w:kern w:val="0"/>
                <w:szCs w:val="21"/>
                <w:highlight w:val="none"/>
              </w:rPr>
              <w:t>……</w:t>
            </w:r>
          </w:p>
        </w:tc>
        <w:tc>
          <w:tcPr>
            <w:tcW w:w="1142" w:type="dxa"/>
            <w:vAlign w:val="center"/>
          </w:tcPr>
          <w:p>
            <w:pPr>
              <w:widowControl/>
              <w:rPr>
                <w:rFonts w:ascii="宋体" w:cs="宋体"/>
                <w:color w:val="auto"/>
                <w:kern w:val="0"/>
                <w:szCs w:val="21"/>
                <w:highlight w:val="none"/>
              </w:rPr>
            </w:pPr>
          </w:p>
        </w:tc>
        <w:tc>
          <w:tcPr>
            <w:tcW w:w="1124" w:type="dxa"/>
            <w:vAlign w:val="center"/>
          </w:tcPr>
          <w:p>
            <w:pPr>
              <w:widowControl/>
              <w:rPr>
                <w:rFonts w:ascii="宋体" w:cs="宋体"/>
                <w:color w:val="auto"/>
                <w:kern w:val="0"/>
                <w:szCs w:val="21"/>
                <w:highlight w:val="none"/>
              </w:rPr>
            </w:pPr>
          </w:p>
        </w:tc>
        <w:tc>
          <w:tcPr>
            <w:tcW w:w="709" w:type="dxa"/>
            <w:vAlign w:val="center"/>
          </w:tcPr>
          <w:p>
            <w:pPr>
              <w:widowControl/>
              <w:rPr>
                <w:rFonts w:ascii="宋体" w:cs="宋体"/>
                <w:color w:val="auto"/>
                <w:kern w:val="0"/>
                <w:szCs w:val="21"/>
                <w:highlight w:val="none"/>
              </w:rPr>
            </w:pPr>
          </w:p>
        </w:tc>
        <w:tc>
          <w:tcPr>
            <w:tcW w:w="708" w:type="dxa"/>
            <w:vAlign w:val="center"/>
          </w:tcPr>
          <w:p>
            <w:pPr>
              <w:widowControl/>
              <w:rPr>
                <w:rFonts w:ascii="宋体" w:cs="宋体"/>
                <w:color w:val="auto"/>
                <w:kern w:val="0"/>
                <w:szCs w:val="21"/>
                <w:highlight w:val="none"/>
              </w:rPr>
            </w:pPr>
          </w:p>
        </w:tc>
        <w:tc>
          <w:tcPr>
            <w:tcW w:w="656" w:type="dxa"/>
            <w:vAlign w:val="center"/>
          </w:tcPr>
          <w:p>
            <w:pPr>
              <w:widowControl/>
              <w:rPr>
                <w:rFonts w:ascii="宋体" w:cs="宋体"/>
                <w:color w:val="auto"/>
                <w:kern w:val="0"/>
                <w:szCs w:val="21"/>
                <w:highlight w:val="none"/>
              </w:rPr>
            </w:pPr>
          </w:p>
        </w:tc>
        <w:tc>
          <w:tcPr>
            <w:tcW w:w="1069" w:type="dxa"/>
            <w:vAlign w:val="center"/>
          </w:tcPr>
          <w:p>
            <w:pPr>
              <w:rPr>
                <w:rFonts w:ascii="宋体" w:cs="宋体"/>
                <w:color w:val="auto"/>
                <w:kern w:val="0"/>
                <w:szCs w:val="21"/>
                <w:highlight w:val="none"/>
              </w:rPr>
            </w:pPr>
          </w:p>
        </w:tc>
        <w:tc>
          <w:tcPr>
            <w:tcW w:w="1373" w:type="dxa"/>
            <w:vAlign w:val="center"/>
          </w:tcPr>
          <w:p>
            <w:pPr>
              <w:widowControl/>
              <w:rPr>
                <w:rFonts w:asci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pPr>
              <w:widowControl/>
              <w:rPr>
                <w:rFonts w:ascii="宋体" w:cs="宋体"/>
                <w:color w:val="auto"/>
                <w:kern w:val="0"/>
                <w:szCs w:val="21"/>
                <w:highlight w:val="none"/>
              </w:rPr>
            </w:pPr>
          </w:p>
        </w:tc>
        <w:tc>
          <w:tcPr>
            <w:tcW w:w="1254" w:type="dxa"/>
            <w:vAlign w:val="center"/>
          </w:tcPr>
          <w:p>
            <w:pPr>
              <w:widowControl/>
              <w:rPr>
                <w:rFonts w:ascii="宋体" w:cs="宋体"/>
                <w:color w:val="auto"/>
                <w:kern w:val="0"/>
                <w:szCs w:val="21"/>
                <w:highlight w:val="none"/>
              </w:rPr>
            </w:pPr>
          </w:p>
        </w:tc>
        <w:tc>
          <w:tcPr>
            <w:tcW w:w="1142" w:type="dxa"/>
            <w:vAlign w:val="center"/>
          </w:tcPr>
          <w:p>
            <w:pPr>
              <w:widowControl/>
              <w:rPr>
                <w:rFonts w:ascii="宋体" w:cs="宋体"/>
                <w:color w:val="auto"/>
                <w:kern w:val="0"/>
                <w:szCs w:val="21"/>
                <w:highlight w:val="none"/>
              </w:rPr>
            </w:pPr>
          </w:p>
        </w:tc>
        <w:tc>
          <w:tcPr>
            <w:tcW w:w="1124" w:type="dxa"/>
            <w:vAlign w:val="center"/>
          </w:tcPr>
          <w:p>
            <w:pPr>
              <w:widowControl/>
              <w:rPr>
                <w:rFonts w:ascii="宋体" w:cs="宋体"/>
                <w:color w:val="auto"/>
                <w:kern w:val="0"/>
                <w:szCs w:val="21"/>
                <w:highlight w:val="none"/>
              </w:rPr>
            </w:pPr>
          </w:p>
        </w:tc>
        <w:tc>
          <w:tcPr>
            <w:tcW w:w="709" w:type="dxa"/>
            <w:vAlign w:val="center"/>
          </w:tcPr>
          <w:p>
            <w:pPr>
              <w:widowControl/>
              <w:rPr>
                <w:rFonts w:ascii="宋体" w:cs="宋体"/>
                <w:color w:val="auto"/>
                <w:kern w:val="0"/>
                <w:szCs w:val="21"/>
                <w:highlight w:val="none"/>
              </w:rPr>
            </w:pPr>
          </w:p>
        </w:tc>
        <w:tc>
          <w:tcPr>
            <w:tcW w:w="708" w:type="dxa"/>
            <w:vAlign w:val="center"/>
          </w:tcPr>
          <w:p>
            <w:pPr>
              <w:widowControl/>
              <w:rPr>
                <w:rFonts w:ascii="宋体" w:cs="宋体"/>
                <w:color w:val="auto"/>
                <w:kern w:val="0"/>
                <w:szCs w:val="21"/>
                <w:highlight w:val="none"/>
              </w:rPr>
            </w:pPr>
          </w:p>
        </w:tc>
        <w:tc>
          <w:tcPr>
            <w:tcW w:w="656" w:type="dxa"/>
            <w:vAlign w:val="center"/>
          </w:tcPr>
          <w:p>
            <w:pPr>
              <w:widowControl/>
              <w:rPr>
                <w:rFonts w:ascii="宋体" w:cs="宋体"/>
                <w:color w:val="auto"/>
                <w:kern w:val="0"/>
                <w:szCs w:val="21"/>
                <w:highlight w:val="none"/>
              </w:rPr>
            </w:pPr>
          </w:p>
        </w:tc>
        <w:tc>
          <w:tcPr>
            <w:tcW w:w="1069" w:type="dxa"/>
            <w:vAlign w:val="center"/>
          </w:tcPr>
          <w:p>
            <w:pPr>
              <w:widowControl/>
              <w:rPr>
                <w:rFonts w:ascii="宋体" w:cs="宋体"/>
                <w:color w:val="auto"/>
                <w:kern w:val="0"/>
                <w:szCs w:val="21"/>
                <w:highlight w:val="none"/>
              </w:rPr>
            </w:pPr>
          </w:p>
        </w:tc>
        <w:tc>
          <w:tcPr>
            <w:tcW w:w="1373" w:type="dxa"/>
            <w:vAlign w:val="center"/>
          </w:tcPr>
          <w:p>
            <w:pPr>
              <w:widowControl/>
              <w:rPr>
                <w:rFonts w:asci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pPr>
              <w:widowControl/>
              <w:rPr>
                <w:rFonts w:ascii="宋体" w:cs="宋体"/>
                <w:color w:val="auto"/>
                <w:kern w:val="0"/>
                <w:szCs w:val="21"/>
                <w:highlight w:val="none"/>
              </w:rPr>
            </w:pPr>
          </w:p>
        </w:tc>
        <w:tc>
          <w:tcPr>
            <w:tcW w:w="1254" w:type="dxa"/>
            <w:vAlign w:val="center"/>
          </w:tcPr>
          <w:p>
            <w:pPr>
              <w:widowControl/>
              <w:rPr>
                <w:rFonts w:ascii="宋体" w:cs="宋体"/>
                <w:color w:val="auto"/>
                <w:kern w:val="0"/>
                <w:szCs w:val="21"/>
                <w:highlight w:val="none"/>
              </w:rPr>
            </w:pPr>
          </w:p>
        </w:tc>
        <w:tc>
          <w:tcPr>
            <w:tcW w:w="1142" w:type="dxa"/>
            <w:vAlign w:val="center"/>
          </w:tcPr>
          <w:p>
            <w:pPr>
              <w:widowControl/>
              <w:rPr>
                <w:rFonts w:ascii="宋体" w:cs="宋体"/>
                <w:color w:val="auto"/>
                <w:kern w:val="0"/>
                <w:szCs w:val="21"/>
                <w:highlight w:val="none"/>
              </w:rPr>
            </w:pPr>
          </w:p>
        </w:tc>
        <w:tc>
          <w:tcPr>
            <w:tcW w:w="1124" w:type="dxa"/>
            <w:vAlign w:val="center"/>
          </w:tcPr>
          <w:p>
            <w:pPr>
              <w:widowControl/>
              <w:rPr>
                <w:rFonts w:ascii="宋体" w:cs="宋体"/>
                <w:color w:val="auto"/>
                <w:kern w:val="0"/>
                <w:szCs w:val="21"/>
                <w:highlight w:val="none"/>
              </w:rPr>
            </w:pPr>
          </w:p>
        </w:tc>
        <w:tc>
          <w:tcPr>
            <w:tcW w:w="709" w:type="dxa"/>
            <w:vAlign w:val="center"/>
          </w:tcPr>
          <w:p>
            <w:pPr>
              <w:widowControl/>
              <w:rPr>
                <w:rFonts w:ascii="宋体" w:cs="宋体"/>
                <w:color w:val="auto"/>
                <w:kern w:val="0"/>
                <w:szCs w:val="21"/>
                <w:highlight w:val="none"/>
              </w:rPr>
            </w:pPr>
          </w:p>
        </w:tc>
        <w:tc>
          <w:tcPr>
            <w:tcW w:w="708" w:type="dxa"/>
            <w:vAlign w:val="center"/>
          </w:tcPr>
          <w:p>
            <w:pPr>
              <w:widowControl/>
              <w:rPr>
                <w:rFonts w:ascii="宋体" w:cs="宋体"/>
                <w:color w:val="auto"/>
                <w:kern w:val="0"/>
                <w:szCs w:val="21"/>
                <w:highlight w:val="none"/>
              </w:rPr>
            </w:pPr>
          </w:p>
        </w:tc>
        <w:tc>
          <w:tcPr>
            <w:tcW w:w="656" w:type="dxa"/>
            <w:vAlign w:val="center"/>
          </w:tcPr>
          <w:p>
            <w:pPr>
              <w:widowControl/>
              <w:rPr>
                <w:rFonts w:ascii="宋体" w:cs="宋体"/>
                <w:color w:val="auto"/>
                <w:kern w:val="0"/>
                <w:szCs w:val="21"/>
                <w:highlight w:val="none"/>
              </w:rPr>
            </w:pPr>
          </w:p>
        </w:tc>
        <w:tc>
          <w:tcPr>
            <w:tcW w:w="1069" w:type="dxa"/>
            <w:vAlign w:val="center"/>
          </w:tcPr>
          <w:p>
            <w:pPr>
              <w:rPr>
                <w:rFonts w:ascii="宋体" w:cs="宋体"/>
                <w:color w:val="auto"/>
                <w:kern w:val="0"/>
                <w:szCs w:val="21"/>
                <w:highlight w:val="none"/>
              </w:rPr>
            </w:pPr>
          </w:p>
        </w:tc>
        <w:tc>
          <w:tcPr>
            <w:tcW w:w="1373" w:type="dxa"/>
            <w:vAlign w:val="center"/>
          </w:tcPr>
          <w:p>
            <w:pPr>
              <w:widowControl/>
              <w:rPr>
                <w:rFonts w:asci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pPr>
              <w:widowControl/>
              <w:rPr>
                <w:rFonts w:ascii="宋体" w:cs="宋体"/>
                <w:color w:val="auto"/>
                <w:kern w:val="0"/>
                <w:szCs w:val="21"/>
                <w:highlight w:val="none"/>
              </w:rPr>
            </w:pPr>
          </w:p>
        </w:tc>
        <w:tc>
          <w:tcPr>
            <w:tcW w:w="1254" w:type="dxa"/>
            <w:vAlign w:val="center"/>
          </w:tcPr>
          <w:p>
            <w:pPr>
              <w:widowControl/>
              <w:rPr>
                <w:rFonts w:ascii="宋体" w:cs="宋体"/>
                <w:color w:val="auto"/>
                <w:kern w:val="0"/>
                <w:szCs w:val="21"/>
                <w:highlight w:val="none"/>
              </w:rPr>
            </w:pPr>
          </w:p>
        </w:tc>
        <w:tc>
          <w:tcPr>
            <w:tcW w:w="1142" w:type="dxa"/>
            <w:vAlign w:val="center"/>
          </w:tcPr>
          <w:p>
            <w:pPr>
              <w:widowControl/>
              <w:rPr>
                <w:rFonts w:ascii="宋体" w:cs="宋体"/>
                <w:color w:val="auto"/>
                <w:kern w:val="0"/>
                <w:szCs w:val="21"/>
                <w:highlight w:val="none"/>
              </w:rPr>
            </w:pPr>
          </w:p>
        </w:tc>
        <w:tc>
          <w:tcPr>
            <w:tcW w:w="1124" w:type="dxa"/>
            <w:vAlign w:val="center"/>
          </w:tcPr>
          <w:p>
            <w:pPr>
              <w:widowControl/>
              <w:rPr>
                <w:rFonts w:ascii="宋体" w:cs="宋体"/>
                <w:color w:val="auto"/>
                <w:kern w:val="0"/>
                <w:szCs w:val="21"/>
                <w:highlight w:val="none"/>
              </w:rPr>
            </w:pPr>
          </w:p>
        </w:tc>
        <w:tc>
          <w:tcPr>
            <w:tcW w:w="709" w:type="dxa"/>
            <w:vAlign w:val="center"/>
          </w:tcPr>
          <w:p>
            <w:pPr>
              <w:widowControl/>
              <w:rPr>
                <w:rFonts w:ascii="宋体" w:cs="宋体"/>
                <w:color w:val="auto"/>
                <w:kern w:val="0"/>
                <w:szCs w:val="21"/>
                <w:highlight w:val="none"/>
              </w:rPr>
            </w:pPr>
          </w:p>
        </w:tc>
        <w:tc>
          <w:tcPr>
            <w:tcW w:w="708" w:type="dxa"/>
            <w:vAlign w:val="center"/>
          </w:tcPr>
          <w:p>
            <w:pPr>
              <w:widowControl/>
              <w:rPr>
                <w:rFonts w:ascii="宋体" w:cs="宋体"/>
                <w:color w:val="auto"/>
                <w:kern w:val="0"/>
                <w:szCs w:val="21"/>
                <w:highlight w:val="none"/>
              </w:rPr>
            </w:pPr>
          </w:p>
        </w:tc>
        <w:tc>
          <w:tcPr>
            <w:tcW w:w="656" w:type="dxa"/>
            <w:vAlign w:val="center"/>
          </w:tcPr>
          <w:p>
            <w:pPr>
              <w:widowControl/>
              <w:rPr>
                <w:rFonts w:ascii="宋体" w:cs="宋体"/>
                <w:color w:val="auto"/>
                <w:kern w:val="0"/>
                <w:szCs w:val="21"/>
                <w:highlight w:val="none"/>
              </w:rPr>
            </w:pPr>
          </w:p>
        </w:tc>
        <w:tc>
          <w:tcPr>
            <w:tcW w:w="1069" w:type="dxa"/>
            <w:vAlign w:val="center"/>
          </w:tcPr>
          <w:p>
            <w:pPr>
              <w:rPr>
                <w:rFonts w:ascii="宋体" w:cs="宋体"/>
                <w:color w:val="auto"/>
                <w:kern w:val="0"/>
                <w:szCs w:val="21"/>
                <w:highlight w:val="none"/>
              </w:rPr>
            </w:pPr>
          </w:p>
        </w:tc>
        <w:tc>
          <w:tcPr>
            <w:tcW w:w="1373" w:type="dxa"/>
            <w:vAlign w:val="center"/>
          </w:tcPr>
          <w:p>
            <w:pPr>
              <w:widowControl/>
              <w:rPr>
                <w:rFonts w:asci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pPr>
              <w:widowControl/>
              <w:rPr>
                <w:rFonts w:ascii="宋体" w:cs="宋体"/>
                <w:color w:val="auto"/>
                <w:kern w:val="0"/>
                <w:szCs w:val="21"/>
                <w:highlight w:val="none"/>
              </w:rPr>
            </w:pPr>
          </w:p>
        </w:tc>
        <w:tc>
          <w:tcPr>
            <w:tcW w:w="1254" w:type="dxa"/>
            <w:vAlign w:val="center"/>
          </w:tcPr>
          <w:p>
            <w:pPr>
              <w:widowControl/>
              <w:rPr>
                <w:rFonts w:ascii="宋体" w:cs="宋体"/>
                <w:color w:val="auto"/>
                <w:kern w:val="0"/>
                <w:szCs w:val="21"/>
                <w:highlight w:val="none"/>
              </w:rPr>
            </w:pPr>
          </w:p>
        </w:tc>
        <w:tc>
          <w:tcPr>
            <w:tcW w:w="1142" w:type="dxa"/>
            <w:vAlign w:val="center"/>
          </w:tcPr>
          <w:p>
            <w:pPr>
              <w:widowControl/>
              <w:rPr>
                <w:rFonts w:ascii="宋体" w:cs="宋体"/>
                <w:color w:val="auto"/>
                <w:kern w:val="0"/>
                <w:szCs w:val="21"/>
                <w:highlight w:val="none"/>
              </w:rPr>
            </w:pPr>
          </w:p>
        </w:tc>
        <w:tc>
          <w:tcPr>
            <w:tcW w:w="1124" w:type="dxa"/>
            <w:vAlign w:val="center"/>
          </w:tcPr>
          <w:p>
            <w:pPr>
              <w:widowControl/>
              <w:rPr>
                <w:rFonts w:ascii="宋体" w:cs="宋体"/>
                <w:color w:val="auto"/>
                <w:kern w:val="0"/>
                <w:szCs w:val="21"/>
                <w:highlight w:val="none"/>
              </w:rPr>
            </w:pPr>
          </w:p>
        </w:tc>
        <w:tc>
          <w:tcPr>
            <w:tcW w:w="709" w:type="dxa"/>
            <w:vAlign w:val="center"/>
          </w:tcPr>
          <w:p>
            <w:pPr>
              <w:widowControl/>
              <w:rPr>
                <w:rFonts w:ascii="宋体" w:cs="宋体"/>
                <w:color w:val="auto"/>
                <w:kern w:val="0"/>
                <w:szCs w:val="21"/>
                <w:highlight w:val="none"/>
              </w:rPr>
            </w:pPr>
          </w:p>
        </w:tc>
        <w:tc>
          <w:tcPr>
            <w:tcW w:w="708" w:type="dxa"/>
            <w:vAlign w:val="center"/>
          </w:tcPr>
          <w:p>
            <w:pPr>
              <w:widowControl/>
              <w:rPr>
                <w:rFonts w:ascii="宋体" w:cs="宋体"/>
                <w:color w:val="auto"/>
                <w:kern w:val="0"/>
                <w:szCs w:val="21"/>
                <w:highlight w:val="none"/>
              </w:rPr>
            </w:pPr>
          </w:p>
        </w:tc>
        <w:tc>
          <w:tcPr>
            <w:tcW w:w="656" w:type="dxa"/>
            <w:vAlign w:val="center"/>
          </w:tcPr>
          <w:p>
            <w:pPr>
              <w:widowControl/>
              <w:rPr>
                <w:rFonts w:ascii="宋体" w:cs="宋体"/>
                <w:color w:val="auto"/>
                <w:kern w:val="0"/>
                <w:szCs w:val="21"/>
                <w:highlight w:val="none"/>
              </w:rPr>
            </w:pPr>
          </w:p>
        </w:tc>
        <w:tc>
          <w:tcPr>
            <w:tcW w:w="1069" w:type="dxa"/>
            <w:vAlign w:val="center"/>
          </w:tcPr>
          <w:p>
            <w:pPr>
              <w:rPr>
                <w:rFonts w:ascii="宋体" w:cs="宋体"/>
                <w:color w:val="auto"/>
                <w:kern w:val="0"/>
                <w:szCs w:val="21"/>
                <w:highlight w:val="none"/>
              </w:rPr>
            </w:pPr>
          </w:p>
        </w:tc>
        <w:tc>
          <w:tcPr>
            <w:tcW w:w="1373" w:type="dxa"/>
            <w:vAlign w:val="center"/>
          </w:tcPr>
          <w:p>
            <w:pPr>
              <w:widowControl/>
              <w:rPr>
                <w:rFonts w:asci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11" w:type="dxa"/>
            <w:vAlign w:val="center"/>
          </w:tcPr>
          <w:p>
            <w:pPr>
              <w:widowControl/>
              <w:rPr>
                <w:rFonts w:ascii="宋体" w:cs="宋体"/>
                <w:color w:val="auto"/>
                <w:kern w:val="0"/>
                <w:szCs w:val="21"/>
                <w:highlight w:val="none"/>
              </w:rPr>
            </w:pPr>
          </w:p>
        </w:tc>
        <w:tc>
          <w:tcPr>
            <w:tcW w:w="1254" w:type="dxa"/>
            <w:vAlign w:val="center"/>
          </w:tcPr>
          <w:p>
            <w:pPr>
              <w:widowControl/>
              <w:rPr>
                <w:rFonts w:ascii="宋体" w:cs="宋体"/>
                <w:color w:val="auto"/>
                <w:kern w:val="0"/>
                <w:szCs w:val="21"/>
                <w:highlight w:val="none"/>
              </w:rPr>
            </w:pPr>
          </w:p>
        </w:tc>
        <w:tc>
          <w:tcPr>
            <w:tcW w:w="1142" w:type="dxa"/>
            <w:vAlign w:val="center"/>
          </w:tcPr>
          <w:p>
            <w:pPr>
              <w:widowControl/>
              <w:rPr>
                <w:rFonts w:ascii="宋体" w:cs="宋体"/>
                <w:color w:val="auto"/>
                <w:kern w:val="0"/>
                <w:szCs w:val="21"/>
                <w:highlight w:val="none"/>
              </w:rPr>
            </w:pPr>
          </w:p>
        </w:tc>
        <w:tc>
          <w:tcPr>
            <w:tcW w:w="1124" w:type="dxa"/>
            <w:vAlign w:val="center"/>
          </w:tcPr>
          <w:p>
            <w:pPr>
              <w:widowControl/>
              <w:rPr>
                <w:rFonts w:ascii="宋体" w:cs="宋体"/>
                <w:color w:val="auto"/>
                <w:kern w:val="0"/>
                <w:szCs w:val="21"/>
                <w:highlight w:val="none"/>
              </w:rPr>
            </w:pPr>
          </w:p>
        </w:tc>
        <w:tc>
          <w:tcPr>
            <w:tcW w:w="709" w:type="dxa"/>
            <w:vAlign w:val="center"/>
          </w:tcPr>
          <w:p>
            <w:pPr>
              <w:widowControl/>
              <w:rPr>
                <w:rFonts w:ascii="宋体" w:cs="宋体"/>
                <w:color w:val="auto"/>
                <w:kern w:val="0"/>
                <w:szCs w:val="21"/>
                <w:highlight w:val="none"/>
              </w:rPr>
            </w:pPr>
          </w:p>
        </w:tc>
        <w:tc>
          <w:tcPr>
            <w:tcW w:w="708" w:type="dxa"/>
            <w:vAlign w:val="center"/>
          </w:tcPr>
          <w:p>
            <w:pPr>
              <w:widowControl/>
              <w:rPr>
                <w:rFonts w:ascii="宋体" w:cs="宋体"/>
                <w:color w:val="auto"/>
                <w:kern w:val="0"/>
                <w:szCs w:val="21"/>
                <w:highlight w:val="none"/>
              </w:rPr>
            </w:pPr>
          </w:p>
        </w:tc>
        <w:tc>
          <w:tcPr>
            <w:tcW w:w="656" w:type="dxa"/>
            <w:vAlign w:val="center"/>
          </w:tcPr>
          <w:p>
            <w:pPr>
              <w:widowControl/>
              <w:rPr>
                <w:rFonts w:ascii="宋体" w:cs="宋体"/>
                <w:color w:val="auto"/>
                <w:kern w:val="0"/>
                <w:szCs w:val="21"/>
                <w:highlight w:val="none"/>
              </w:rPr>
            </w:pPr>
          </w:p>
        </w:tc>
        <w:tc>
          <w:tcPr>
            <w:tcW w:w="1069" w:type="dxa"/>
            <w:vAlign w:val="center"/>
          </w:tcPr>
          <w:p>
            <w:pPr>
              <w:rPr>
                <w:rFonts w:ascii="宋体" w:cs="宋体"/>
                <w:color w:val="auto"/>
                <w:kern w:val="0"/>
                <w:szCs w:val="21"/>
                <w:highlight w:val="none"/>
              </w:rPr>
            </w:pPr>
          </w:p>
        </w:tc>
        <w:tc>
          <w:tcPr>
            <w:tcW w:w="1373" w:type="dxa"/>
            <w:vAlign w:val="center"/>
          </w:tcPr>
          <w:p>
            <w:pPr>
              <w:widowControl/>
              <w:rPr>
                <w:rFonts w:asci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865" w:type="dxa"/>
            <w:gridSpan w:val="2"/>
            <w:vAlign w:val="center"/>
          </w:tcPr>
          <w:p>
            <w:pPr>
              <w:widowControl/>
              <w:rPr>
                <w:rFonts w:ascii="宋体" w:cs="宋体"/>
                <w:color w:val="auto"/>
                <w:kern w:val="0"/>
                <w:szCs w:val="21"/>
                <w:highlight w:val="none"/>
              </w:rPr>
            </w:pPr>
            <w:r>
              <w:rPr>
                <w:rFonts w:hint="eastAsia" w:ascii="宋体" w:hAnsi="宋体" w:cs="宋体"/>
                <w:color w:val="auto"/>
                <w:kern w:val="0"/>
                <w:szCs w:val="21"/>
                <w:highlight w:val="none"/>
              </w:rPr>
              <w:t>合计：</w:t>
            </w:r>
          </w:p>
        </w:tc>
        <w:tc>
          <w:tcPr>
            <w:tcW w:w="6781" w:type="dxa"/>
            <w:gridSpan w:val="7"/>
            <w:vAlign w:val="center"/>
          </w:tcPr>
          <w:p>
            <w:pPr>
              <w:widowControl/>
              <w:ind w:firstLine="1680" w:firstLineChars="800"/>
              <w:rPr>
                <w:rFonts w:ascii="宋体" w:cs="宋体"/>
                <w:color w:val="auto"/>
                <w:kern w:val="0"/>
                <w:szCs w:val="21"/>
                <w:highlight w:val="none"/>
              </w:rPr>
            </w:pPr>
            <w:r>
              <w:rPr>
                <w:rFonts w:hint="eastAsia" w:ascii="宋体" w:hAnsi="宋体" w:cs="宋体"/>
                <w:color w:val="auto"/>
                <w:kern w:val="0"/>
                <w:szCs w:val="21"/>
                <w:highlight w:val="none"/>
              </w:rPr>
              <w:t>元</w:t>
            </w:r>
            <w:r>
              <w:rPr>
                <w:rFonts w:ascii="宋体" w:hAnsi="宋体" w:cs="宋体"/>
                <w:color w:val="auto"/>
                <w:kern w:val="0"/>
                <w:szCs w:val="21"/>
                <w:highlight w:val="none"/>
              </w:rPr>
              <w:t>(</w:t>
            </w:r>
            <w:r>
              <w:rPr>
                <w:rFonts w:hint="eastAsia" w:ascii="宋体" w:hAnsi="宋体" w:cs="宋体"/>
                <w:color w:val="auto"/>
                <w:kern w:val="0"/>
                <w:szCs w:val="21"/>
                <w:highlight w:val="none"/>
              </w:rPr>
              <w:t>小数点保留两位</w:t>
            </w:r>
            <w:r>
              <w:rPr>
                <w:rFonts w:ascii="宋体" w:hAnsi="宋体" w:cs="宋体"/>
                <w:color w:val="auto"/>
                <w:kern w:val="0"/>
                <w:szCs w:val="21"/>
                <w:highlight w:val="none"/>
              </w:rPr>
              <w:t>)</w:t>
            </w:r>
          </w:p>
        </w:tc>
      </w:tr>
    </w:tbl>
    <w:p>
      <w:pPr>
        <w:widowControl/>
        <w:shd w:val="clear" w:color="auto" w:fill="FFFFFF"/>
        <w:spacing w:line="360" w:lineRule="auto"/>
        <w:jc w:val="left"/>
        <w:rPr>
          <w:rFonts w:ascii="Arial" w:hAnsi="Arial" w:cs="Arial"/>
          <w:color w:val="auto"/>
          <w:kern w:val="0"/>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投标单位（盖章）：</w:t>
      </w:r>
      <w:r>
        <w:rPr>
          <w:rFonts w:ascii="Arial" w:hAnsi="Arial" w:cs="Arial"/>
          <w:color w:val="auto"/>
          <w:kern w:val="0"/>
          <w:szCs w:val="21"/>
          <w:highlight w:val="none"/>
          <w:u w:val="single"/>
        </w:rPr>
        <w:t>                             </w:t>
      </w:r>
      <w:r>
        <w:rPr>
          <w:rFonts w:ascii="Arial" w:hAnsi="Arial" w:cs="Arial"/>
          <w:color w:val="auto"/>
          <w:kern w:val="0"/>
          <w:szCs w:val="21"/>
          <w:highlight w:val="none"/>
        </w:rPr>
        <w:t xml:space="preserve"> </w:t>
      </w:r>
    </w:p>
    <w:p>
      <w:pPr>
        <w:widowControl/>
        <w:shd w:val="clear" w:color="auto" w:fill="FFFFFF"/>
        <w:spacing w:line="360" w:lineRule="auto"/>
        <w:jc w:val="left"/>
        <w:rPr>
          <w:rFonts w:ascii="Arial" w:hAnsi="Arial" w:cs="Arial"/>
          <w:color w:val="auto"/>
          <w:kern w:val="0"/>
          <w:szCs w:val="21"/>
          <w:highlight w:val="none"/>
          <w:u w:val="single"/>
        </w:rPr>
      </w:pPr>
      <w:r>
        <w:rPr>
          <w:rFonts w:ascii="Arial" w:hAnsi="Arial" w:cs="Arial"/>
          <w:color w:val="auto"/>
          <w:kern w:val="0"/>
          <w:szCs w:val="21"/>
          <w:highlight w:val="none"/>
        </w:rPr>
        <w:t>法定代表人或授权代表（签字</w:t>
      </w:r>
      <w:r>
        <w:rPr>
          <w:rFonts w:hint="eastAsia" w:ascii="Arial" w:hAnsi="Arial" w:cs="Arial"/>
          <w:color w:val="auto"/>
          <w:kern w:val="0"/>
          <w:szCs w:val="21"/>
          <w:highlight w:val="none"/>
        </w:rPr>
        <w:t>或签章</w:t>
      </w:r>
      <w:r>
        <w:rPr>
          <w:rFonts w:ascii="Arial" w:hAnsi="Arial" w:cs="Arial"/>
          <w:color w:val="auto"/>
          <w:kern w:val="0"/>
          <w:szCs w:val="21"/>
          <w:highlight w:val="none"/>
        </w:rPr>
        <w:t>）：</w:t>
      </w:r>
      <w:r>
        <w:rPr>
          <w:rFonts w:ascii="Arial" w:hAnsi="Arial" w:cs="Arial"/>
          <w:color w:val="auto"/>
          <w:kern w:val="0"/>
          <w:szCs w:val="21"/>
          <w:highlight w:val="none"/>
          <w:u w:val="single"/>
        </w:rPr>
        <w:t>                              </w:t>
      </w: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xml:space="preserve"> </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highlight w:val="none"/>
        </w:rPr>
        <w:t xml:space="preserve">     </w:t>
      </w: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p>
    <w:p>
      <w:pPr>
        <w:widowControl/>
        <w:jc w:val="left"/>
        <w:rPr>
          <w:rFonts w:ascii="Arial" w:hAnsi="Arial" w:cs="Arial"/>
          <w:color w:val="auto"/>
          <w:kern w:val="0"/>
          <w:szCs w:val="21"/>
          <w:highlight w:val="none"/>
        </w:rPr>
      </w:pPr>
      <w:r>
        <w:rPr>
          <w:rFonts w:ascii="Arial" w:hAnsi="Arial" w:cs="Arial"/>
          <w:color w:val="auto"/>
          <w:kern w:val="0"/>
          <w:szCs w:val="21"/>
          <w:highlight w:val="none"/>
        </w:rPr>
        <w:br w:type="page"/>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r>
        <w:rPr>
          <w:rFonts w:ascii="Arial" w:hAnsi="Arial" w:cs="Arial"/>
          <w:b/>
          <w:bCs/>
          <w:color w:val="auto"/>
          <w:kern w:val="0"/>
          <w:szCs w:val="21"/>
          <w:highlight w:val="none"/>
        </w:rPr>
        <w:t>附件</w:t>
      </w:r>
      <w:r>
        <w:rPr>
          <w:rFonts w:hint="eastAsia" w:ascii="Arial" w:hAnsi="Arial" w:cs="Arial"/>
          <w:b/>
          <w:bCs/>
          <w:color w:val="auto"/>
          <w:kern w:val="0"/>
          <w:szCs w:val="21"/>
          <w:highlight w:val="none"/>
        </w:rPr>
        <w:t>四</w:t>
      </w:r>
      <w:r>
        <w:rPr>
          <w:rFonts w:ascii="Arial" w:hAnsi="Arial" w:cs="Arial"/>
          <w:b/>
          <w:bCs/>
          <w:color w:val="auto"/>
          <w:kern w:val="0"/>
          <w:szCs w:val="21"/>
          <w:highlight w:val="none"/>
        </w:rPr>
        <w:t>、</w:t>
      </w:r>
      <w:r>
        <w:rPr>
          <w:rFonts w:hint="eastAsia" w:ascii="Arial" w:hAnsi="Arial" w:cs="Arial"/>
          <w:b/>
          <w:bCs/>
          <w:color w:val="auto"/>
          <w:kern w:val="0"/>
          <w:szCs w:val="21"/>
          <w:highlight w:val="none"/>
        </w:rPr>
        <w:t>采购需求偏离表</w:t>
      </w:r>
      <w:r>
        <w:rPr>
          <w:rFonts w:ascii="Arial" w:hAnsi="Arial" w:cs="Arial"/>
          <w:b/>
          <w:bCs/>
          <w:color w:val="auto"/>
          <w:kern w:val="0"/>
          <w:szCs w:val="21"/>
          <w:highlight w:val="none"/>
        </w:rPr>
        <w:t>格式</w:t>
      </w:r>
    </w:p>
    <w:p>
      <w:pPr>
        <w:widowControl/>
        <w:shd w:val="clear" w:color="auto" w:fill="FFFFFF"/>
        <w:spacing w:line="360" w:lineRule="auto"/>
        <w:ind w:left="435"/>
        <w:jc w:val="left"/>
        <w:rPr>
          <w:rFonts w:ascii="Arial" w:hAnsi="Arial" w:cs="Arial"/>
          <w:color w:val="auto"/>
          <w:kern w:val="0"/>
          <w:szCs w:val="21"/>
          <w:highlight w:val="none"/>
        </w:rPr>
      </w:pPr>
      <w:r>
        <w:rPr>
          <w:rFonts w:ascii="Arial" w:hAnsi="Arial" w:cs="Arial"/>
          <w:color w:val="auto"/>
          <w:kern w:val="0"/>
          <w:sz w:val="24"/>
          <w:highlight w:val="none"/>
        </w:rPr>
        <w:t> </w:t>
      </w:r>
    </w:p>
    <w:p>
      <w:pPr>
        <w:widowControl/>
        <w:shd w:val="clear" w:color="auto" w:fill="FFFFFF"/>
        <w:spacing w:line="360" w:lineRule="auto"/>
        <w:ind w:left="420"/>
        <w:jc w:val="center"/>
        <w:rPr>
          <w:rFonts w:ascii="Arial" w:hAnsi="Arial" w:cs="Arial"/>
          <w:b/>
          <w:color w:val="auto"/>
          <w:kern w:val="0"/>
          <w:szCs w:val="21"/>
          <w:highlight w:val="none"/>
        </w:rPr>
      </w:pPr>
      <w:r>
        <w:rPr>
          <w:rFonts w:hint="eastAsia" w:ascii="Arial" w:hAnsi="Arial" w:cs="Arial"/>
          <w:b/>
          <w:color w:val="auto"/>
          <w:kern w:val="0"/>
          <w:sz w:val="36"/>
          <w:szCs w:val="36"/>
          <w:highlight w:val="none"/>
        </w:rPr>
        <w:t>采购需求偏离表</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p>
    <w:p>
      <w:pPr>
        <w:widowControl/>
        <w:tabs>
          <w:tab w:val="left" w:pos="5397"/>
        </w:tabs>
        <w:spacing w:line="360" w:lineRule="auto"/>
        <w:ind w:firstLine="84" w:firstLineChars="40"/>
        <w:jc w:val="left"/>
        <w:rPr>
          <w:rFonts w:ascii="Arial" w:hAnsi="Arial" w:cs="Arial"/>
          <w:color w:val="auto"/>
          <w:kern w:val="0"/>
          <w:szCs w:val="21"/>
          <w:highlight w:val="none"/>
        </w:rPr>
      </w:pPr>
      <w:r>
        <w:rPr>
          <w:rFonts w:ascii="Arial" w:hAnsi="Arial" w:cs="Arial"/>
          <w:color w:val="auto"/>
          <w:kern w:val="0"/>
          <w:szCs w:val="21"/>
          <w:highlight w:val="none"/>
        </w:rPr>
        <w:t>项目名称：</w:t>
      </w:r>
      <w:r>
        <w:rPr>
          <w:rFonts w:ascii="Arial" w:hAnsi="Arial" w:cs="Arial"/>
          <w:color w:val="auto"/>
          <w:kern w:val="0"/>
          <w:szCs w:val="21"/>
          <w:highlight w:val="none"/>
        </w:rPr>
        <w:tab/>
      </w:r>
      <w:r>
        <w:rPr>
          <w:rFonts w:ascii="Arial" w:hAnsi="Arial" w:cs="Arial"/>
          <w:color w:val="auto"/>
          <w:kern w:val="0"/>
          <w:szCs w:val="21"/>
          <w:highlight w:val="none"/>
        </w:rPr>
        <w:t>项目编号：  </w:t>
      </w:r>
    </w:p>
    <w:tbl>
      <w:tblPr>
        <w:tblStyle w:val="44"/>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3012"/>
        <w:gridCol w:w="1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序号</w:t>
            </w:r>
          </w:p>
        </w:tc>
        <w:tc>
          <w:tcPr>
            <w:tcW w:w="1678"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招标文件条目号</w:t>
            </w:r>
          </w:p>
        </w:tc>
        <w:tc>
          <w:tcPr>
            <w:tcW w:w="1931"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highlight w:val="none"/>
              </w:rPr>
            </w:pPr>
            <w:r>
              <w:rPr>
                <w:rFonts w:hint="eastAsia" w:ascii="Arial" w:hAnsi="Arial" w:cs="Arial"/>
                <w:b/>
                <w:color w:val="auto"/>
                <w:kern w:val="0"/>
                <w:szCs w:val="21"/>
                <w:highlight w:val="none"/>
              </w:rPr>
              <w:t>条款内容</w:t>
            </w:r>
          </w:p>
        </w:tc>
        <w:tc>
          <w:tcPr>
            <w:tcW w:w="3012"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投标响应</w:t>
            </w:r>
          </w:p>
        </w:tc>
        <w:tc>
          <w:tcPr>
            <w:tcW w:w="1246"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93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1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46"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93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1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46"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93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1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46"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167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193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301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1246"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167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193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301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1246"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167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193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301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1246"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r>
    </w:tbl>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说明：</w:t>
      </w:r>
      <w:r>
        <w:rPr>
          <w:rFonts w:hint="eastAsia" w:ascii="Arial" w:hAnsi="Arial" w:cs="Arial"/>
          <w:color w:val="auto"/>
          <w:kern w:val="0"/>
          <w:szCs w:val="21"/>
          <w:highlight w:val="none"/>
        </w:rPr>
        <w:t>投标文件采购需求部分内容响应存在正偏离或负偏离的，请在本表中逐条列出。未列出的，视为响应招标文件要求。</w:t>
      </w:r>
      <w:r>
        <w:rPr>
          <w:rFonts w:ascii="Arial" w:hAnsi="Arial" w:cs="Arial"/>
          <w:color w:val="auto"/>
          <w:kern w:val="0"/>
          <w:szCs w:val="21"/>
          <w:highlight w:val="none"/>
        </w:rPr>
        <w:t>如果行数不够，请自行增加。</w:t>
      </w: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投标单位（盖章）：</w:t>
      </w:r>
      <w:r>
        <w:rPr>
          <w:rFonts w:ascii="Arial" w:hAnsi="Arial" w:cs="Arial"/>
          <w:color w:val="auto"/>
          <w:kern w:val="0"/>
          <w:szCs w:val="21"/>
          <w:highlight w:val="none"/>
          <w:u w:val="single"/>
        </w:rPr>
        <w:t>                             </w:t>
      </w:r>
      <w:r>
        <w:rPr>
          <w:rFonts w:ascii="Arial" w:hAnsi="Arial" w:cs="Arial"/>
          <w:color w:val="auto"/>
          <w:kern w:val="0"/>
          <w:szCs w:val="21"/>
          <w:highlight w:val="none"/>
        </w:rPr>
        <w:t xml:space="preserve"> </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法定代表人或授权代表（签字</w:t>
      </w:r>
      <w:r>
        <w:rPr>
          <w:rFonts w:hint="eastAsia" w:ascii="Arial" w:hAnsi="Arial" w:cs="Arial"/>
          <w:color w:val="auto"/>
          <w:kern w:val="0"/>
          <w:szCs w:val="21"/>
          <w:highlight w:val="none"/>
        </w:rPr>
        <w:t>或签章</w:t>
      </w:r>
      <w:r>
        <w:rPr>
          <w:rFonts w:ascii="Arial" w:hAnsi="Arial" w:cs="Arial"/>
          <w:color w:val="auto"/>
          <w:kern w:val="0"/>
          <w:szCs w:val="21"/>
          <w:highlight w:val="none"/>
        </w:rPr>
        <w:t>）：</w:t>
      </w:r>
      <w:r>
        <w:rPr>
          <w:rFonts w:ascii="Arial" w:hAnsi="Arial" w:cs="Arial"/>
          <w:color w:val="auto"/>
          <w:kern w:val="0"/>
          <w:szCs w:val="21"/>
          <w:highlight w:val="none"/>
          <w:u w:val="single"/>
        </w:rPr>
        <w:t>                              </w:t>
      </w: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b/>
          <w:bCs/>
          <w:color w:val="auto"/>
          <w:kern w:val="0"/>
          <w:szCs w:val="21"/>
          <w:highlight w:val="none"/>
        </w:rPr>
        <w:br w:type="page"/>
      </w:r>
      <w:r>
        <w:rPr>
          <w:rFonts w:ascii="Arial" w:hAnsi="Arial" w:cs="Arial"/>
          <w:b/>
          <w:bCs/>
          <w:color w:val="auto"/>
          <w:kern w:val="0"/>
          <w:szCs w:val="21"/>
          <w:highlight w:val="none"/>
        </w:rPr>
        <w:t>附件</w:t>
      </w:r>
      <w:r>
        <w:rPr>
          <w:rFonts w:hint="eastAsia" w:ascii="Arial" w:hAnsi="Arial" w:cs="Arial"/>
          <w:b/>
          <w:bCs/>
          <w:color w:val="auto"/>
          <w:kern w:val="0"/>
          <w:szCs w:val="21"/>
          <w:highlight w:val="none"/>
        </w:rPr>
        <w:t>五</w:t>
      </w:r>
      <w:r>
        <w:rPr>
          <w:rFonts w:ascii="Arial" w:hAnsi="Arial" w:cs="Arial"/>
          <w:b/>
          <w:bCs/>
          <w:color w:val="auto"/>
          <w:kern w:val="0"/>
          <w:szCs w:val="21"/>
          <w:highlight w:val="none"/>
        </w:rPr>
        <w:t>、</w:t>
      </w:r>
      <w:r>
        <w:rPr>
          <w:rFonts w:hint="eastAsia" w:ascii="Arial" w:hAnsi="Arial" w:cs="Arial"/>
          <w:b/>
          <w:bCs/>
          <w:color w:val="auto"/>
          <w:kern w:val="0"/>
          <w:szCs w:val="21"/>
          <w:highlight w:val="none"/>
        </w:rPr>
        <w:t>商务</w:t>
      </w:r>
      <w:r>
        <w:rPr>
          <w:rFonts w:ascii="Arial" w:hAnsi="Arial" w:cs="Arial"/>
          <w:b/>
          <w:bCs/>
          <w:color w:val="auto"/>
          <w:kern w:val="0"/>
          <w:szCs w:val="21"/>
          <w:highlight w:val="none"/>
        </w:rPr>
        <w:t>条款偏离表格式</w:t>
      </w:r>
    </w:p>
    <w:p>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color w:val="auto"/>
          <w:kern w:val="0"/>
          <w:szCs w:val="21"/>
          <w:highlight w:val="none"/>
        </w:rPr>
        <w:t> </w:t>
      </w:r>
    </w:p>
    <w:p>
      <w:pPr>
        <w:widowControl/>
        <w:shd w:val="clear" w:color="auto" w:fill="FFFFFF"/>
        <w:spacing w:line="360" w:lineRule="auto"/>
        <w:ind w:left="420"/>
        <w:jc w:val="center"/>
        <w:rPr>
          <w:rFonts w:ascii="Arial" w:hAnsi="Arial" w:cs="Arial"/>
          <w:b/>
          <w:color w:val="auto"/>
          <w:kern w:val="0"/>
          <w:szCs w:val="21"/>
          <w:highlight w:val="none"/>
        </w:rPr>
      </w:pPr>
      <w:r>
        <w:rPr>
          <w:rFonts w:hint="eastAsia" w:ascii="Arial" w:hAnsi="Arial" w:cs="Arial"/>
          <w:b/>
          <w:color w:val="auto"/>
          <w:kern w:val="0"/>
          <w:sz w:val="36"/>
          <w:szCs w:val="36"/>
          <w:highlight w:val="none"/>
        </w:rPr>
        <w:t>商务</w:t>
      </w:r>
      <w:r>
        <w:rPr>
          <w:rFonts w:ascii="Arial" w:hAnsi="Arial" w:cs="Arial"/>
          <w:b/>
          <w:color w:val="auto"/>
          <w:kern w:val="0"/>
          <w:sz w:val="36"/>
          <w:szCs w:val="36"/>
          <w:highlight w:val="none"/>
        </w:rPr>
        <w:t>条款偏离表</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 w:val="24"/>
          <w:highlight w:val="none"/>
        </w:rPr>
        <w:t> </w:t>
      </w:r>
    </w:p>
    <w:p>
      <w:pPr>
        <w:widowControl/>
        <w:tabs>
          <w:tab w:val="left" w:pos="5366"/>
        </w:tabs>
        <w:spacing w:line="360" w:lineRule="auto"/>
        <w:ind w:firstLine="96" w:firstLineChars="46"/>
        <w:jc w:val="left"/>
        <w:rPr>
          <w:rFonts w:ascii="Arial" w:hAnsi="Arial" w:cs="Arial"/>
          <w:color w:val="auto"/>
          <w:kern w:val="0"/>
          <w:szCs w:val="21"/>
          <w:highlight w:val="none"/>
        </w:rPr>
      </w:pPr>
      <w:r>
        <w:rPr>
          <w:rFonts w:ascii="Arial" w:hAnsi="Arial" w:cs="Arial"/>
          <w:color w:val="auto"/>
          <w:kern w:val="0"/>
          <w:szCs w:val="21"/>
          <w:highlight w:val="none"/>
        </w:rPr>
        <w:t>项目名称：</w:t>
      </w:r>
      <w:r>
        <w:rPr>
          <w:rFonts w:ascii="Arial" w:hAnsi="Arial" w:cs="Arial"/>
          <w:color w:val="auto"/>
          <w:kern w:val="0"/>
          <w:szCs w:val="21"/>
          <w:highlight w:val="none"/>
        </w:rPr>
        <w:tab/>
      </w:r>
      <w:r>
        <w:rPr>
          <w:rFonts w:ascii="Arial" w:hAnsi="Arial" w:cs="Arial"/>
          <w:color w:val="auto"/>
          <w:kern w:val="0"/>
          <w:szCs w:val="21"/>
          <w:highlight w:val="none"/>
        </w:rPr>
        <w:t>项目编号：         </w:t>
      </w:r>
    </w:p>
    <w:tbl>
      <w:tblPr>
        <w:tblStyle w:val="4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序号</w:t>
            </w:r>
          </w:p>
        </w:tc>
        <w:tc>
          <w:tcPr>
            <w:tcW w:w="1679"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招标文件条目号</w:t>
            </w:r>
          </w:p>
        </w:tc>
        <w:tc>
          <w:tcPr>
            <w:tcW w:w="2488"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highlight w:val="none"/>
              </w:rPr>
            </w:pPr>
            <w:r>
              <w:rPr>
                <w:rFonts w:hint="eastAsia" w:ascii="Arial" w:hAnsi="Arial" w:cs="Arial"/>
                <w:b/>
                <w:color w:val="auto"/>
                <w:kern w:val="0"/>
                <w:szCs w:val="21"/>
                <w:highlight w:val="none"/>
              </w:rPr>
              <w:t>条款内容</w:t>
            </w:r>
          </w:p>
        </w:tc>
        <w:tc>
          <w:tcPr>
            <w:tcW w:w="3004"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投标响应</w:t>
            </w:r>
          </w:p>
        </w:tc>
        <w:tc>
          <w:tcPr>
            <w:tcW w:w="1201"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highlight w:val="none"/>
              </w:rPr>
            </w:pPr>
          </w:p>
        </w:tc>
      </w:tr>
    </w:tbl>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说明：</w:t>
      </w:r>
      <w:r>
        <w:rPr>
          <w:rFonts w:hint="eastAsia" w:ascii="Arial" w:hAnsi="Arial" w:cs="Arial"/>
          <w:color w:val="auto"/>
          <w:kern w:val="0"/>
          <w:szCs w:val="21"/>
          <w:highlight w:val="none"/>
        </w:rPr>
        <w:t>投标文件商务部分内容响应存在正偏离或负偏离的，请在本表中逐条列出。未列出的，视为响应招标文件要求。</w:t>
      </w:r>
      <w:r>
        <w:rPr>
          <w:rFonts w:ascii="Arial" w:hAnsi="Arial" w:cs="Arial"/>
          <w:color w:val="auto"/>
          <w:kern w:val="0"/>
          <w:szCs w:val="21"/>
          <w:highlight w:val="none"/>
        </w:rPr>
        <w:t>如果行数不够，请自行增加。</w:t>
      </w: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投标单位（盖章）：</w:t>
      </w:r>
      <w:r>
        <w:rPr>
          <w:rFonts w:ascii="Arial" w:hAnsi="Arial" w:cs="Arial"/>
          <w:color w:val="auto"/>
          <w:kern w:val="0"/>
          <w:szCs w:val="21"/>
          <w:highlight w:val="none"/>
          <w:u w:val="single"/>
        </w:rPr>
        <w:t>                             </w:t>
      </w:r>
      <w:r>
        <w:rPr>
          <w:rFonts w:ascii="Arial" w:hAnsi="Arial" w:cs="Arial"/>
          <w:color w:val="auto"/>
          <w:kern w:val="0"/>
          <w:szCs w:val="21"/>
          <w:highlight w:val="none"/>
        </w:rPr>
        <w:t xml:space="preserve"> </w:t>
      </w:r>
    </w:p>
    <w:p>
      <w:pPr>
        <w:widowControl/>
        <w:shd w:val="clear" w:color="auto" w:fill="FFFFFF"/>
        <w:spacing w:line="360" w:lineRule="auto"/>
        <w:jc w:val="left"/>
        <w:rPr>
          <w:rFonts w:ascii="Arial" w:hAnsi="Arial" w:cs="Arial"/>
          <w:color w:val="auto"/>
          <w:kern w:val="0"/>
          <w:szCs w:val="21"/>
          <w:highlight w:val="none"/>
          <w:u w:val="single"/>
        </w:rPr>
      </w:pPr>
      <w:r>
        <w:rPr>
          <w:rFonts w:ascii="Arial" w:hAnsi="Arial" w:cs="Arial"/>
          <w:color w:val="auto"/>
          <w:kern w:val="0"/>
          <w:szCs w:val="21"/>
          <w:highlight w:val="none"/>
        </w:rPr>
        <w:t>法定代表人或授权代表（签字</w:t>
      </w:r>
      <w:r>
        <w:rPr>
          <w:rFonts w:hint="eastAsia" w:ascii="Arial" w:hAnsi="Arial" w:cs="Arial"/>
          <w:color w:val="auto"/>
          <w:kern w:val="0"/>
          <w:szCs w:val="21"/>
          <w:highlight w:val="none"/>
        </w:rPr>
        <w:t>或签章</w:t>
      </w:r>
      <w:r>
        <w:rPr>
          <w:rFonts w:ascii="Arial" w:hAnsi="Arial" w:cs="Arial"/>
          <w:color w:val="auto"/>
          <w:kern w:val="0"/>
          <w:szCs w:val="21"/>
          <w:highlight w:val="none"/>
        </w:rPr>
        <w:t>）：</w:t>
      </w:r>
      <w:r>
        <w:rPr>
          <w:rFonts w:ascii="Arial" w:hAnsi="Arial" w:cs="Arial"/>
          <w:color w:val="auto"/>
          <w:kern w:val="0"/>
          <w:szCs w:val="21"/>
          <w:highlight w:val="none"/>
          <w:u w:val="single"/>
        </w:rPr>
        <w:t>                              </w:t>
      </w: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p>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b/>
          <w:color w:val="auto"/>
          <w:szCs w:val="21"/>
          <w:highlight w:val="none"/>
          <w:lang w:val="zh-CN"/>
        </w:rPr>
      </w:pPr>
      <w:r>
        <w:rPr>
          <w:rFonts w:ascii="Arial" w:hAnsi="Arial" w:cs="Arial"/>
          <w:b/>
          <w:bCs/>
          <w:color w:val="auto"/>
          <w:kern w:val="0"/>
          <w:szCs w:val="21"/>
          <w:highlight w:val="none"/>
        </w:rPr>
        <w:br w:type="page"/>
      </w:r>
      <w:r>
        <w:rPr>
          <w:rFonts w:ascii="Arial" w:hAnsi="Arial" w:cs="Arial"/>
          <w:b/>
          <w:bCs/>
          <w:color w:val="auto"/>
          <w:kern w:val="0"/>
          <w:szCs w:val="21"/>
          <w:highlight w:val="none"/>
        </w:rPr>
        <w:t>附件</w:t>
      </w:r>
      <w:r>
        <w:rPr>
          <w:rFonts w:hint="eastAsia" w:ascii="Arial" w:hAnsi="Arial" w:cs="Arial"/>
          <w:b/>
          <w:bCs/>
          <w:color w:val="auto"/>
          <w:kern w:val="0"/>
          <w:szCs w:val="21"/>
          <w:highlight w:val="none"/>
        </w:rPr>
        <w:t>六</w:t>
      </w:r>
      <w:r>
        <w:rPr>
          <w:rFonts w:ascii="Arial" w:hAnsi="Arial" w:cs="Arial"/>
          <w:b/>
          <w:bCs/>
          <w:color w:val="auto"/>
          <w:kern w:val="0"/>
          <w:szCs w:val="21"/>
          <w:highlight w:val="none"/>
        </w:rPr>
        <w:t>、</w:t>
      </w:r>
      <w:r>
        <w:rPr>
          <w:rFonts w:ascii="Arial" w:hAnsi="Arial" w:cs="Arial"/>
          <w:b/>
          <w:color w:val="auto"/>
          <w:szCs w:val="21"/>
          <w:highlight w:val="none"/>
          <w:lang w:val="zh-CN"/>
        </w:rPr>
        <w:t>技术说明与服务方案</w:t>
      </w:r>
    </w:p>
    <w:p>
      <w:pPr>
        <w:widowControl/>
        <w:shd w:val="clear" w:color="auto" w:fill="FFFFFF"/>
        <w:spacing w:line="360" w:lineRule="auto"/>
        <w:jc w:val="left"/>
        <w:rPr>
          <w:rFonts w:ascii="Arial" w:hAnsi="Arial" w:cs="Arial"/>
          <w:b/>
          <w:color w:val="auto"/>
          <w:szCs w:val="21"/>
          <w:highlight w:val="none"/>
          <w:lang w:val="zh-CN"/>
        </w:rPr>
      </w:pPr>
    </w:p>
    <w:p>
      <w:pPr>
        <w:pStyle w:val="182"/>
        <w:snapToGrid w:val="0"/>
        <w:spacing w:before="0" w:after="0"/>
        <w:ind w:firstLine="420" w:firstLineChars="200"/>
        <w:rPr>
          <w:rFonts w:cs="Arial"/>
          <w:color w:val="auto"/>
          <w:kern w:val="2"/>
          <w:sz w:val="21"/>
          <w:szCs w:val="21"/>
          <w:highlight w:val="none"/>
        </w:rPr>
      </w:pPr>
      <w:r>
        <w:rPr>
          <w:rFonts w:cs="Arial"/>
          <w:color w:val="auto"/>
          <w:kern w:val="2"/>
          <w:sz w:val="21"/>
          <w:szCs w:val="21"/>
          <w:highlight w:val="none"/>
        </w:rPr>
        <w:t>技术方案及服务承诺应根据</w:t>
      </w:r>
      <w:r>
        <w:rPr>
          <w:rFonts w:hint="eastAsia" w:cs="Arial"/>
          <w:color w:val="auto"/>
          <w:kern w:val="2"/>
          <w:sz w:val="21"/>
          <w:szCs w:val="21"/>
          <w:highlight w:val="none"/>
        </w:rPr>
        <w:t>采购人</w:t>
      </w:r>
      <w:r>
        <w:rPr>
          <w:rFonts w:cs="Arial"/>
          <w:color w:val="auto"/>
          <w:kern w:val="2"/>
          <w:sz w:val="21"/>
          <w:szCs w:val="21"/>
          <w:highlight w:val="none"/>
        </w:rPr>
        <w:t>对项目的要求、评标标准的要求及项目本身的特点编写，内容应包括但不限于以下内容：</w:t>
      </w:r>
    </w:p>
    <w:p>
      <w:pPr>
        <w:pStyle w:val="182"/>
        <w:snapToGrid w:val="0"/>
        <w:spacing w:before="0" w:after="0"/>
        <w:ind w:firstLine="420" w:firstLineChars="200"/>
        <w:rPr>
          <w:rFonts w:cs="Arial"/>
          <w:color w:val="auto"/>
          <w:kern w:val="2"/>
          <w:sz w:val="21"/>
          <w:szCs w:val="21"/>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color w:val="auto"/>
          <w:kern w:val="0"/>
          <w:szCs w:val="21"/>
          <w:highlight w:val="none"/>
        </w:rPr>
      </w:pPr>
    </w:p>
    <w:p>
      <w:pPr>
        <w:widowControl/>
        <w:shd w:val="clear" w:color="auto" w:fill="FFFFFF"/>
        <w:spacing w:line="360" w:lineRule="auto"/>
        <w:jc w:val="left"/>
        <w:rPr>
          <w:rFonts w:ascii="Arial" w:hAnsi="Arial" w:cs="Arial"/>
          <w:b/>
          <w:bCs/>
          <w:color w:val="auto"/>
          <w:kern w:val="0"/>
          <w:szCs w:val="21"/>
          <w:highlight w:val="none"/>
        </w:rPr>
      </w:pPr>
      <w:r>
        <w:rPr>
          <w:rFonts w:ascii="Arial" w:hAnsi="Arial" w:cs="Arial"/>
          <w:b/>
          <w:bCs/>
          <w:color w:val="auto"/>
          <w:kern w:val="0"/>
          <w:szCs w:val="21"/>
          <w:highlight w:val="none"/>
        </w:rPr>
        <w:t> </w:t>
      </w:r>
    </w:p>
    <w:p>
      <w:pPr>
        <w:widowControl/>
        <w:adjustRightInd w:val="0"/>
        <w:spacing w:line="460" w:lineRule="atLeast"/>
        <w:rPr>
          <w:rFonts w:ascii="Arial" w:hAnsi="Arial" w:cs="Arial"/>
          <w:b/>
          <w:bCs/>
          <w:color w:val="auto"/>
          <w:kern w:val="0"/>
          <w:sz w:val="24"/>
          <w:highlight w:val="none"/>
        </w:rPr>
      </w:pPr>
      <w:r>
        <w:rPr>
          <w:rFonts w:ascii="Arial" w:hAnsi="Arial" w:cs="Arial"/>
          <w:color w:val="auto"/>
          <w:highlight w:val="none"/>
        </w:rPr>
        <w:br w:type="page"/>
      </w:r>
      <w:r>
        <w:rPr>
          <w:rFonts w:ascii="Arial" w:hAnsi="Arial" w:cs="Arial"/>
          <w:b/>
          <w:bCs/>
          <w:color w:val="auto"/>
          <w:kern w:val="0"/>
          <w:sz w:val="24"/>
          <w:highlight w:val="none"/>
        </w:rPr>
        <w:t>附件</w:t>
      </w:r>
      <w:r>
        <w:rPr>
          <w:rFonts w:hint="eastAsia" w:ascii="Arial" w:hAnsi="Arial" w:cs="Arial"/>
          <w:b/>
          <w:bCs/>
          <w:color w:val="auto"/>
          <w:kern w:val="0"/>
          <w:sz w:val="24"/>
          <w:highlight w:val="none"/>
        </w:rPr>
        <w:t>七</w:t>
      </w:r>
      <w:r>
        <w:rPr>
          <w:rFonts w:ascii="Arial" w:hAnsi="Arial" w:cs="Arial"/>
          <w:b/>
          <w:bCs/>
          <w:color w:val="auto"/>
          <w:kern w:val="0"/>
          <w:sz w:val="24"/>
          <w:highlight w:val="none"/>
        </w:rPr>
        <w:t>、拟参与本项目服务人员一览表</w:t>
      </w:r>
    </w:p>
    <w:p>
      <w:pPr>
        <w:widowControl/>
        <w:adjustRightInd w:val="0"/>
        <w:spacing w:line="460" w:lineRule="atLeast"/>
        <w:rPr>
          <w:rFonts w:ascii="Arial" w:hAnsi="Arial" w:cs="Arial"/>
          <w:b/>
          <w:bCs/>
          <w:color w:val="auto"/>
          <w:kern w:val="0"/>
          <w:sz w:val="24"/>
          <w:highlight w:val="none"/>
        </w:rPr>
      </w:pPr>
    </w:p>
    <w:p>
      <w:pPr>
        <w:widowControl/>
        <w:adjustRightInd w:val="0"/>
        <w:jc w:val="center"/>
        <w:rPr>
          <w:rFonts w:ascii="Arial" w:hAnsi="Arial" w:cs="Arial"/>
          <w:b/>
          <w:bCs/>
          <w:color w:val="auto"/>
          <w:kern w:val="0"/>
          <w:sz w:val="24"/>
          <w:highlight w:val="none"/>
        </w:rPr>
      </w:pPr>
      <w:r>
        <w:rPr>
          <w:rFonts w:ascii="Arial" w:hAnsi="Arial" w:cs="Arial"/>
          <w:b/>
          <w:bCs/>
          <w:color w:val="auto"/>
          <w:kern w:val="0"/>
          <w:sz w:val="24"/>
          <w:highlight w:val="none"/>
        </w:rPr>
        <w:t>拟参与本项目服务人员一览表</w:t>
      </w:r>
    </w:p>
    <w:p>
      <w:pPr>
        <w:widowControl/>
        <w:adjustRightInd w:val="0"/>
        <w:jc w:val="center"/>
        <w:rPr>
          <w:rFonts w:ascii="Arial" w:hAnsi="Arial" w:cs="Arial"/>
          <w:b/>
          <w:bCs/>
          <w:color w:val="auto"/>
          <w:kern w:val="0"/>
          <w:sz w:val="24"/>
          <w:highlight w:val="none"/>
        </w:rPr>
      </w:pPr>
    </w:p>
    <w:p>
      <w:pPr>
        <w:widowControl/>
        <w:adjustRightInd w:val="0"/>
        <w:rPr>
          <w:rFonts w:ascii="Arial" w:hAnsi="Arial" w:cs="Arial"/>
          <w:color w:val="auto"/>
          <w:kern w:val="0"/>
          <w:szCs w:val="21"/>
          <w:highlight w:val="none"/>
        </w:rPr>
      </w:pPr>
      <w:r>
        <w:rPr>
          <w:rFonts w:ascii="Arial" w:hAnsi="Arial" w:cs="Arial"/>
          <w:color w:val="auto"/>
          <w:kern w:val="0"/>
          <w:szCs w:val="21"/>
          <w:highlight w:val="none"/>
        </w:rPr>
        <w:t>项目名称：                                 项目编号：</w:t>
      </w:r>
    </w:p>
    <w:tbl>
      <w:tblPr>
        <w:tblStyle w:val="44"/>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执业</w:t>
            </w:r>
          </w:p>
          <w:p>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备注</w:t>
            </w: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highlight w:val="none"/>
              </w:rPr>
            </w:pPr>
          </w:p>
        </w:tc>
      </w:tr>
    </w:tbl>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投标单位（盖章）：</w:t>
      </w:r>
      <w:r>
        <w:rPr>
          <w:rFonts w:ascii="Arial" w:hAnsi="Arial" w:cs="Arial"/>
          <w:color w:val="auto"/>
          <w:kern w:val="0"/>
          <w:szCs w:val="21"/>
          <w:highlight w:val="none"/>
          <w:u w:val="single"/>
        </w:rPr>
        <w:t>                             </w:t>
      </w:r>
      <w:r>
        <w:rPr>
          <w:rFonts w:ascii="Arial" w:hAnsi="Arial" w:cs="Arial"/>
          <w:color w:val="auto"/>
          <w:kern w:val="0"/>
          <w:szCs w:val="21"/>
          <w:highlight w:val="none"/>
        </w:rPr>
        <w:t xml:space="preserve"> </w:t>
      </w:r>
    </w:p>
    <w:p>
      <w:pPr>
        <w:widowControl/>
        <w:shd w:val="clear" w:color="auto" w:fill="FFFFFF"/>
        <w:spacing w:line="360" w:lineRule="auto"/>
        <w:jc w:val="left"/>
        <w:rPr>
          <w:rFonts w:ascii="Arial" w:hAnsi="Arial" w:cs="Arial"/>
          <w:color w:val="auto"/>
          <w:kern w:val="0"/>
          <w:szCs w:val="21"/>
          <w:highlight w:val="none"/>
          <w:u w:val="single"/>
        </w:rPr>
      </w:pPr>
      <w:r>
        <w:rPr>
          <w:rFonts w:ascii="Arial" w:hAnsi="Arial" w:cs="Arial"/>
          <w:color w:val="auto"/>
          <w:kern w:val="0"/>
          <w:szCs w:val="21"/>
          <w:highlight w:val="none"/>
        </w:rPr>
        <w:t>法定代表人或授权代表（签字</w:t>
      </w:r>
      <w:r>
        <w:rPr>
          <w:rFonts w:hint="eastAsia" w:ascii="Arial" w:hAnsi="Arial" w:cs="Arial"/>
          <w:color w:val="auto"/>
          <w:kern w:val="0"/>
          <w:szCs w:val="21"/>
          <w:highlight w:val="none"/>
        </w:rPr>
        <w:t>或签章</w:t>
      </w:r>
      <w:r>
        <w:rPr>
          <w:rFonts w:ascii="Arial" w:hAnsi="Arial" w:cs="Arial"/>
          <w:color w:val="auto"/>
          <w:kern w:val="0"/>
          <w:szCs w:val="21"/>
          <w:highlight w:val="none"/>
        </w:rPr>
        <w:t>）：</w:t>
      </w:r>
      <w:r>
        <w:rPr>
          <w:rFonts w:ascii="Arial" w:hAnsi="Arial" w:cs="Arial"/>
          <w:color w:val="auto"/>
          <w:kern w:val="0"/>
          <w:szCs w:val="21"/>
          <w:highlight w:val="none"/>
          <w:u w:val="single"/>
        </w:rPr>
        <w:t>                              </w:t>
      </w:r>
    </w:p>
    <w:p>
      <w:pPr>
        <w:widowControl/>
        <w:adjustRightInd w:val="0"/>
        <w:rPr>
          <w:rFonts w:ascii="Arial" w:hAnsi="Arial" w:cs="Arial"/>
          <w:color w:val="auto"/>
          <w:kern w:val="0"/>
          <w:szCs w:val="21"/>
          <w:highlight w:val="none"/>
        </w:rPr>
      </w:pPr>
    </w:p>
    <w:p>
      <w:pPr>
        <w:widowControl/>
        <w:adjustRightInd w:val="0"/>
        <w:rPr>
          <w:rFonts w:ascii="Arial" w:hAnsi="Arial" w:cs="Arial"/>
          <w:b/>
          <w:bCs/>
          <w:color w:val="auto"/>
          <w:kern w:val="0"/>
          <w:szCs w:val="21"/>
          <w:highlight w:val="none"/>
        </w:rPr>
      </w:pPr>
    </w:p>
    <w:p>
      <w:pPr>
        <w:widowControl/>
        <w:adjustRightInd w:val="0"/>
        <w:spacing w:line="360" w:lineRule="auto"/>
        <w:rPr>
          <w:rFonts w:ascii="Arial" w:hAnsi="Arial" w:cs="Arial"/>
          <w:b/>
          <w:bCs/>
          <w:color w:val="auto"/>
          <w:kern w:val="0"/>
          <w:sz w:val="24"/>
          <w:highlight w:val="none"/>
        </w:rPr>
      </w:pPr>
      <w:r>
        <w:rPr>
          <w:rFonts w:ascii="Arial" w:hAnsi="Arial" w:cs="Arial"/>
          <w:b/>
          <w:bCs/>
          <w:color w:val="auto"/>
          <w:kern w:val="0"/>
          <w:sz w:val="24"/>
          <w:highlight w:val="none"/>
        </w:rPr>
        <w:br w:type="page"/>
      </w:r>
      <w:r>
        <w:rPr>
          <w:rFonts w:ascii="Arial" w:hAnsi="Arial" w:cs="Arial"/>
          <w:b/>
          <w:bCs/>
          <w:color w:val="auto"/>
          <w:kern w:val="0"/>
          <w:sz w:val="24"/>
          <w:highlight w:val="none"/>
        </w:rPr>
        <w:t>附件</w:t>
      </w:r>
      <w:r>
        <w:rPr>
          <w:rFonts w:hint="eastAsia" w:ascii="Arial" w:hAnsi="Arial" w:cs="Arial"/>
          <w:b/>
          <w:bCs/>
          <w:color w:val="auto"/>
          <w:kern w:val="0"/>
          <w:sz w:val="24"/>
          <w:highlight w:val="none"/>
        </w:rPr>
        <w:t>八</w:t>
      </w:r>
      <w:r>
        <w:rPr>
          <w:rFonts w:ascii="Arial" w:hAnsi="Arial" w:cs="Arial"/>
          <w:b/>
          <w:bCs/>
          <w:color w:val="auto"/>
          <w:kern w:val="0"/>
          <w:sz w:val="24"/>
          <w:highlight w:val="none"/>
        </w:rPr>
        <w:t>、 投标人类似业绩情况表</w:t>
      </w:r>
    </w:p>
    <w:p>
      <w:pPr>
        <w:widowControl/>
        <w:adjustRightInd w:val="0"/>
        <w:spacing w:line="360" w:lineRule="auto"/>
        <w:jc w:val="center"/>
        <w:rPr>
          <w:rFonts w:ascii="Arial" w:hAnsi="Arial" w:cs="Arial"/>
          <w:b/>
          <w:bCs/>
          <w:color w:val="auto"/>
          <w:kern w:val="0"/>
          <w:sz w:val="24"/>
          <w:highlight w:val="none"/>
        </w:rPr>
      </w:pPr>
    </w:p>
    <w:p>
      <w:pPr>
        <w:widowControl/>
        <w:adjustRightInd w:val="0"/>
        <w:spacing w:line="360" w:lineRule="auto"/>
        <w:jc w:val="center"/>
        <w:rPr>
          <w:rFonts w:ascii="Arial" w:hAnsi="Arial" w:cs="Arial"/>
          <w:b/>
          <w:bCs/>
          <w:color w:val="auto"/>
          <w:kern w:val="0"/>
          <w:sz w:val="24"/>
          <w:highlight w:val="none"/>
        </w:rPr>
      </w:pPr>
      <w:r>
        <w:rPr>
          <w:rFonts w:ascii="Arial" w:hAnsi="Arial" w:cs="Arial"/>
          <w:b/>
          <w:bCs/>
          <w:color w:val="auto"/>
          <w:kern w:val="0"/>
          <w:sz w:val="24"/>
          <w:highlight w:val="none"/>
        </w:rPr>
        <w:t>投标人类似业绩情况表</w:t>
      </w:r>
    </w:p>
    <w:tbl>
      <w:tblPr>
        <w:tblStyle w:val="44"/>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项目</w:t>
            </w:r>
          </w:p>
          <w:p>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获奖</w:t>
            </w:r>
          </w:p>
          <w:p>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签约及服务</w:t>
            </w:r>
          </w:p>
          <w:p>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备注</w:t>
            </w: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ind w:firstLine="120"/>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highlight w:val="none"/>
              </w:rPr>
            </w:pPr>
          </w:p>
        </w:tc>
      </w:tr>
    </w:tbl>
    <w:p>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投标单位（盖章）：</w:t>
      </w:r>
      <w:r>
        <w:rPr>
          <w:rFonts w:ascii="Arial" w:hAnsi="Arial" w:cs="Arial"/>
          <w:color w:val="auto"/>
          <w:kern w:val="0"/>
          <w:szCs w:val="21"/>
          <w:highlight w:val="none"/>
          <w:u w:val="single"/>
        </w:rPr>
        <w:t>                             </w:t>
      </w:r>
      <w:r>
        <w:rPr>
          <w:rFonts w:ascii="Arial" w:hAnsi="Arial" w:cs="Arial"/>
          <w:color w:val="auto"/>
          <w:kern w:val="0"/>
          <w:szCs w:val="21"/>
          <w:highlight w:val="none"/>
        </w:rPr>
        <w:t xml:space="preserve"> </w:t>
      </w:r>
    </w:p>
    <w:p>
      <w:pPr>
        <w:widowControl/>
        <w:shd w:val="clear" w:color="auto" w:fill="FFFFFF"/>
        <w:spacing w:line="360" w:lineRule="auto"/>
        <w:jc w:val="left"/>
        <w:rPr>
          <w:rFonts w:ascii="Arial" w:hAnsi="Arial" w:cs="Arial"/>
          <w:color w:val="auto"/>
          <w:kern w:val="0"/>
          <w:szCs w:val="21"/>
          <w:highlight w:val="none"/>
          <w:u w:val="single"/>
        </w:rPr>
      </w:pPr>
      <w:r>
        <w:rPr>
          <w:rFonts w:ascii="Arial" w:hAnsi="Arial" w:cs="Arial"/>
          <w:color w:val="auto"/>
          <w:kern w:val="0"/>
          <w:szCs w:val="21"/>
          <w:highlight w:val="none"/>
        </w:rPr>
        <w:t>法定代表人或授权代表（签字</w:t>
      </w:r>
      <w:r>
        <w:rPr>
          <w:rFonts w:hint="eastAsia" w:ascii="Arial" w:hAnsi="Arial" w:cs="Arial"/>
          <w:color w:val="auto"/>
          <w:kern w:val="0"/>
          <w:szCs w:val="21"/>
          <w:highlight w:val="none"/>
        </w:rPr>
        <w:t>或签章</w:t>
      </w:r>
      <w:r>
        <w:rPr>
          <w:rFonts w:ascii="Arial" w:hAnsi="Arial" w:cs="Arial"/>
          <w:color w:val="auto"/>
          <w:kern w:val="0"/>
          <w:szCs w:val="21"/>
          <w:highlight w:val="none"/>
        </w:rPr>
        <w:t>）：</w:t>
      </w:r>
      <w:r>
        <w:rPr>
          <w:rFonts w:ascii="Arial" w:hAnsi="Arial" w:cs="Arial"/>
          <w:color w:val="auto"/>
          <w:kern w:val="0"/>
          <w:szCs w:val="21"/>
          <w:highlight w:val="none"/>
          <w:u w:val="single"/>
        </w:rPr>
        <w:t>                              </w:t>
      </w:r>
    </w:p>
    <w:p>
      <w:pPr>
        <w:widowControl/>
        <w:adjustRightInd w:val="0"/>
        <w:spacing w:line="360" w:lineRule="auto"/>
        <w:rPr>
          <w:rFonts w:ascii="Arial" w:hAnsi="Arial" w:cs="Arial"/>
          <w:b/>
          <w:bCs/>
          <w:color w:val="auto"/>
          <w:kern w:val="0"/>
          <w:szCs w:val="21"/>
          <w:highlight w:val="none"/>
        </w:rPr>
      </w:pPr>
    </w:p>
    <w:p>
      <w:pPr>
        <w:widowControl/>
        <w:adjustRightInd w:val="0"/>
        <w:spacing w:line="360" w:lineRule="auto"/>
        <w:rPr>
          <w:rFonts w:ascii="Arial" w:hAnsi="Arial" w:cs="Arial"/>
          <w:b/>
          <w:bCs/>
          <w:color w:val="auto"/>
          <w:kern w:val="0"/>
          <w:szCs w:val="21"/>
          <w:highlight w:val="none"/>
        </w:rPr>
      </w:pPr>
    </w:p>
    <w:p>
      <w:pPr>
        <w:spacing w:line="360" w:lineRule="auto"/>
        <w:rPr>
          <w:rFonts w:ascii="Arial" w:hAnsi="Arial" w:cs="Arial"/>
          <w:color w:val="auto"/>
          <w:highlight w:val="none"/>
        </w:rPr>
      </w:pPr>
    </w:p>
    <w:p>
      <w:pPr>
        <w:spacing w:line="360" w:lineRule="auto"/>
        <w:rPr>
          <w:rFonts w:ascii="Arial" w:hAnsi="Arial" w:cs="Arial"/>
          <w:b/>
          <w:bCs/>
          <w:color w:val="auto"/>
          <w:highlight w:val="none"/>
        </w:rPr>
      </w:pPr>
      <w:r>
        <w:rPr>
          <w:rFonts w:ascii="Arial" w:hAnsi="Arial" w:cs="Arial"/>
          <w:b/>
          <w:color w:val="auto"/>
          <w:highlight w:val="none"/>
        </w:rPr>
        <w:br w:type="page"/>
      </w:r>
      <w:r>
        <w:rPr>
          <w:rFonts w:ascii="Arial" w:hAnsi="Arial" w:cs="Arial"/>
          <w:b/>
          <w:color w:val="auto"/>
          <w:highlight w:val="none"/>
        </w:rPr>
        <w:t>附件</w:t>
      </w:r>
      <w:r>
        <w:rPr>
          <w:rFonts w:hint="eastAsia" w:ascii="Arial" w:hAnsi="Arial" w:cs="Arial"/>
          <w:b/>
          <w:color w:val="auto"/>
          <w:highlight w:val="none"/>
        </w:rPr>
        <w:t>九</w:t>
      </w:r>
      <w:r>
        <w:rPr>
          <w:rFonts w:ascii="Arial" w:hAnsi="Arial" w:cs="Arial"/>
          <w:b/>
          <w:bCs/>
          <w:color w:val="auto"/>
          <w:highlight w:val="none"/>
        </w:rPr>
        <w:t>：企业声明函格式</w:t>
      </w:r>
    </w:p>
    <w:p>
      <w:pPr>
        <w:spacing w:before="312" w:beforeLines="100" w:line="480" w:lineRule="auto"/>
        <w:jc w:val="center"/>
        <w:rPr>
          <w:rFonts w:ascii="Arial" w:hAnsi="Arial" w:cs="Arial"/>
          <w:b/>
          <w:bCs/>
          <w:color w:val="auto"/>
          <w:sz w:val="28"/>
          <w:szCs w:val="28"/>
          <w:highlight w:val="none"/>
        </w:rPr>
      </w:pPr>
      <w:bookmarkStart w:id="33" w:name="OLE_LINK14"/>
      <w:bookmarkStart w:id="34" w:name="OLE_LINK13"/>
      <w:r>
        <w:rPr>
          <w:rFonts w:hint="eastAsia" w:ascii="宋体" w:hAnsi="宋体" w:cs="Arial"/>
          <w:b/>
          <w:bCs/>
          <w:color w:val="auto"/>
          <w:sz w:val="28"/>
          <w:szCs w:val="28"/>
          <w:highlight w:val="none"/>
        </w:rPr>
        <w:t>中小企业声明函（货物）</w:t>
      </w:r>
    </w:p>
    <w:p>
      <w:pPr>
        <w:widowControl/>
        <w:spacing w:line="440" w:lineRule="exact"/>
        <w:ind w:firstLine="420" w:firstLineChars="200"/>
        <w:jc w:val="left"/>
        <w:rPr>
          <w:rFonts w:ascii="宋体" w:hAnsi="宋体" w:cs="Arial"/>
          <w:color w:val="auto"/>
          <w:kern w:val="0"/>
          <w:highlight w:val="none"/>
        </w:rPr>
      </w:pPr>
    </w:p>
    <w:p>
      <w:pPr>
        <w:widowControl/>
        <w:spacing w:line="440" w:lineRule="exact"/>
        <w:ind w:firstLine="420" w:firstLineChars="200"/>
        <w:jc w:val="left"/>
        <w:rPr>
          <w:rFonts w:ascii="Arial" w:hAnsi="Arial" w:cs="Arial"/>
          <w:color w:val="auto"/>
          <w:kern w:val="0"/>
          <w:szCs w:val="21"/>
          <w:highlight w:val="none"/>
        </w:rPr>
      </w:pPr>
      <w:r>
        <w:rPr>
          <w:rFonts w:hint="eastAsia" w:ascii="宋体" w:hAnsi="宋体" w:cs="Arial"/>
          <w:color w:val="auto"/>
          <w:kern w:val="0"/>
          <w:highlight w:val="none"/>
        </w:rPr>
        <w:t>本公司（联合体）郑重声明，根据《政府采购促进中小企业发展管理办法》（财库〔</w:t>
      </w:r>
      <w:r>
        <w:rPr>
          <w:rFonts w:hint="eastAsia" w:ascii="Arial" w:hAnsi="Arial" w:cs="Arial"/>
          <w:color w:val="auto"/>
          <w:kern w:val="0"/>
          <w:highlight w:val="none"/>
        </w:rPr>
        <w:t>2020</w:t>
      </w:r>
      <w:r>
        <w:rPr>
          <w:rFonts w:hint="eastAsia"/>
          <w:color w:val="auto"/>
          <w:highlight w:val="none"/>
        </w:rPr>
        <w:t>〕</w:t>
      </w:r>
      <w:r>
        <w:rPr>
          <w:rFonts w:hint="eastAsia" w:ascii="宋体" w:hAnsi="宋体" w:cs="Arial"/>
          <w:color w:val="auto"/>
          <w:kern w:val="0"/>
          <w:highlight w:val="none"/>
        </w:rPr>
        <w:t xml:space="preserve">） </w:t>
      </w:r>
      <w:r>
        <w:rPr>
          <w:rFonts w:hint="eastAsia" w:ascii="Arial" w:hAnsi="Arial" w:cs="Arial"/>
          <w:color w:val="auto"/>
          <w:kern w:val="0"/>
          <w:highlight w:val="none"/>
        </w:rPr>
        <w:t>46</w:t>
      </w:r>
      <w:r>
        <w:rPr>
          <w:rFonts w:hint="eastAsia" w:ascii="宋体" w:hAnsi="宋体" w:cs="Arial"/>
          <w:color w:val="auto"/>
          <w:kern w:val="0"/>
          <w:highlight w:val="none"/>
        </w:rPr>
        <w:t>号）的规定，本公司 （联合体）参加（单位名称）的（项目名称）采购活动</w:t>
      </w:r>
      <w:r>
        <w:rPr>
          <w:rFonts w:hint="eastAsia" w:ascii="Arial" w:hAnsi="Arial" w:cs="Arial"/>
          <w:color w:val="auto"/>
          <w:kern w:val="0"/>
          <w:highlight w:val="none"/>
        </w:rPr>
        <w:t>,</w:t>
      </w:r>
      <w:r>
        <w:rPr>
          <w:rFonts w:hint="eastAsia" w:ascii="宋体" w:hAnsi="宋体" w:cs="Arial"/>
          <w:color w:val="auto"/>
          <w:kern w:val="0"/>
          <w:highlight w:val="none"/>
        </w:rPr>
        <w:t>提供的货物全部由符合政策要求的中小企业制造。相关企业（含联合体中的中小企业、签订分包意向协议的中小企业）的具体情况如下：</w:t>
      </w:r>
    </w:p>
    <w:p>
      <w:pPr>
        <w:widowControl/>
        <w:spacing w:line="440" w:lineRule="exact"/>
        <w:ind w:firstLine="420" w:firstLineChars="200"/>
        <w:jc w:val="left"/>
        <w:rPr>
          <w:rFonts w:ascii="Arial" w:hAnsi="Arial" w:cs="Arial"/>
          <w:color w:val="auto"/>
          <w:kern w:val="0"/>
          <w:highlight w:val="none"/>
        </w:rPr>
      </w:pPr>
      <w:r>
        <w:rPr>
          <w:rFonts w:hint="eastAsia" w:ascii="Arial" w:hAnsi="Arial" w:cs="Arial"/>
          <w:color w:val="auto"/>
          <w:kern w:val="0"/>
          <w:highlight w:val="none"/>
        </w:rPr>
        <w:t>1.</w:t>
      </w:r>
      <w:r>
        <w:rPr>
          <w:rFonts w:hint="eastAsia" w:ascii="宋体" w:hAnsi="宋体" w:cs="Arial"/>
          <w:color w:val="auto"/>
          <w:kern w:val="0"/>
          <w:highlight w:val="none"/>
          <w:u w:val="single"/>
        </w:rPr>
        <w:t>（标的名称）</w:t>
      </w:r>
      <w:r>
        <w:rPr>
          <w:rFonts w:hint="eastAsia" w:ascii="Arial" w:hAnsi="Arial" w:cs="Arial"/>
          <w:color w:val="auto"/>
          <w:kern w:val="0"/>
          <w:highlight w:val="none"/>
          <w:u w:val="single"/>
        </w:rPr>
        <w:t>,</w:t>
      </w:r>
      <w:r>
        <w:rPr>
          <w:rFonts w:hint="eastAsia" w:ascii="宋体" w:hAnsi="宋体" w:cs="Arial"/>
          <w:color w:val="auto"/>
          <w:kern w:val="0"/>
          <w:highlight w:val="none"/>
        </w:rPr>
        <w:t>属于</w:t>
      </w:r>
      <w:r>
        <w:rPr>
          <w:rFonts w:hint="eastAsia" w:ascii="宋体" w:hAnsi="宋体" w:cs="Arial"/>
          <w:color w:val="auto"/>
          <w:kern w:val="0"/>
          <w:highlight w:val="none"/>
          <w:u w:val="single"/>
        </w:rPr>
        <w:t>（采购文件中明确的所属行业）</w:t>
      </w:r>
      <w:r>
        <w:rPr>
          <w:rFonts w:hint="eastAsia" w:ascii="宋体" w:hAnsi="宋体" w:cs="Arial"/>
          <w:color w:val="auto"/>
          <w:kern w:val="0"/>
          <w:highlight w:val="none"/>
        </w:rPr>
        <w:t>行业</w:t>
      </w:r>
      <w:r>
        <w:rPr>
          <w:rFonts w:hint="eastAsia" w:ascii="Arial" w:hAnsi="Arial" w:cs="Arial"/>
          <w:color w:val="auto"/>
          <w:kern w:val="0"/>
          <w:highlight w:val="none"/>
        </w:rPr>
        <w:t>;</w:t>
      </w:r>
      <w:r>
        <w:rPr>
          <w:rFonts w:hint="eastAsia" w:ascii="宋体" w:hAnsi="宋体" w:cs="Arial"/>
          <w:color w:val="auto"/>
          <w:kern w:val="0"/>
          <w:highlight w:val="none"/>
        </w:rPr>
        <w:t>制造商为（企业名称）</w:t>
      </w:r>
      <w:r>
        <w:rPr>
          <w:rFonts w:hint="eastAsia" w:ascii="Arial" w:hAnsi="Arial" w:cs="Arial"/>
          <w:color w:val="auto"/>
          <w:kern w:val="0"/>
          <w:highlight w:val="none"/>
        </w:rPr>
        <w:t>,</w:t>
      </w:r>
      <w:r>
        <w:rPr>
          <w:rFonts w:hint="eastAsia" w:ascii="宋体" w:hAnsi="宋体" w:cs="Arial"/>
          <w:color w:val="auto"/>
          <w:kern w:val="0"/>
          <w:highlight w:val="none"/>
        </w:rPr>
        <w:t>从业人员</w:t>
      </w:r>
      <w:r>
        <w:rPr>
          <w:rFonts w:hint="eastAsia" w:ascii="Arial" w:hAnsi="Arial" w:cs="Arial"/>
          <w:color w:val="auto"/>
          <w:kern w:val="0"/>
          <w:highlight w:val="none"/>
          <w:u w:val="single"/>
        </w:rPr>
        <w:tab/>
      </w:r>
      <w:r>
        <w:rPr>
          <w:rFonts w:hint="eastAsia" w:ascii="宋体" w:hAnsi="宋体" w:cs="Arial"/>
          <w:color w:val="auto"/>
          <w:kern w:val="0"/>
          <w:highlight w:val="none"/>
          <w:u w:val="single"/>
        </w:rPr>
        <w:t>人</w:t>
      </w:r>
      <w:r>
        <w:rPr>
          <w:rFonts w:hint="eastAsia" w:ascii="宋体" w:hAnsi="宋体" w:cs="Arial"/>
          <w:color w:val="auto"/>
          <w:kern w:val="0"/>
          <w:highlight w:val="none"/>
        </w:rPr>
        <w:t>，营业收入为</w:t>
      </w:r>
      <w:r>
        <w:rPr>
          <w:rFonts w:hint="eastAsia" w:ascii="Arial" w:hAnsi="Arial" w:cs="Arial"/>
          <w:color w:val="auto"/>
          <w:kern w:val="0"/>
          <w:highlight w:val="none"/>
        </w:rPr>
        <w:t>—万元，资产总额为</w:t>
      </w:r>
      <w:r>
        <w:rPr>
          <w:rFonts w:hint="eastAsia" w:ascii="Arial" w:hAnsi="Arial" w:cs="Arial"/>
          <w:color w:val="auto"/>
          <w:kern w:val="0"/>
          <w:highlight w:val="none"/>
          <w:u w:val="single"/>
        </w:rPr>
        <w:tab/>
      </w:r>
      <w:r>
        <w:rPr>
          <w:rFonts w:hint="eastAsia" w:ascii="宋体" w:hAnsi="宋体" w:cs="Arial"/>
          <w:color w:val="auto"/>
          <w:kern w:val="0"/>
          <w:highlight w:val="none"/>
          <w:u w:val="single"/>
        </w:rPr>
        <w:t>万</w:t>
      </w:r>
      <w:r>
        <w:rPr>
          <w:rFonts w:hint="eastAsia" w:ascii="宋体" w:hAnsi="宋体" w:cs="Arial"/>
          <w:color w:val="auto"/>
          <w:kern w:val="0"/>
          <w:highlight w:val="none"/>
        </w:rPr>
        <w:t>元</w:t>
      </w:r>
      <w:r>
        <w:rPr>
          <w:rFonts w:hint="eastAsia" w:ascii="Arial" w:hAnsi="Arial" w:cs="Arial"/>
          <w:color w:val="auto"/>
          <w:kern w:val="0"/>
          <w:highlight w:val="none"/>
        </w:rPr>
        <w:t>，</w:t>
      </w:r>
      <w:r>
        <w:rPr>
          <w:rFonts w:hint="eastAsia" w:ascii="宋体" w:hAnsi="宋体" w:cs="Arial"/>
          <w:color w:val="auto"/>
          <w:kern w:val="0"/>
          <w:highlight w:val="none"/>
        </w:rPr>
        <w:t>属于（中型企业、小型企业、微型企业）；</w:t>
      </w:r>
    </w:p>
    <w:p>
      <w:pPr>
        <w:widowControl/>
        <w:spacing w:line="440" w:lineRule="exact"/>
        <w:ind w:firstLine="420" w:firstLineChars="200"/>
        <w:jc w:val="left"/>
        <w:rPr>
          <w:rFonts w:ascii="Arial" w:hAnsi="Arial" w:cs="Arial"/>
          <w:color w:val="auto"/>
          <w:kern w:val="0"/>
          <w:highlight w:val="none"/>
        </w:rPr>
      </w:pPr>
      <w:r>
        <w:rPr>
          <w:rFonts w:hint="eastAsia" w:ascii="Arial" w:hAnsi="Arial" w:cs="Arial"/>
          <w:color w:val="auto"/>
          <w:kern w:val="0"/>
          <w:highlight w:val="none"/>
        </w:rPr>
        <w:t>2.</w:t>
      </w:r>
      <w:r>
        <w:rPr>
          <w:rFonts w:hint="eastAsia" w:ascii="宋体" w:hAnsi="宋体" w:cs="Arial"/>
          <w:color w:val="auto"/>
          <w:kern w:val="0"/>
          <w:highlight w:val="none"/>
          <w:u w:val="single"/>
        </w:rPr>
        <w:t>（标的名称）</w:t>
      </w:r>
      <w:r>
        <w:rPr>
          <w:rFonts w:hint="eastAsia" w:ascii="Arial" w:hAnsi="Arial" w:cs="Arial"/>
          <w:color w:val="auto"/>
          <w:kern w:val="0"/>
          <w:highlight w:val="none"/>
        </w:rPr>
        <w:t>,</w:t>
      </w:r>
      <w:r>
        <w:rPr>
          <w:rFonts w:hint="eastAsia" w:ascii="宋体" w:hAnsi="宋体" w:cs="Arial"/>
          <w:color w:val="auto"/>
          <w:kern w:val="0"/>
          <w:highlight w:val="none"/>
        </w:rPr>
        <w:t>属于</w:t>
      </w:r>
      <w:r>
        <w:rPr>
          <w:rFonts w:hint="eastAsia" w:ascii="宋体" w:hAnsi="宋体" w:cs="Arial"/>
          <w:color w:val="auto"/>
          <w:kern w:val="0"/>
          <w:highlight w:val="none"/>
          <w:u w:val="single"/>
        </w:rPr>
        <w:t>（采购文件中明确的所属行业）</w:t>
      </w:r>
      <w:r>
        <w:rPr>
          <w:rFonts w:hint="eastAsia" w:ascii="宋体" w:hAnsi="宋体" w:cs="Arial"/>
          <w:color w:val="auto"/>
          <w:kern w:val="0"/>
          <w:highlight w:val="none"/>
        </w:rPr>
        <w:t>行业；制造商为（企业名称）</w:t>
      </w:r>
      <w:r>
        <w:rPr>
          <w:rFonts w:hint="eastAsia" w:ascii="Arial" w:hAnsi="Arial" w:cs="Arial"/>
          <w:color w:val="auto"/>
          <w:kern w:val="0"/>
          <w:highlight w:val="none"/>
        </w:rPr>
        <w:t>,</w:t>
      </w:r>
      <w:r>
        <w:rPr>
          <w:rFonts w:hint="eastAsia" w:ascii="宋体" w:hAnsi="宋体" w:cs="Arial"/>
          <w:color w:val="auto"/>
          <w:kern w:val="0"/>
          <w:highlight w:val="none"/>
        </w:rPr>
        <w:t>从业人员</w:t>
      </w:r>
      <w:r>
        <w:rPr>
          <w:rFonts w:hint="eastAsia" w:ascii="Arial" w:hAnsi="Arial" w:cs="Arial"/>
          <w:color w:val="auto"/>
          <w:kern w:val="0"/>
          <w:highlight w:val="none"/>
          <w:u w:val="single"/>
        </w:rPr>
        <w:tab/>
      </w:r>
      <w:r>
        <w:rPr>
          <w:rFonts w:hint="eastAsia" w:ascii="宋体" w:hAnsi="宋体" w:cs="Arial"/>
          <w:color w:val="auto"/>
          <w:kern w:val="0"/>
          <w:highlight w:val="none"/>
          <w:u w:val="single"/>
        </w:rPr>
        <w:t>人</w:t>
      </w:r>
      <w:r>
        <w:rPr>
          <w:rFonts w:hint="eastAsia" w:ascii="宋体" w:hAnsi="宋体" w:cs="Arial"/>
          <w:color w:val="auto"/>
          <w:kern w:val="0"/>
          <w:highlight w:val="none"/>
        </w:rPr>
        <w:t>，营业收入为</w:t>
      </w:r>
      <w:r>
        <w:rPr>
          <w:rFonts w:hint="eastAsia" w:ascii="Arial" w:hAnsi="Arial" w:cs="Arial"/>
          <w:color w:val="auto"/>
          <w:kern w:val="0"/>
          <w:highlight w:val="none"/>
          <w:u w:val="single"/>
        </w:rPr>
        <w:tab/>
      </w:r>
      <w:r>
        <w:rPr>
          <w:rFonts w:hint="eastAsia" w:ascii="宋体" w:hAnsi="宋体" w:cs="Arial"/>
          <w:color w:val="auto"/>
          <w:kern w:val="0"/>
          <w:highlight w:val="none"/>
        </w:rPr>
        <w:t>万元，资产总额为</w:t>
      </w:r>
      <w:r>
        <w:rPr>
          <w:rFonts w:hint="eastAsia" w:ascii="Arial" w:hAnsi="Arial" w:cs="Arial"/>
          <w:color w:val="auto"/>
          <w:kern w:val="0"/>
          <w:highlight w:val="none"/>
          <w:u w:val="single"/>
        </w:rPr>
        <w:tab/>
      </w:r>
      <w:r>
        <w:rPr>
          <w:rFonts w:hint="eastAsia" w:ascii="宋体" w:hAnsi="宋体" w:cs="Arial"/>
          <w:color w:val="auto"/>
          <w:kern w:val="0"/>
          <w:highlight w:val="none"/>
        </w:rPr>
        <w:t>万元，属于（中型企业、小型企业、微型企业）；</w:t>
      </w:r>
    </w:p>
    <w:p>
      <w:pPr>
        <w:widowControl/>
        <w:spacing w:line="440" w:lineRule="exact"/>
        <w:ind w:firstLine="420" w:firstLineChars="200"/>
        <w:jc w:val="left"/>
        <w:rPr>
          <w:rFonts w:ascii="Arial" w:hAnsi="Arial" w:cs="Arial"/>
          <w:color w:val="auto"/>
          <w:kern w:val="0"/>
          <w:highlight w:val="none"/>
        </w:rPr>
      </w:pPr>
      <w:r>
        <w:rPr>
          <w:rFonts w:hint="eastAsia" w:ascii="宋体" w:hAnsi="宋体" w:cs="Arial"/>
          <w:color w:val="auto"/>
          <w:kern w:val="0"/>
          <w:highlight w:val="none"/>
        </w:rPr>
        <w:t>以上企业，不属于大企业的分支机构，不存在控股股东为大企业的情形，也不存在与大企业的负责人为同一人的情形。</w:t>
      </w:r>
    </w:p>
    <w:p>
      <w:pPr>
        <w:widowControl/>
        <w:spacing w:line="440" w:lineRule="exact"/>
        <w:ind w:firstLine="420" w:firstLineChars="200"/>
        <w:jc w:val="left"/>
        <w:rPr>
          <w:rFonts w:ascii="宋体" w:hAnsi="宋体" w:cs="Arial"/>
          <w:color w:val="auto"/>
          <w:kern w:val="0"/>
          <w:highlight w:val="none"/>
        </w:rPr>
      </w:pPr>
      <w:r>
        <w:rPr>
          <w:rFonts w:hint="eastAsia" w:ascii="宋体" w:hAnsi="宋体" w:cs="Arial"/>
          <w:color w:val="auto"/>
          <w:kern w:val="0"/>
          <w:highlight w:val="none"/>
        </w:rPr>
        <w:t>本企业对上述声明内容的真实性负责。如有虚假，将依法承担相应责任。</w:t>
      </w:r>
    </w:p>
    <w:p>
      <w:pPr>
        <w:widowControl/>
        <w:spacing w:line="440" w:lineRule="exact"/>
        <w:ind w:firstLine="420" w:firstLineChars="200"/>
        <w:jc w:val="left"/>
        <w:rPr>
          <w:rFonts w:ascii="宋体" w:hAnsi="宋体" w:cs="Arial"/>
          <w:color w:val="auto"/>
          <w:kern w:val="0"/>
          <w:highlight w:val="none"/>
        </w:rPr>
      </w:pPr>
    </w:p>
    <w:p>
      <w:pPr>
        <w:widowControl/>
        <w:spacing w:line="440" w:lineRule="exact"/>
        <w:ind w:firstLine="420" w:firstLineChars="200"/>
        <w:jc w:val="left"/>
        <w:rPr>
          <w:rFonts w:ascii="宋体" w:hAnsi="宋体" w:cs="Arial"/>
          <w:color w:val="auto"/>
          <w:kern w:val="0"/>
          <w:highlight w:val="none"/>
        </w:rPr>
      </w:pPr>
    </w:p>
    <w:p>
      <w:pPr>
        <w:widowControl/>
        <w:spacing w:line="440" w:lineRule="exact"/>
        <w:ind w:firstLine="420" w:firstLineChars="200"/>
        <w:jc w:val="left"/>
        <w:rPr>
          <w:rFonts w:ascii="宋体" w:hAnsi="宋体" w:cs="Arial"/>
          <w:color w:val="auto"/>
          <w:kern w:val="0"/>
          <w:highlight w:val="none"/>
        </w:rPr>
      </w:pPr>
    </w:p>
    <w:p>
      <w:pPr>
        <w:widowControl/>
        <w:spacing w:line="440" w:lineRule="exact"/>
        <w:ind w:firstLine="420" w:firstLineChars="200"/>
        <w:jc w:val="right"/>
        <w:rPr>
          <w:rFonts w:ascii="Arial" w:hAnsi="Arial" w:cs="Arial"/>
          <w:color w:val="auto"/>
          <w:kern w:val="0"/>
          <w:highlight w:val="none"/>
        </w:rPr>
      </w:pPr>
      <w:r>
        <w:rPr>
          <w:rFonts w:hint="eastAsia" w:ascii="宋体" w:hAnsi="宋体" w:cs="Arial"/>
          <w:color w:val="auto"/>
          <w:kern w:val="0"/>
          <w:highlight w:val="none"/>
        </w:rPr>
        <w:t>企业名称（盖章）</w:t>
      </w:r>
      <w:r>
        <w:rPr>
          <w:rFonts w:hint="eastAsia" w:ascii="Arial" w:hAnsi="Arial" w:cs="Arial"/>
          <w:color w:val="auto"/>
          <w:kern w:val="0"/>
          <w:highlight w:val="none"/>
        </w:rPr>
        <w:t>：</w:t>
      </w:r>
    </w:p>
    <w:p>
      <w:pPr>
        <w:widowControl/>
        <w:spacing w:line="440" w:lineRule="exact"/>
        <w:ind w:firstLine="420" w:firstLineChars="200"/>
        <w:jc w:val="center"/>
        <w:rPr>
          <w:rFonts w:ascii="Arial" w:hAnsi="Arial" w:cs="Arial"/>
          <w:color w:val="auto"/>
          <w:kern w:val="0"/>
          <w:highlight w:val="none"/>
        </w:rPr>
      </w:pPr>
      <w:r>
        <w:rPr>
          <w:rFonts w:hint="eastAsia" w:ascii="宋体" w:hAnsi="宋体" w:cs="Arial"/>
          <w:color w:val="auto"/>
          <w:kern w:val="0"/>
          <w:highlight w:val="none"/>
        </w:rPr>
        <w:t xml:space="preserve">                                               日期：</w:t>
      </w:r>
    </w:p>
    <w:p>
      <w:pPr>
        <w:spacing w:line="360" w:lineRule="auto"/>
        <w:jc w:val="center"/>
        <w:rPr>
          <w:rFonts w:ascii="Arial" w:hAnsi="Arial" w:cs="Arial"/>
          <w:b/>
          <w:bCs/>
          <w:color w:val="auto"/>
          <w:sz w:val="28"/>
          <w:highlight w:val="none"/>
        </w:rPr>
      </w:pPr>
    </w:p>
    <w:p>
      <w:pPr>
        <w:spacing w:line="360" w:lineRule="auto"/>
        <w:jc w:val="center"/>
        <w:rPr>
          <w:rFonts w:ascii="Arial" w:hAnsi="Arial" w:cs="Arial"/>
          <w:b/>
          <w:bCs/>
          <w:color w:val="auto"/>
          <w:sz w:val="28"/>
          <w:highlight w:val="none"/>
        </w:rPr>
      </w:pPr>
    </w:p>
    <w:p>
      <w:pPr>
        <w:spacing w:line="360" w:lineRule="auto"/>
        <w:jc w:val="center"/>
        <w:rPr>
          <w:rFonts w:ascii="Arial" w:hAnsi="Arial" w:cs="Arial"/>
          <w:b/>
          <w:bCs/>
          <w:color w:val="auto"/>
          <w:sz w:val="28"/>
          <w:highlight w:val="none"/>
        </w:rPr>
      </w:pPr>
    </w:p>
    <w:p>
      <w:pPr>
        <w:spacing w:line="360" w:lineRule="auto"/>
        <w:jc w:val="center"/>
        <w:rPr>
          <w:rFonts w:ascii="Arial" w:hAnsi="Arial" w:cs="Arial"/>
          <w:b/>
          <w:bCs/>
          <w:color w:val="auto"/>
          <w:sz w:val="28"/>
          <w:highlight w:val="none"/>
        </w:rPr>
      </w:pPr>
    </w:p>
    <w:p>
      <w:pPr>
        <w:spacing w:line="360" w:lineRule="auto"/>
        <w:jc w:val="center"/>
        <w:rPr>
          <w:rFonts w:ascii="Arial" w:hAnsi="Arial" w:cs="Arial"/>
          <w:b/>
          <w:bCs/>
          <w:color w:val="auto"/>
          <w:sz w:val="28"/>
          <w:highlight w:val="none"/>
        </w:rPr>
        <w:sectPr>
          <w:footerReference r:id="rId9" w:type="default"/>
          <w:pgSz w:w="11906" w:h="16838"/>
          <w:pgMar w:top="1440" w:right="1886" w:bottom="1440" w:left="1400" w:header="851" w:footer="992" w:gutter="0"/>
          <w:pgNumType w:start="1"/>
          <w:cols w:space="0" w:num="1"/>
          <w:docGrid w:type="lines" w:linePitch="312" w:charSpace="0"/>
        </w:sectPr>
      </w:pPr>
    </w:p>
    <w:p>
      <w:pPr>
        <w:spacing w:before="312" w:beforeLines="100" w:after="312" w:afterLines="100" w:line="480" w:lineRule="auto"/>
        <w:jc w:val="center"/>
        <w:rPr>
          <w:rFonts w:ascii="Arial" w:hAnsi="Arial" w:cs="Arial"/>
          <w:b/>
          <w:bCs/>
          <w:color w:val="auto"/>
          <w:sz w:val="28"/>
          <w:szCs w:val="28"/>
          <w:highlight w:val="none"/>
        </w:rPr>
      </w:pPr>
      <w:r>
        <w:rPr>
          <w:rFonts w:hint="eastAsia" w:ascii="宋体" w:hAnsi="宋体" w:cs="Arial"/>
          <w:b/>
          <w:bCs/>
          <w:color w:val="auto"/>
          <w:sz w:val="28"/>
          <w:szCs w:val="28"/>
          <w:highlight w:val="none"/>
        </w:rPr>
        <w:t>中小企业声明函（工程、服务）</w:t>
      </w:r>
    </w:p>
    <w:p>
      <w:pPr>
        <w:widowControl/>
        <w:spacing w:line="440" w:lineRule="exact"/>
        <w:ind w:firstLine="420" w:firstLineChars="200"/>
        <w:jc w:val="left"/>
        <w:rPr>
          <w:rFonts w:ascii="Arial" w:hAnsi="Arial" w:cs="Arial"/>
          <w:color w:val="auto"/>
          <w:kern w:val="0"/>
          <w:szCs w:val="21"/>
          <w:highlight w:val="none"/>
        </w:rPr>
      </w:pPr>
      <w:r>
        <w:rPr>
          <w:rFonts w:hint="eastAsia" w:ascii="宋体" w:hAnsi="宋体" w:cs="Arial"/>
          <w:color w:val="auto"/>
          <w:kern w:val="0"/>
          <w:highlight w:val="none"/>
        </w:rPr>
        <w:t>本公司（联合体）郑重声明，根据《政府采购促进中小企业发展管理办法》（财库〔</w:t>
      </w:r>
      <w:r>
        <w:rPr>
          <w:rFonts w:hint="eastAsia" w:ascii="Arial" w:hAnsi="Arial" w:cs="Arial"/>
          <w:color w:val="auto"/>
          <w:kern w:val="0"/>
          <w:highlight w:val="none"/>
        </w:rPr>
        <w:t>2020</w:t>
      </w:r>
      <w:r>
        <w:rPr>
          <w:rFonts w:hint="eastAsia"/>
          <w:color w:val="auto"/>
          <w:highlight w:val="none"/>
        </w:rPr>
        <w:t>〕</w:t>
      </w:r>
      <w:r>
        <w:rPr>
          <w:rFonts w:hint="eastAsia" w:ascii="宋体" w:hAnsi="宋体" w:cs="Arial"/>
          <w:color w:val="auto"/>
          <w:kern w:val="0"/>
          <w:highlight w:val="none"/>
        </w:rPr>
        <w:t xml:space="preserve">） </w:t>
      </w:r>
      <w:r>
        <w:rPr>
          <w:rFonts w:hint="eastAsia" w:ascii="Arial" w:hAnsi="Arial" w:cs="Arial"/>
          <w:color w:val="auto"/>
          <w:kern w:val="0"/>
          <w:highlight w:val="none"/>
        </w:rPr>
        <w:t>46</w:t>
      </w:r>
      <w:r>
        <w:rPr>
          <w:rFonts w:hint="eastAsia" w:ascii="宋体" w:hAnsi="宋体" w:cs="Arial"/>
          <w:color w:val="auto"/>
          <w:kern w:val="0"/>
          <w:highlight w:val="none"/>
        </w:rPr>
        <w:t>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pPr>
        <w:widowControl/>
        <w:spacing w:line="440" w:lineRule="exact"/>
        <w:ind w:firstLine="420" w:firstLineChars="200"/>
        <w:jc w:val="left"/>
        <w:rPr>
          <w:rFonts w:ascii="Arial" w:hAnsi="Arial" w:cs="Arial"/>
          <w:color w:val="auto"/>
          <w:kern w:val="0"/>
          <w:highlight w:val="none"/>
        </w:rPr>
      </w:pPr>
      <w:r>
        <w:rPr>
          <w:rFonts w:hint="eastAsia" w:ascii="宋体" w:hAnsi="宋体" w:cs="Arial"/>
          <w:color w:val="auto"/>
          <w:kern w:val="0"/>
          <w:highlight w:val="none"/>
          <w:u w:val="single"/>
        </w:rPr>
        <w:t>（标的名称）</w:t>
      </w:r>
      <w:r>
        <w:rPr>
          <w:rFonts w:hint="eastAsia" w:ascii="Arial" w:hAnsi="Arial" w:cs="Arial"/>
          <w:color w:val="auto"/>
          <w:kern w:val="0"/>
          <w:highlight w:val="none"/>
        </w:rPr>
        <w:t>,</w:t>
      </w:r>
      <w:r>
        <w:rPr>
          <w:rFonts w:hint="eastAsia" w:ascii="宋体" w:hAnsi="宋体" w:cs="Arial"/>
          <w:color w:val="auto"/>
          <w:kern w:val="0"/>
          <w:highlight w:val="none"/>
        </w:rPr>
        <w:t>属于</w:t>
      </w:r>
      <w:r>
        <w:rPr>
          <w:rFonts w:hint="eastAsia" w:ascii="宋体" w:hAnsi="宋体" w:cs="Arial"/>
          <w:color w:val="auto"/>
          <w:kern w:val="0"/>
          <w:highlight w:val="none"/>
          <w:u w:val="single"/>
        </w:rPr>
        <w:t>（采购文件中明确的所属行业）</w:t>
      </w:r>
      <w:r>
        <w:rPr>
          <w:rFonts w:hint="eastAsia" w:ascii="Arial" w:hAnsi="Arial" w:cs="Arial"/>
          <w:color w:val="auto"/>
          <w:kern w:val="0"/>
          <w:highlight w:val="none"/>
        </w:rPr>
        <w:t xml:space="preserve">, </w:t>
      </w:r>
      <w:r>
        <w:rPr>
          <w:rFonts w:hint="eastAsia" w:ascii="宋体" w:hAnsi="宋体" w:cs="Arial"/>
          <w:color w:val="auto"/>
          <w:kern w:val="0"/>
          <w:highlight w:val="none"/>
        </w:rPr>
        <w:t>承建（承接）企业为（企业名称）</w:t>
      </w:r>
      <w:r>
        <w:rPr>
          <w:rFonts w:hint="eastAsia" w:ascii="Arial" w:hAnsi="Arial" w:cs="Arial"/>
          <w:color w:val="auto"/>
          <w:kern w:val="0"/>
          <w:highlight w:val="none"/>
        </w:rPr>
        <w:t>,</w:t>
      </w:r>
      <w:r>
        <w:rPr>
          <w:rFonts w:hint="eastAsia" w:ascii="宋体" w:hAnsi="宋体" w:cs="Arial"/>
          <w:color w:val="auto"/>
          <w:kern w:val="0"/>
          <w:highlight w:val="none"/>
        </w:rPr>
        <w:t>从业人员</w:t>
      </w:r>
      <w:r>
        <w:rPr>
          <w:rFonts w:hint="eastAsia" w:ascii="Arial" w:hAnsi="Arial" w:cs="Arial"/>
          <w:color w:val="auto"/>
          <w:kern w:val="0"/>
          <w:highlight w:val="none"/>
          <w:u w:val="single"/>
        </w:rPr>
        <w:tab/>
      </w:r>
      <w:r>
        <w:rPr>
          <w:rFonts w:hint="eastAsia" w:ascii="宋体" w:hAnsi="宋体" w:cs="Arial"/>
          <w:color w:val="auto"/>
          <w:kern w:val="0"/>
          <w:highlight w:val="none"/>
          <w:u w:val="single"/>
        </w:rPr>
        <w:t>人</w:t>
      </w:r>
      <w:r>
        <w:rPr>
          <w:rFonts w:hint="eastAsia" w:ascii="宋体" w:hAnsi="宋体" w:cs="Arial"/>
          <w:color w:val="auto"/>
          <w:kern w:val="0"/>
          <w:highlight w:val="none"/>
        </w:rPr>
        <w:t>，营业收入为</w:t>
      </w:r>
      <w:r>
        <w:rPr>
          <w:rFonts w:hint="eastAsia" w:ascii="Arial" w:hAnsi="Arial" w:cs="Arial"/>
          <w:color w:val="auto"/>
          <w:kern w:val="0"/>
          <w:highlight w:val="none"/>
          <w:u w:val="single"/>
        </w:rPr>
        <w:tab/>
      </w:r>
      <w:r>
        <w:rPr>
          <w:rFonts w:hint="eastAsia" w:ascii="宋体" w:hAnsi="宋体" w:cs="Arial"/>
          <w:color w:val="auto"/>
          <w:kern w:val="0"/>
          <w:highlight w:val="none"/>
        </w:rPr>
        <w:t>万元，资产总额为</w:t>
      </w:r>
      <w:r>
        <w:rPr>
          <w:rFonts w:hint="eastAsia" w:ascii="Arial" w:hAnsi="Arial" w:cs="Arial"/>
          <w:color w:val="auto"/>
          <w:kern w:val="0"/>
          <w:highlight w:val="none"/>
          <w:u w:val="single"/>
        </w:rPr>
        <w:tab/>
      </w:r>
      <w:r>
        <w:rPr>
          <w:rFonts w:hint="eastAsia" w:ascii="宋体" w:hAnsi="宋体" w:cs="Arial"/>
          <w:color w:val="auto"/>
          <w:kern w:val="0"/>
          <w:highlight w:val="none"/>
        </w:rPr>
        <w:t>万元，属于（中型企业、小型企业、微型企业）；</w:t>
      </w:r>
    </w:p>
    <w:p>
      <w:pPr>
        <w:widowControl/>
        <w:spacing w:line="440" w:lineRule="exact"/>
        <w:ind w:firstLine="420" w:firstLineChars="200"/>
        <w:jc w:val="left"/>
        <w:rPr>
          <w:rFonts w:ascii="Arial" w:hAnsi="Arial" w:cs="Arial"/>
          <w:color w:val="auto"/>
          <w:kern w:val="0"/>
          <w:highlight w:val="none"/>
        </w:rPr>
      </w:pPr>
      <w:r>
        <w:rPr>
          <w:rFonts w:hint="eastAsia" w:ascii="宋体" w:hAnsi="宋体" w:cs="Arial"/>
          <w:color w:val="auto"/>
          <w:kern w:val="0"/>
          <w:highlight w:val="none"/>
          <w:u w:val="single"/>
        </w:rPr>
        <w:t>（标的名称）</w:t>
      </w:r>
      <w:r>
        <w:rPr>
          <w:rFonts w:hint="eastAsia" w:ascii="Arial" w:hAnsi="Arial" w:cs="Arial"/>
          <w:color w:val="auto"/>
          <w:kern w:val="0"/>
          <w:highlight w:val="none"/>
          <w:u w:val="single"/>
        </w:rPr>
        <w:t>,</w:t>
      </w:r>
      <w:r>
        <w:rPr>
          <w:rFonts w:hint="eastAsia" w:ascii="宋体" w:hAnsi="宋体" w:cs="Arial"/>
          <w:color w:val="auto"/>
          <w:kern w:val="0"/>
          <w:highlight w:val="none"/>
        </w:rPr>
        <w:t>属于（采购文件中明确的所属行业）</w:t>
      </w:r>
      <w:r>
        <w:rPr>
          <w:rFonts w:hint="eastAsia" w:ascii="Arial" w:hAnsi="Arial" w:cs="Arial"/>
          <w:color w:val="auto"/>
          <w:kern w:val="0"/>
          <w:highlight w:val="none"/>
        </w:rPr>
        <w:t xml:space="preserve">, </w:t>
      </w:r>
      <w:r>
        <w:rPr>
          <w:rFonts w:hint="eastAsia" w:ascii="宋体" w:hAnsi="宋体" w:cs="Arial"/>
          <w:color w:val="auto"/>
          <w:kern w:val="0"/>
          <w:highlight w:val="none"/>
        </w:rPr>
        <w:t>承建（承接）企业为（企业名称）</w:t>
      </w:r>
      <w:r>
        <w:rPr>
          <w:rFonts w:hint="eastAsia" w:ascii="Arial" w:hAnsi="Arial" w:cs="Arial"/>
          <w:color w:val="auto"/>
          <w:kern w:val="0"/>
          <w:highlight w:val="none"/>
        </w:rPr>
        <w:t>,</w:t>
      </w:r>
      <w:r>
        <w:rPr>
          <w:rFonts w:hint="eastAsia" w:ascii="宋体" w:hAnsi="宋体" w:cs="Arial"/>
          <w:color w:val="auto"/>
          <w:kern w:val="0"/>
          <w:highlight w:val="none"/>
        </w:rPr>
        <w:t>从业人员</w:t>
      </w:r>
      <w:r>
        <w:rPr>
          <w:rFonts w:hint="eastAsia" w:ascii="Arial" w:hAnsi="Arial" w:cs="Arial"/>
          <w:color w:val="auto"/>
          <w:kern w:val="0"/>
          <w:highlight w:val="none"/>
          <w:u w:val="single"/>
        </w:rPr>
        <w:tab/>
      </w:r>
      <w:r>
        <w:rPr>
          <w:rFonts w:hint="eastAsia" w:ascii="宋体" w:hAnsi="宋体" w:cs="Arial"/>
          <w:color w:val="auto"/>
          <w:kern w:val="0"/>
          <w:highlight w:val="none"/>
          <w:u w:val="single"/>
        </w:rPr>
        <w:t>人</w:t>
      </w:r>
      <w:r>
        <w:rPr>
          <w:rFonts w:hint="eastAsia" w:ascii="宋体" w:hAnsi="宋体" w:cs="Arial"/>
          <w:color w:val="auto"/>
          <w:kern w:val="0"/>
          <w:highlight w:val="none"/>
        </w:rPr>
        <w:t>，营业收入为</w:t>
      </w:r>
      <w:r>
        <w:rPr>
          <w:rFonts w:hint="eastAsia" w:ascii="Arial" w:hAnsi="Arial" w:cs="Arial"/>
          <w:color w:val="auto"/>
          <w:kern w:val="0"/>
          <w:highlight w:val="none"/>
          <w:u w:val="single"/>
        </w:rPr>
        <w:tab/>
      </w:r>
      <w:r>
        <w:rPr>
          <w:rFonts w:hint="eastAsia" w:ascii="宋体" w:hAnsi="宋体" w:cs="Arial"/>
          <w:color w:val="auto"/>
          <w:kern w:val="0"/>
          <w:highlight w:val="none"/>
        </w:rPr>
        <w:t>万元，资产总额为</w:t>
      </w:r>
      <w:r>
        <w:rPr>
          <w:rFonts w:hint="eastAsia" w:ascii="Arial" w:hAnsi="Arial" w:cs="Arial"/>
          <w:color w:val="auto"/>
          <w:kern w:val="0"/>
          <w:highlight w:val="none"/>
          <w:u w:val="single"/>
        </w:rPr>
        <w:tab/>
      </w:r>
      <w:r>
        <w:rPr>
          <w:rFonts w:hint="eastAsia" w:ascii="宋体" w:hAnsi="宋体" w:cs="Arial"/>
          <w:color w:val="auto"/>
          <w:kern w:val="0"/>
          <w:highlight w:val="none"/>
        </w:rPr>
        <w:t>万元，属于（中型企业、小型企业、微型企业）；</w:t>
      </w:r>
      <w:r>
        <w:rPr>
          <w:rFonts w:hint="eastAsia" w:ascii="Arial" w:hAnsi="Arial" w:cs="Arial"/>
          <w:color w:val="auto"/>
          <w:kern w:val="0"/>
          <w:highlight w:val="none"/>
        </w:rPr>
        <w:tab/>
      </w:r>
    </w:p>
    <w:p>
      <w:pPr>
        <w:widowControl/>
        <w:spacing w:line="440" w:lineRule="exact"/>
        <w:ind w:firstLine="420" w:firstLineChars="200"/>
        <w:jc w:val="left"/>
        <w:rPr>
          <w:rFonts w:ascii="Arial" w:hAnsi="Arial" w:cs="Arial"/>
          <w:color w:val="auto"/>
          <w:kern w:val="0"/>
          <w:highlight w:val="none"/>
        </w:rPr>
      </w:pPr>
      <w:r>
        <w:rPr>
          <w:rFonts w:hint="eastAsia" w:ascii="宋体" w:hAnsi="宋体" w:cs="Arial"/>
          <w:color w:val="auto"/>
          <w:kern w:val="0"/>
          <w:highlight w:val="none"/>
        </w:rPr>
        <w:t>以上企业，不属于大企业的分支机构，不存在控股股东为大企业的情形，也不存在与大企业的负责人为同一人的情形。</w:t>
      </w:r>
    </w:p>
    <w:p>
      <w:pPr>
        <w:widowControl/>
        <w:spacing w:line="440" w:lineRule="exact"/>
        <w:ind w:firstLine="420" w:firstLineChars="200"/>
        <w:jc w:val="left"/>
        <w:rPr>
          <w:rFonts w:ascii="宋体" w:hAnsi="宋体" w:cs="Arial"/>
          <w:color w:val="auto"/>
          <w:kern w:val="0"/>
          <w:highlight w:val="none"/>
        </w:rPr>
      </w:pPr>
      <w:r>
        <w:rPr>
          <w:rFonts w:hint="eastAsia" w:ascii="宋体" w:hAnsi="宋体" w:cs="Arial"/>
          <w:color w:val="auto"/>
          <w:kern w:val="0"/>
          <w:highlight w:val="none"/>
        </w:rPr>
        <w:t>本企业对上述声明内容的真实性负责。如有虚假，将依法承担相应责任。</w:t>
      </w:r>
    </w:p>
    <w:p>
      <w:pPr>
        <w:widowControl/>
        <w:spacing w:line="440" w:lineRule="exact"/>
        <w:ind w:firstLine="420" w:firstLineChars="200"/>
        <w:jc w:val="left"/>
        <w:rPr>
          <w:rFonts w:ascii="宋体" w:hAnsi="宋体" w:cs="Arial"/>
          <w:color w:val="auto"/>
          <w:kern w:val="0"/>
          <w:highlight w:val="none"/>
        </w:rPr>
      </w:pPr>
    </w:p>
    <w:p>
      <w:pPr>
        <w:widowControl/>
        <w:spacing w:line="440" w:lineRule="exact"/>
        <w:ind w:firstLine="420" w:firstLineChars="200"/>
        <w:jc w:val="left"/>
        <w:rPr>
          <w:rFonts w:ascii="宋体" w:hAnsi="宋体" w:cs="Arial"/>
          <w:color w:val="auto"/>
          <w:kern w:val="0"/>
          <w:highlight w:val="none"/>
        </w:rPr>
      </w:pPr>
    </w:p>
    <w:p>
      <w:pPr>
        <w:widowControl/>
        <w:spacing w:line="440" w:lineRule="exact"/>
        <w:ind w:firstLine="420" w:firstLineChars="200"/>
        <w:jc w:val="left"/>
        <w:rPr>
          <w:rFonts w:ascii="宋体" w:hAnsi="宋体" w:cs="Arial"/>
          <w:color w:val="auto"/>
          <w:kern w:val="0"/>
          <w:highlight w:val="none"/>
        </w:rPr>
      </w:pPr>
    </w:p>
    <w:p>
      <w:pPr>
        <w:widowControl/>
        <w:spacing w:line="440" w:lineRule="exact"/>
        <w:ind w:firstLine="420" w:firstLineChars="200"/>
        <w:jc w:val="right"/>
        <w:rPr>
          <w:rFonts w:ascii="Arial" w:hAnsi="Arial" w:cs="Arial"/>
          <w:color w:val="auto"/>
          <w:kern w:val="0"/>
          <w:highlight w:val="none"/>
        </w:rPr>
      </w:pPr>
      <w:r>
        <w:rPr>
          <w:rFonts w:hint="eastAsia" w:ascii="宋体" w:hAnsi="宋体" w:cs="Arial"/>
          <w:color w:val="auto"/>
          <w:kern w:val="0"/>
          <w:highlight w:val="none"/>
        </w:rPr>
        <w:t>企业名称（盖章）：</w:t>
      </w:r>
    </w:p>
    <w:p>
      <w:pPr>
        <w:spacing w:line="360" w:lineRule="auto"/>
        <w:jc w:val="center"/>
        <w:rPr>
          <w:rFonts w:ascii="Arial" w:hAnsi="Arial" w:cs="Arial"/>
          <w:b/>
          <w:bCs/>
          <w:color w:val="auto"/>
          <w:sz w:val="28"/>
          <w:highlight w:val="none"/>
        </w:rPr>
        <w:sectPr>
          <w:pgSz w:w="11906" w:h="16838"/>
          <w:pgMar w:top="1440" w:right="1800" w:bottom="1440" w:left="1600" w:header="851" w:footer="992" w:gutter="0"/>
          <w:cols w:space="720" w:num="1"/>
          <w:titlePg/>
          <w:docGrid w:type="lines" w:linePitch="312" w:charSpace="0"/>
        </w:sectPr>
      </w:pPr>
      <w:r>
        <w:rPr>
          <w:rFonts w:hint="eastAsia" w:ascii="宋体" w:hAnsi="宋体" w:cs="Arial"/>
          <w:color w:val="auto"/>
          <w:kern w:val="0"/>
          <w:highlight w:val="none"/>
        </w:rPr>
        <w:t xml:space="preserve">                                                   日期：</w:t>
      </w:r>
    </w:p>
    <w:p>
      <w:pPr>
        <w:spacing w:line="360" w:lineRule="auto"/>
        <w:jc w:val="center"/>
        <w:rPr>
          <w:rFonts w:ascii="Arial" w:hAnsi="Arial" w:cs="Arial"/>
          <w:b/>
          <w:bCs/>
          <w:color w:val="auto"/>
          <w:sz w:val="28"/>
          <w:highlight w:val="none"/>
        </w:rPr>
      </w:pPr>
      <w:r>
        <w:rPr>
          <w:rFonts w:ascii="Arial" w:hAnsi="Arial" w:cs="Arial"/>
          <w:b/>
          <w:bCs/>
          <w:color w:val="auto"/>
          <w:sz w:val="28"/>
          <w:highlight w:val="none"/>
        </w:rPr>
        <w:t>残疾人福利性单位声明函</w:t>
      </w:r>
    </w:p>
    <w:bookmarkEnd w:id="33"/>
    <w:bookmarkEnd w:id="34"/>
    <w:p>
      <w:pPr>
        <w:widowControl/>
        <w:spacing w:line="440" w:lineRule="exact"/>
        <w:ind w:firstLine="420" w:firstLineChars="200"/>
        <w:jc w:val="left"/>
        <w:rPr>
          <w:rFonts w:ascii="Arial" w:hAnsi="Arial" w:cs="Arial"/>
          <w:snapToGrid w:val="0"/>
          <w:color w:val="auto"/>
          <w:kern w:val="0"/>
          <w:szCs w:val="21"/>
          <w:highlight w:val="none"/>
        </w:rPr>
      </w:pPr>
      <w:r>
        <w:rPr>
          <w:rFonts w:ascii="Arial" w:hAnsi="Arial" w:cs="Arial"/>
          <w:snapToGrid w:val="0"/>
          <w:color w:val="auto"/>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spacing w:line="440" w:lineRule="exact"/>
        <w:ind w:firstLine="420" w:firstLineChars="200"/>
        <w:jc w:val="left"/>
        <w:rPr>
          <w:rFonts w:ascii="Arial" w:hAnsi="Arial" w:cs="Arial"/>
          <w:snapToGrid w:val="0"/>
          <w:color w:val="auto"/>
          <w:kern w:val="0"/>
          <w:szCs w:val="21"/>
          <w:highlight w:val="none"/>
        </w:rPr>
      </w:pPr>
      <w:r>
        <w:rPr>
          <w:rFonts w:ascii="Arial" w:hAnsi="Arial" w:cs="Arial"/>
          <w:snapToGrid w:val="0"/>
          <w:color w:val="auto"/>
          <w:kern w:val="0"/>
          <w:szCs w:val="21"/>
          <w:highlight w:val="none"/>
        </w:rPr>
        <w:t>本单位对上述声明的真实性负责。如有虚假，将依法承担相应责任。</w:t>
      </w:r>
    </w:p>
    <w:p>
      <w:pPr>
        <w:widowControl/>
        <w:spacing w:line="440" w:lineRule="exact"/>
        <w:ind w:firstLine="5040" w:firstLineChars="2400"/>
        <w:jc w:val="left"/>
        <w:rPr>
          <w:rFonts w:ascii="Arial" w:hAnsi="Arial" w:cs="Arial"/>
          <w:snapToGrid w:val="0"/>
          <w:color w:val="auto"/>
          <w:kern w:val="0"/>
          <w:szCs w:val="21"/>
          <w:highlight w:val="none"/>
        </w:rPr>
      </w:pPr>
      <w:r>
        <w:rPr>
          <w:rFonts w:ascii="Arial" w:hAnsi="Arial" w:cs="Arial"/>
          <w:snapToGrid w:val="0"/>
          <w:color w:val="auto"/>
          <w:kern w:val="0"/>
          <w:szCs w:val="21"/>
          <w:highlight w:val="none"/>
        </w:rPr>
        <w:t>单位名称（盖章）：</w:t>
      </w:r>
    </w:p>
    <w:p>
      <w:pPr>
        <w:widowControl/>
        <w:spacing w:line="440" w:lineRule="exact"/>
        <w:ind w:firstLine="5040" w:firstLineChars="2400"/>
        <w:jc w:val="left"/>
        <w:rPr>
          <w:rFonts w:ascii="Arial" w:hAnsi="Arial" w:cs="Arial"/>
          <w:snapToGrid w:val="0"/>
          <w:color w:val="auto"/>
          <w:kern w:val="0"/>
          <w:szCs w:val="21"/>
          <w:highlight w:val="none"/>
        </w:rPr>
      </w:pPr>
      <w:r>
        <w:rPr>
          <w:rFonts w:ascii="Arial" w:hAnsi="Arial" w:cs="Arial"/>
          <w:snapToGrid w:val="0"/>
          <w:color w:val="auto"/>
          <w:kern w:val="0"/>
          <w:szCs w:val="21"/>
          <w:highlight w:val="none"/>
        </w:rPr>
        <w:t>日  期：</w:t>
      </w:r>
    </w:p>
    <w:p>
      <w:pPr>
        <w:spacing w:line="360" w:lineRule="auto"/>
        <w:rPr>
          <w:rFonts w:ascii="Arial" w:hAnsi="Arial" w:cs="Arial"/>
          <w:b/>
          <w:bCs/>
          <w:color w:val="auto"/>
          <w:sz w:val="28"/>
          <w:highlight w:val="none"/>
        </w:rPr>
      </w:pPr>
    </w:p>
    <w:p>
      <w:pPr>
        <w:spacing w:line="360" w:lineRule="auto"/>
        <w:ind w:firstLine="2811" w:firstLineChars="1000"/>
        <w:rPr>
          <w:rFonts w:ascii="Arial" w:hAnsi="Arial" w:cs="Arial"/>
          <w:b/>
          <w:bCs/>
          <w:color w:val="auto"/>
          <w:sz w:val="28"/>
          <w:highlight w:val="none"/>
        </w:rPr>
      </w:pPr>
      <w:r>
        <w:rPr>
          <w:rFonts w:ascii="Arial" w:hAnsi="Arial" w:cs="Arial"/>
          <w:b/>
          <w:bCs/>
          <w:color w:val="auto"/>
          <w:sz w:val="28"/>
          <w:highlight w:val="none"/>
        </w:rPr>
        <w:t>属于监狱企业的证明文件</w:t>
      </w:r>
    </w:p>
    <w:p>
      <w:pPr>
        <w:spacing w:line="360" w:lineRule="auto"/>
        <w:rPr>
          <w:rFonts w:ascii="Arial" w:hAnsi="Arial" w:cs="Arial"/>
          <w:color w:val="auto"/>
          <w:highlight w:val="none"/>
        </w:rPr>
      </w:pPr>
      <w:r>
        <w:rPr>
          <w:rFonts w:ascii="Arial" w:hAnsi="Arial" w:cs="Arial"/>
          <w:color w:val="auto"/>
          <w:highlight w:val="none"/>
        </w:rPr>
        <w:t>（提供由省级以上监狱管理局、戒毒管理局(含新疆生产建设兵团)出具的属于监狱企业的证明文件）</w:t>
      </w:r>
    </w:p>
    <w:p>
      <w:pPr>
        <w:pStyle w:val="19"/>
        <w:jc w:val="both"/>
        <w:rPr>
          <w:color w:val="auto"/>
          <w:highlight w:val="none"/>
        </w:rPr>
      </w:pPr>
    </w:p>
    <w:p>
      <w:pPr>
        <w:spacing w:line="360" w:lineRule="auto"/>
        <w:rPr>
          <w:rFonts w:ascii="Arial" w:hAnsi="Arial" w:cs="Arial"/>
          <w:b/>
          <w:bCs/>
          <w:color w:val="auto"/>
          <w:highlight w:val="none"/>
        </w:rPr>
      </w:pPr>
    </w:p>
    <w:p>
      <w:pPr>
        <w:spacing w:line="360" w:lineRule="auto"/>
        <w:jc w:val="center"/>
        <w:rPr>
          <w:rFonts w:ascii="Arial" w:hAnsi="Arial" w:cs="Arial"/>
          <w:b/>
          <w:bCs/>
          <w:color w:val="auto"/>
          <w:highlight w:val="none"/>
        </w:rPr>
      </w:pPr>
      <w:r>
        <w:rPr>
          <w:rFonts w:ascii="Arial" w:hAnsi="Arial" w:cs="Arial"/>
          <w:b/>
          <w:bCs/>
          <w:color w:val="auto"/>
          <w:sz w:val="28"/>
          <w:highlight w:val="none"/>
        </w:rPr>
        <w:t>节能产品认证证书</w:t>
      </w:r>
    </w:p>
    <w:p>
      <w:pPr>
        <w:spacing w:line="360" w:lineRule="auto"/>
        <w:rPr>
          <w:rFonts w:ascii="Arial" w:hAnsi="Arial" w:cs="Arial"/>
          <w:bCs/>
          <w:color w:val="auto"/>
          <w:highlight w:val="none"/>
        </w:rPr>
      </w:pPr>
      <w:r>
        <w:rPr>
          <w:rFonts w:ascii="Arial" w:hAnsi="Arial" w:cs="Arial"/>
          <w:bCs/>
          <w:color w:val="auto"/>
          <w:highlight w:val="none"/>
        </w:rPr>
        <w:t>（提供国家确定的认证机构出具的、处于有效期之内的产品认证证书）</w:t>
      </w:r>
    </w:p>
    <w:p>
      <w:pPr>
        <w:spacing w:line="360" w:lineRule="auto"/>
        <w:rPr>
          <w:rFonts w:ascii="Arial" w:hAnsi="Arial" w:cs="Arial"/>
          <w:b/>
          <w:bCs/>
          <w:color w:val="auto"/>
          <w:highlight w:val="none"/>
        </w:rPr>
      </w:pPr>
    </w:p>
    <w:p>
      <w:pPr>
        <w:spacing w:line="360" w:lineRule="auto"/>
        <w:rPr>
          <w:rFonts w:ascii="Arial" w:hAnsi="Arial" w:cs="Arial"/>
          <w:b/>
          <w:bCs/>
          <w:color w:val="auto"/>
          <w:highlight w:val="none"/>
        </w:rPr>
      </w:pPr>
    </w:p>
    <w:p>
      <w:pPr>
        <w:spacing w:line="360" w:lineRule="auto"/>
        <w:jc w:val="center"/>
        <w:rPr>
          <w:rFonts w:ascii="Arial" w:hAnsi="Arial" w:cs="Arial"/>
          <w:b/>
          <w:bCs/>
          <w:color w:val="auto"/>
          <w:highlight w:val="none"/>
        </w:rPr>
      </w:pPr>
      <w:r>
        <w:rPr>
          <w:rFonts w:ascii="Arial" w:hAnsi="Arial" w:cs="Arial"/>
          <w:b/>
          <w:bCs/>
          <w:color w:val="auto"/>
          <w:sz w:val="28"/>
          <w:highlight w:val="none"/>
        </w:rPr>
        <w:t>环境标志产品认证证书</w:t>
      </w:r>
    </w:p>
    <w:p>
      <w:pPr>
        <w:spacing w:line="360" w:lineRule="auto"/>
        <w:rPr>
          <w:rFonts w:ascii="Arial" w:hAnsi="Arial" w:cs="Arial"/>
          <w:bCs/>
          <w:color w:val="auto"/>
          <w:highlight w:val="none"/>
        </w:rPr>
      </w:pPr>
      <w:r>
        <w:rPr>
          <w:rFonts w:ascii="Arial" w:hAnsi="Arial" w:cs="Arial"/>
          <w:bCs/>
          <w:color w:val="auto"/>
          <w:highlight w:val="none"/>
        </w:rPr>
        <w:t>（提供国家确定的认证机构出具的、处于有效期之内的产品认证证书）</w:t>
      </w:r>
    </w:p>
    <w:p>
      <w:pPr>
        <w:pStyle w:val="54"/>
        <w:rPr>
          <w:rFonts w:ascii="Arial" w:hAnsi="Arial" w:cs="Arial"/>
          <w:bCs/>
          <w:color w:val="auto"/>
          <w:highlight w:val="none"/>
        </w:rPr>
      </w:pPr>
    </w:p>
    <w:p>
      <w:pPr>
        <w:pStyle w:val="54"/>
        <w:rPr>
          <w:rFonts w:ascii="Arial" w:hAnsi="Arial" w:cs="Arial"/>
          <w:bCs/>
          <w:color w:val="auto"/>
          <w:highlight w:val="none"/>
        </w:rPr>
      </w:pPr>
    </w:p>
    <w:p>
      <w:pPr>
        <w:pStyle w:val="54"/>
        <w:ind w:firstLine="0" w:firstLineChars="0"/>
        <w:rPr>
          <w:rFonts w:ascii="Arial" w:hAnsi="Arial" w:cs="Arial"/>
          <w:bCs/>
          <w:color w:val="auto"/>
          <w:highlight w:val="none"/>
        </w:rPr>
      </w:pPr>
    </w:p>
    <w:p>
      <w:pPr>
        <w:spacing w:line="360" w:lineRule="auto"/>
        <w:jc w:val="center"/>
        <w:rPr>
          <w:rFonts w:ascii="Arial" w:hAnsi="Arial" w:cs="Arial"/>
          <w:b/>
          <w:bCs/>
          <w:color w:val="auto"/>
          <w:sz w:val="28"/>
          <w:highlight w:val="none"/>
        </w:rPr>
      </w:pPr>
      <w:r>
        <w:rPr>
          <w:rFonts w:ascii="Arial" w:hAnsi="Arial" w:cs="Arial"/>
          <w:b/>
          <w:bCs/>
          <w:color w:val="auto"/>
          <w:sz w:val="28"/>
          <w:highlight w:val="none"/>
        </w:rPr>
        <w:t>进口产品转让技术、消化吸收再创新方案</w:t>
      </w:r>
    </w:p>
    <w:p>
      <w:pPr>
        <w:spacing w:line="360" w:lineRule="auto"/>
        <w:rPr>
          <w:rFonts w:ascii="Arial" w:hAnsi="Arial" w:cs="Arial"/>
          <w:bCs/>
          <w:color w:val="auto"/>
          <w:highlight w:val="none"/>
        </w:rPr>
      </w:pPr>
      <w:r>
        <w:rPr>
          <w:rFonts w:ascii="Arial" w:hAnsi="Arial" w:cs="Arial"/>
          <w:bCs/>
          <w:color w:val="auto"/>
          <w:highlight w:val="none"/>
        </w:rPr>
        <w:t>（对于允许进口产品参加的项目）</w:t>
      </w:r>
    </w:p>
    <w:p>
      <w:pPr>
        <w:spacing w:line="360" w:lineRule="auto"/>
        <w:rPr>
          <w:rFonts w:ascii="Arial" w:hAnsi="Arial" w:cs="Arial"/>
          <w:b/>
          <w:bCs/>
          <w:color w:val="auto"/>
          <w:highlight w:val="none"/>
        </w:rPr>
      </w:pPr>
    </w:p>
    <w:p>
      <w:pPr>
        <w:autoSpaceDE w:val="0"/>
        <w:autoSpaceDN w:val="0"/>
        <w:adjustRightInd w:val="0"/>
        <w:spacing w:line="360" w:lineRule="auto"/>
        <w:rPr>
          <w:rFonts w:ascii="Arial" w:hAnsi="Arial" w:cs="Arial"/>
          <w:b/>
          <w:color w:val="auto"/>
          <w:highlight w:val="none"/>
        </w:rPr>
      </w:pPr>
      <w:r>
        <w:rPr>
          <w:rFonts w:ascii="Arial" w:hAnsi="Arial" w:cs="Arial"/>
          <w:b/>
          <w:color w:val="auto"/>
          <w:szCs w:val="21"/>
          <w:highlight w:val="none"/>
          <w:lang w:val="zh-CN"/>
        </w:rPr>
        <w:br w:type="page"/>
      </w:r>
      <w:r>
        <w:rPr>
          <w:rFonts w:ascii="Arial" w:hAnsi="Arial" w:cs="Arial"/>
          <w:b/>
          <w:color w:val="auto"/>
          <w:highlight w:val="none"/>
        </w:rPr>
        <w:t>附件十、无重大违法记录声明格式</w:t>
      </w:r>
    </w:p>
    <w:p>
      <w:pPr>
        <w:spacing w:line="240" w:lineRule="atLeast"/>
        <w:jc w:val="center"/>
        <w:rPr>
          <w:rFonts w:ascii="Arial" w:hAnsi="Arial" w:eastAsia="黑体" w:cs="Arial"/>
          <w:color w:val="auto"/>
          <w:sz w:val="28"/>
          <w:szCs w:val="36"/>
          <w:highlight w:val="none"/>
        </w:rPr>
      </w:pPr>
    </w:p>
    <w:p>
      <w:pPr>
        <w:spacing w:line="240" w:lineRule="atLeast"/>
        <w:jc w:val="center"/>
        <w:rPr>
          <w:rFonts w:ascii="Arial" w:hAnsi="Arial" w:eastAsia="黑体" w:cs="Arial"/>
          <w:color w:val="auto"/>
          <w:sz w:val="28"/>
          <w:szCs w:val="36"/>
          <w:highlight w:val="none"/>
        </w:rPr>
      </w:pPr>
      <w:r>
        <w:rPr>
          <w:rFonts w:ascii="Arial" w:hAnsi="Arial" w:eastAsia="黑体" w:cs="Arial"/>
          <w:color w:val="auto"/>
          <w:sz w:val="28"/>
          <w:szCs w:val="36"/>
          <w:highlight w:val="none"/>
        </w:rPr>
        <w:t>无重大违法记录声明</w:t>
      </w:r>
    </w:p>
    <w:p>
      <w:pPr>
        <w:spacing w:line="360" w:lineRule="auto"/>
        <w:rPr>
          <w:rFonts w:ascii="Arial" w:hAnsi="Arial" w:eastAsia="黑体" w:cs="Arial"/>
          <w:color w:val="auto"/>
          <w:szCs w:val="21"/>
          <w:highlight w:val="none"/>
        </w:rPr>
      </w:pPr>
    </w:p>
    <w:p>
      <w:pPr>
        <w:spacing w:line="360" w:lineRule="auto"/>
        <w:rPr>
          <w:rFonts w:ascii="Arial" w:hAnsi="Arial" w:cs="Arial"/>
          <w:color w:val="auto"/>
          <w:szCs w:val="21"/>
          <w:highlight w:val="none"/>
        </w:rPr>
      </w:pPr>
      <w:r>
        <w:rPr>
          <w:rFonts w:ascii="Arial" w:hAnsi="Arial" w:cs="Arial"/>
          <w:color w:val="auto"/>
          <w:szCs w:val="21"/>
          <w:highlight w:val="none"/>
        </w:rPr>
        <w:t>江苏省设备成套股份有限公司：</w:t>
      </w:r>
    </w:p>
    <w:p>
      <w:pPr>
        <w:spacing w:line="360" w:lineRule="auto"/>
        <w:rPr>
          <w:rFonts w:ascii="Arial" w:hAnsi="Arial" w:cs="Arial"/>
          <w:color w:val="auto"/>
          <w:highlight w:val="none"/>
        </w:rPr>
      </w:pPr>
    </w:p>
    <w:p>
      <w:pPr>
        <w:spacing w:line="360" w:lineRule="auto"/>
        <w:ind w:firstLine="336" w:firstLineChars="160"/>
        <w:rPr>
          <w:rFonts w:ascii="Arial" w:hAnsi="Arial" w:cs="Arial"/>
          <w:color w:val="auto"/>
          <w:highlight w:val="none"/>
        </w:rPr>
      </w:pPr>
      <w:r>
        <w:rPr>
          <w:rFonts w:ascii="Arial" w:hAnsi="Arial" w:cs="Arial"/>
          <w:color w:val="auto"/>
          <w:highlight w:val="none"/>
        </w:rPr>
        <w:t>我单位（供应商名称）郑重声明：</w:t>
      </w:r>
    </w:p>
    <w:p>
      <w:pPr>
        <w:widowControl/>
        <w:shd w:val="clear" w:color="auto" w:fill="FFFFFF"/>
        <w:spacing w:line="360" w:lineRule="auto"/>
        <w:ind w:firstLine="308" w:firstLineChars="147"/>
        <w:rPr>
          <w:rFonts w:ascii="Arial" w:hAnsi="Arial" w:cs="Arial"/>
          <w:b/>
          <w:color w:val="auto"/>
          <w:kern w:val="0"/>
          <w:szCs w:val="21"/>
          <w:highlight w:val="none"/>
        </w:rPr>
      </w:pPr>
      <w:r>
        <w:rPr>
          <w:rFonts w:ascii="Arial" w:hAnsi="Arial" w:cs="Arial"/>
          <w:color w:val="auto"/>
          <w:kern w:val="0"/>
          <w:szCs w:val="21"/>
          <w:highlight w:val="none"/>
        </w:rPr>
        <w:t>我单位</w:t>
      </w:r>
      <w:r>
        <w:rPr>
          <w:rFonts w:ascii="Arial" w:hAnsi="Arial" w:cs="Arial"/>
          <w:color w:val="auto"/>
          <w:highlight w:val="none"/>
        </w:rPr>
        <w:t>参加政府采购活动前3年内在经营活动中（</w:t>
      </w:r>
      <w:r>
        <w:rPr>
          <w:rFonts w:ascii="Arial" w:hAnsi="Arial" w:cs="Arial"/>
          <w:b/>
          <w:i/>
          <w:color w:val="auto"/>
          <w:highlight w:val="none"/>
          <w:u w:val="single"/>
        </w:rPr>
        <w:t>在下划线上如实填写：有或没有</w:t>
      </w:r>
      <w:r>
        <w:rPr>
          <w:rFonts w:ascii="Arial" w:hAnsi="Arial" w:cs="Arial"/>
          <w:color w:val="auto"/>
          <w:highlight w:val="none"/>
        </w:rPr>
        <w:t>）</w:t>
      </w:r>
      <w:r>
        <w:rPr>
          <w:rFonts w:ascii="Arial" w:hAnsi="Arial" w:cs="Arial"/>
          <w:b/>
          <w:color w:val="auto"/>
          <w:highlight w:val="none"/>
        </w:rPr>
        <w:t>重大违法记录</w:t>
      </w:r>
      <w:r>
        <w:rPr>
          <w:rFonts w:ascii="Arial" w:hAnsi="Arial" w:cs="Arial"/>
          <w:b/>
          <w:color w:val="auto"/>
          <w:kern w:val="0"/>
          <w:szCs w:val="21"/>
          <w:highlight w:val="none"/>
        </w:rPr>
        <w:t>，且不是失信被执行人、重大税收违法案件当事人名单、政府采购严重违法失信行为记录名单的供应商。</w:t>
      </w:r>
    </w:p>
    <w:p>
      <w:pPr>
        <w:spacing w:line="360" w:lineRule="auto"/>
        <w:ind w:firstLine="420" w:firstLineChars="200"/>
        <w:rPr>
          <w:rFonts w:ascii="Arial" w:hAnsi="Arial" w:cs="Arial"/>
          <w:color w:val="auto"/>
          <w:highlight w:val="none"/>
        </w:rPr>
      </w:pPr>
    </w:p>
    <w:p>
      <w:pPr>
        <w:spacing w:line="360" w:lineRule="auto"/>
        <w:ind w:firstLine="315" w:firstLineChars="150"/>
        <w:rPr>
          <w:rFonts w:ascii="Arial" w:hAnsi="Arial" w:cs="Arial"/>
          <w:color w:val="auto"/>
          <w:highlight w:val="none"/>
        </w:rPr>
      </w:pPr>
      <w:r>
        <w:rPr>
          <w:rFonts w:ascii="Arial" w:hAnsi="Arial" w:cs="Arial"/>
          <w:color w:val="auto"/>
          <w:highlight w:val="none"/>
        </w:rPr>
        <w:t>（说明：政府采购法第二十二条第一款第五项所称重大违法记录，是指供应商因违法经营受到刑事处罚或者责令停产停业、吊销许可证或者执照、较大数额罚款等行政处罚。）</w:t>
      </w:r>
    </w:p>
    <w:p>
      <w:pPr>
        <w:spacing w:line="360" w:lineRule="auto"/>
        <w:rPr>
          <w:rFonts w:ascii="Arial" w:hAnsi="Arial" w:cs="Arial"/>
          <w:color w:val="auto"/>
          <w:highlight w:val="none"/>
        </w:rPr>
      </w:pPr>
    </w:p>
    <w:p>
      <w:pPr>
        <w:spacing w:line="360" w:lineRule="auto"/>
        <w:rPr>
          <w:rFonts w:ascii="Arial" w:hAnsi="Arial" w:cs="Arial"/>
          <w:color w:val="auto"/>
          <w:highlight w:val="none"/>
        </w:rPr>
      </w:pPr>
    </w:p>
    <w:p>
      <w:pPr>
        <w:spacing w:line="360" w:lineRule="auto"/>
        <w:ind w:firstLine="5103" w:firstLineChars="2430"/>
        <w:rPr>
          <w:rFonts w:ascii="Arial" w:hAnsi="Arial" w:cs="Arial"/>
          <w:color w:val="auto"/>
          <w:highlight w:val="none"/>
        </w:rPr>
      </w:pPr>
      <w:r>
        <w:rPr>
          <w:rFonts w:ascii="Arial" w:hAnsi="Arial" w:cs="Arial"/>
          <w:color w:val="auto"/>
          <w:highlight w:val="none"/>
        </w:rPr>
        <w:t>声明人：（公章）</w:t>
      </w:r>
    </w:p>
    <w:p>
      <w:pPr>
        <w:autoSpaceDE w:val="0"/>
        <w:autoSpaceDN w:val="0"/>
        <w:adjustRightInd w:val="0"/>
        <w:spacing w:line="360" w:lineRule="auto"/>
        <w:ind w:firstLine="5040" w:firstLineChars="2400"/>
        <w:rPr>
          <w:rFonts w:ascii="Arial" w:hAnsi="Arial" w:cs="Arial"/>
          <w:b/>
          <w:color w:val="auto"/>
          <w:highlight w:val="none"/>
        </w:rPr>
      </w:pPr>
      <w:r>
        <w:rPr>
          <w:rFonts w:ascii="Arial" w:hAnsi="Arial" w:cs="Arial"/>
          <w:color w:val="auto"/>
          <w:szCs w:val="21"/>
          <w:highlight w:val="none"/>
          <w:lang w:val="zh-CN"/>
        </w:rPr>
        <w:t>日期：</w:t>
      </w:r>
      <w:r>
        <w:rPr>
          <w:rFonts w:ascii="Arial" w:hAnsi="Arial" w:cs="Arial"/>
          <w:color w:val="auto"/>
          <w:szCs w:val="21"/>
          <w:highlight w:val="none"/>
        </w:rPr>
        <w:t xml:space="preserve">    </w:t>
      </w:r>
      <w:r>
        <w:rPr>
          <w:rFonts w:ascii="Arial" w:hAnsi="Arial" w:cs="Arial"/>
          <w:color w:val="auto"/>
          <w:szCs w:val="21"/>
          <w:highlight w:val="none"/>
          <w:lang w:val="zh-CN"/>
        </w:rPr>
        <w:t>年</w:t>
      </w:r>
      <w:r>
        <w:rPr>
          <w:rFonts w:ascii="Arial" w:hAnsi="Arial" w:cs="Arial"/>
          <w:color w:val="auto"/>
          <w:szCs w:val="21"/>
          <w:highlight w:val="none"/>
        </w:rPr>
        <w:t xml:space="preserve">   </w:t>
      </w:r>
      <w:r>
        <w:rPr>
          <w:rFonts w:ascii="Arial" w:hAnsi="Arial" w:cs="Arial"/>
          <w:color w:val="auto"/>
          <w:szCs w:val="21"/>
          <w:highlight w:val="none"/>
          <w:lang w:val="zh-CN"/>
        </w:rPr>
        <w:t>月</w:t>
      </w:r>
      <w:r>
        <w:rPr>
          <w:rFonts w:ascii="Arial" w:hAnsi="Arial" w:cs="Arial"/>
          <w:b/>
          <w:color w:val="auto"/>
          <w:szCs w:val="21"/>
          <w:highlight w:val="none"/>
          <w:lang w:val="zh-CN"/>
        </w:rPr>
        <w:br w:type="page"/>
      </w:r>
    </w:p>
    <w:p>
      <w:pPr>
        <w:autoSpaceDE w:val="0"/>
        <w:autoSpaceDN w:val="0"/>
        <w:adjustRightInd w:val="0"/>
        <w:spacing w:line="360" w:lineRule="auto"/>
        <w:rPr>
          <w:rFonts w:ascii="Arial" w:hAnsi="Arial" w:cs="Arial"/>
          <w:b/>
          <w:color w:val="auto"/>
          <w:highlight w:val="none"/>
        </w:rPr>
      </w:pPr>
      <w:r>
        <w:rPr>
          <w:rFonts w:ascii="Arial" w:hAnsi="Arial" w:cs="Arial"/>
          <w:b/>
          <w:color w:val="auto"/>
          <w:highlight w:val="none"/>
        </w:rPr>
        <w:t>附件十</w:t>
      </w:r>
      <w:r>
        <w:rPr>
          <w:rFonts w:hint="eastAsia" w:ascii="Arial" w:hAnsi="Arial" w:cs="Arial"/>
          <w:b/>
          <w:color w:val="auto"/>
          <w:highlight w:val="none"/>
        </w:rPr>
        <w:t>一</w:t>
      </w:r>
      <w:r>
        <w:rPr>
          <w:rFonts w:ascii="Arial" w:hAnsi="Arial" w:cs="Arial"/>
          <w:b/>
          <w:color w:val="auto"/>
          <w:highlight w:val="none"/>
        </w:rPr>
        <w:t>、 资格资信证明文件</w:t>
      </w: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p>
    <w:p>
      <w:pPr>
        <w:rPr>
          <w:color w:val="auto"/>
          <w:highlight w:val="none"/>
        </w:rPr>
      </w:pP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r>
        <w:rPr>
          <w:rFonts w:ascii="Arial" w:hAnsi="Arial" w:cs="Arial"/>
          <w:b/>
          <w:color w:val="auto"/>
          <w:highlight w:val="none"/>
        </w:rPr>
        <w:t>附件十</w:t>
      </w:r>
      <w:r>
        <w:rPr>
          <w:rFonts w:hint="eastAsia" w:ascii="Arial" w:hAnsi="Arial" w:cs="Arial"/>
          <w:b/>
          <w:color w:val="auto"/>
          <w:highlight w:val="none"/>
        </w:rPr>
        <w:t>二</w:t>
      </w:r>
      <w:r>
        <w:rPr>
          <w:rFonts w:ascii="Arial" w:hAnsi="Arial" w:cs="Arial"/>
          <w:b/>
          <w:color w:val="auto"/>
          <w:highlight w:val="none"/>
        </w:rPr>
        <w:t>、 联合体协议及联合体授权委托书（如允许联合体）</w:t>
      </w: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r>
        <w:rPr>
          <w:rFonts w:ascii="Arial" w:hAnsi="Arial" w:cs="Arial"/>
          <w:b/>
          <w:color w:val="auto"/>
          <w:highlight w:val="none"/>
        </w:rPr>
        <w:t>附件十</w:t>
      </w:r>
      <w:r>
        <w:rPr>
          <w:rFonts w:hint="eastAsia" w:ascii="Arial" w:hAnsi="Arial" w:cs="Arial"/>
          <w:b/>
          <w:color w:val="auto"/>
          <w:highlight w:val="none"/>
        </w:rPr>
        <w:t>三</w:t>
      </w:r>
      <w:r>
        <w:rPr>
          <w:rFonts w:ascii="Arial" w:hAnsi="Arial" w:cs="Arial"/>
          <w:b/>
          <w:color w:val="auto"/>
          <w:highlight w:val="none"/>
        </w:rPr>
        <w:t>、</w:t>
      </w:r>
      <w:r>
        <w:rPr>
          <w:rFonts w:hint="eastAsia" w:ascii="Arial" w:hAnsi="Arial" w:cs="Arial"/>
          <w:b/>
          <w:color w:val="auto"/>
          <w:highlight w:val="none"/>
        </w:rPr>
        <w:t>投标保证金缴纳凭证</w:t>
      </w:r>
      <w:r>
        <w:rPr>
          <w:rFonts w:ascii="Arial" w:hAnsi="Arial" w:cs="Arial"/>
          <w:b/>
          <w:color w:val="auto"/>
          <w:highlight w:val="none"/>
        </w:rPr>
        <w:t>（如需要）</w:t>
      </w: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p>
    <w:p>
      <w:pPr>
        <w:rPr>
          <w:color w:val="auto"/>
          <w:highlight w:val="none"/>
        </w:rPr>
      </w:pP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p>
    <w:p>
      <w:pPr>
        <w:autoSpaceDE w:val="0"/>
        <w:autoSpaceDN w:val="0"/>
        <w:adjustRightInd w:val="0"/>
        <w:spacing w:line="360" w:lineRule="auto"/>
        <w:rPr>
          <w:rFonts w:ascii="Arial" w:hAnsi="Arial" w:cs="Arial"/>
          <w:b/>
          <w:color w:val="auto"/>
          <w:highlight w:val="none"/>
        </w:rPr>
      </w:pPr>
      <w:r>
        <w:rPr>
          <w:rFonts w:ascii="Arial" w:hAnsi="Arial" w:cs="Arial"/>
          <w:b/>
          <w:color w:val="auto"/>
          <w:highlight w:val="none"/>
        </w:rPr>
        <w:t>附件十</w:t>
      </w:r>
      <w:r>
        <w:rPr>
          <w:rFonts w:hint="eastAsia" w:ascii="Arial" w:hAnsi="Arial" w:cs="Arial"/>
          <w:b/>
          <w:color w:val="auto"/>
          <w:highlight w:val="none"/>
        </w:rPr>
        <w:t>四</w:t>
      </w:r>
      <w:r>
        <w:rPr>
          <w:rFonts w:ascii="Arial" w:hAnsi="Arial" w:cs="Arial"/>
          <w:b/>
          <w:color w:val="auto"/>
          <w:highlight w:val="none"/>
        </w:rPr>
        <w:t>、其他</w:t>
      </w:r>
    </w:p>
    <w:sectPr>
      <w:pgSz w:w="11906" w:h="16838"/>
      <w:pgMar w:top="1440" w:right="1800" w:bottom="1440" w:left="16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F433B4E-4350-43D0-9FB6-0F105E4F5A23}"/>
  </w:font>
  <w:font w:name="黑体">
    <w:panose1 w:val="02010609060101010101"/>
    <w:charset w:val="86"/>
    <w:family w:val="auto"/>
    <w:pitch w:val="default"/>
    <w:sig w:usb0="800002BF" w:usb1="38CF7CFA" w:usb2="00000016" w:usb3="00000000" w:csb0="00040001" w:csb1="00000000"/>
    <w:embedRegular r:id="rId2" w:fontKey="{945FCA40-FC0B-4734-9A52-AC1CF4E8689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Wonder Arial">
    <w:altName w:val="Arial"/>
    <w:panose1 w:val="00000000000000000000"/>
    <w:charset w:val="00"/>
    <w:family w:val="auto"/>
    <w:pitch w:val="default"/>
    <w:sig w:usb0="00000000" w:usb1="00000000" w:usb2="00000000" w:usb3="00000000" w:csb0="00000011" w:csb1="00000000"/>
  </w:font>
  <w:font w:name="仿宋">
    <w:panose1 w:val="02010609060101010101"/>
    <w:charset w:val="86"/>
    <w:family w:val="modern"/>
    <w:pitch w:val="default"/>
    <w:sig w:usb0="800002BF" w:usb1="38CF7CFA" w:usb2="00000016" w:usb3="00000000" w:csb0="00040001" w:csb1="00000000"/>
    <w:embedRegular r:id="rId3" w:fontKey="{EA2891CC-45DB-4D6A-9319-57AA4999C3B4}"/>
  </w:font>
  <w:font w:name="Arial Black">
    <w:panose1 w:val="020B0A04020102020204"/>
    <w:charset w:val="00"/>
    <w:family w:val="swiss"/>
    <w:pitch w:val="default"/>
    <w:sig w:usb0="A00002AF" w:usb1="400078FB" w:usb2="00000000" w:usb3="00000000" w:csb0="6000009F" w:csb1="DFD7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方正仿宋_GBK">
    <w:altName w:val="微软雅黑"/>
    <w:panose1 w:val="03000509000000000000"/>
    <w:charset w:val="86"/>
    <w:family w:val="script"/>
    <w:pitch w:val="default"/>
    <w:sig w:usb0="00000000" w:usb1="00000000" w:usb2="00000010" w:usb3="00000000" w:csb0="003C0041" w:csb1="00000000"/>
    <w:embedRegular r:id="rId4" w:fontKey="{F7492659-7158-4B31-9B93-A99FDDD128D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JUR0j8QBAACQAwAADgAAAAAAAAABACAAAAAeAQAAZHJzL2Uyb0RvYy54bWxQ&#10;SwUGAAAAAAYABgBZAQAAVAUAAAAA&#10;">
              <v:fill on="f" focussize="0,0"/>
              <v:stroke on="f"/>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omXUMQBAACQ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ijfJoV6DxUmPnlMjcOdG3BvZj+gMxEf2mDSFykRjKO+p4u+cohEpEercrUqMCQwNl8Qnz0/9wHi&#10;e+kMSUZNAw4w68qPjxDH1DklVbPuXmmdh6jtXw7ETB6Weh97TFYcdsNEaOeaE/LpcfY1tbjqlOgH&#10;i9KmNZmNMBu7yUg1wN8eIhbO/STUEWoqhoPKjKalSpvw5z1nPf9Im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PomXUMQBAACQAwAADgAAAAAAAAABACAAAAAeAQAAZHJzL2Uyb0RvYy54bWxQ&#10;SwUGAAAAAAYABgBZAQAAVAUAAAAA&#10;">
              <v:fill on="f" focussize="0,0"/>
              <v:stroke on="f"/>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it5sQBAACQAwAADgAAAGRycy9lMm9Eb2MueG1srVPNjtMwEL4j8Q6W&#10;79Rpk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TkWtAeHN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8it5sQBAACQAwAADgAAAAAAAAABACAAAAAeAQAAZHJzL2Uyb0RvYy54bWxQ&#10;SwUGAAAAAAYABgBZAQAAVAUAAAAA&#10;">
              <v:fill on="f" focussize="0,0"/>
              <v:stroke on="f"/>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6kua8QBAACQAwAADgAAAGRycy9lMm9Eb2MueG1srVNLbtswEN0XyB0I&#10;7mPKRlE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yUg1wN8eIhbO/STUEWoqhoPKjKalSpvw5z1nPf9Im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c6kua8QBAACQAwAADgAAAAAAAAABACAAAAAeAQAAZHJzL2Uyb0RvYy54bWxQ&#10;SwUGAAAAAAYABgBZAQAAVAUAAAAA&#10;">
              <v:fill on="f" focussize="0,0"/>
              <v:stroke on="f"/>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45"/>
      <w:lvlText w:val="%1"/>
      <w:lvlJc w:val="left"/>
      <w:pPr>
        <w:ind w:left="425" w:hanging="425"/>
      </w:pPr>
      <w:rPr>
        <w:rFonts w:hint="eastAsia" w:ascii="Arial Black" w:hAnsi="Arial Black" w:eastAsia="微软雅黑"/>
        <w:b/>
        <w:i w:val="0"/>
        <w:lang w:val="en-US"/>
      </w:rPr>
    </w:lvl>
    <w:lvl w:ilvl="1" w:tentative="0">
      <w:start w:val="1"/>
      <w:numFmt w:val="decimal"/>
      <w:pStyle w:val="165"/>
      <w:isLgl/>
      <w:lvlText w:val="%1.%2"/>
      <w:lvlJc w:val="left"/>
      <w:pPr>
        <w:ind w:left="425" w:hanging="425"/>
      </w:pPr>
      <w:rPr>
        <w:rFonts w:hint="eastAsia" w:ascii="Arial Black" w:hAnsi="Arial Black" w:eastAsia="微软雅黑"/>
        <w:b/>
        <w:i w:val="0"/>
      </w:rPr>
    </w:lvl>
    <w:lvl w:ilvl="2" w:tentative="0">
      <w:start w:val="1"/>
      <w:numFmt w:val="decimal"/>
      <w:pStyle w:val="179"/>
      <w:isLgl/>
      <w:lvlText w:val="%1.%2.%3"/>
      <w:lvlJc w:val="left"/>
      <w:pPr>
        <w:ind w:left="425" w:hanging="425"/>
      </w:pPr>
      <w:rPr>
        <w:rFonts w:hint="eastAsia" w:ascii="Arial Black" w:hAnsi="Arial Black" w:eastAsia="微软雅黑"/>
        <w:b/>
        <w:i w:val="0"/>
      </w:rPr>
    </w:lvl>
    <w:lvl w:ilvl="3" w:tentative="0">
      <w:start w:val="1"/>
      <w:numFmt w:val="decimal"/>
      <w:isLgl/>
      <w:lvlText w:val="%1.%2.%3.%4"/>
      <w:lvlJc w:val="left"/>
      <w:pPr>
        <w:ind w:left="425" w:hanging="425"/>
      </w:pPr>
      <w:rPr>
        <w:rFonts w:hint="eastAsia" w:ascii="Arial Black" w:hAnsi="Arial Black" w:eastAsia="微软雅黑"/>
        <w:b/>
        <w:i w:val="0"/>
      </w:rPr>
    </w:lvl>
    <w:lvl w:ilvl="4" w:tentative="0">
      <w:start w:val="1"/>
      <w:numFmt w:val="decimal"/>
      <w:isLgl/>
      <w:lvlText w:val="%1.%2.%3.%4.%5"/>
      <w:lvlJc w:val="left"/>
      <w:pPr>
        <w:ind w:left="425" w:hanging="425"/>
      </w:pPr>
      <w:rPr>
        <w:rFonts w:hint="eastAsia" w:ascii="Arial Black" w:hAnsi="Arial Black"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14590CD4"/>
    <w:multiLevelType w:val="singleLevel"/>
    <w:tmpl w:val="14590CD4"/>
    <w:lvl w:ilvl="0" w:tentative="0">
      <w:start w:val="5"/>
      <w:numFmt w:val="chineseCounting"/>
      <w:suff w:val="space"/>
      <w:lvlText w:val="第%1章"/>
      <w:lvlJc w:val="left"/>
      <w:rPr>
        <w:rFonts w:hint="eastAsia"/>
      </w:rPr>
    </w:lvl>
  </w:abstractNum>
  <w:abstractNum w:abstractNumId="4">
    <w:nsid w:val="16954B7A"/>
    <w:multiLevelType w:val="singleLevel"/>
    <w:tmpl w:val="16954B7A"/>
    <w:lvl w:ilvl="0" w:tentative="0">
      <w:start w:val="29"/>
      <w:numFmt w:val="decimal"/>
      <w:suff w:val="nothing"/>
      <w:lvlText w:val="%1、"/>
      <w:lvlJc w:val="left"/>
    </w:lvl>
  </w:abstractNum>
  <w:abstractNum w:abstractNumId="5">
    <w:nsid w:val="5915610C"/>
    <w:multiLevelType w:val="singleLevel"/>
    <w:tmpl w:val="5915610C"/>
    <w:lvl w:ilvl="0" w:tentative="0">
      <w:start w:val="1"/>
      <w:numFmt w:val="decimal"/>
      <w:suff w:val="nothing"/>
      <w:lvlText w:val="%1、"/>
      <w:lvlJc w:val="left"/>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Q3ZjQ0M2YzMzMzZmRkNWQyMzkyY2Y5ODQwMDlhMTcifQ=="/>
  </w:docVars>
  <w:rsids>
    <w:rsidRoot w:val="00172A27"/>
    <w:rsid w:val="000033BC"/>
    <w:rsid w:val="000037BA"/>
    <w:rsid w:val="00003E09"/>
    <w:rsid w:val="00004ADD"/>
    <w:rsid w:val="00013EE1"/>
    <w:rsid w:val="00016168"/>
    <w:rsid w:val="000207B3"/>
    <w:rsid w:val="00020AA1"/>
    <w:rsid w:val="00020F19"/>
    <w:rsid w:val="000240F2"/>
    <w:rsid w:val="00024385"/>
    <w:rsid w:val="0002464E"/>
    <w:rsid w:val="00026D12"/>
    <w:rsid w:val="00031EC9"/>
    <w:rsid w:val="00032B4A"/>
    <w:rsid w:val="00032EB2"/>
    <w:rsid w:val="00033F13"/>
    <w:rsid w:val="00035A5A"/>
    <w:rsid w:val="00037558"/>
    <w:rsid w:val="0004062C"/>
    <w:rsid w:val="000427E1"/>
    <w:rsid w:val="00042948"/>
    <w:rsid w:val="00043A61"/>
    <w:rsid w:val="00044757"/>
    <w:rsid w:val="00044FB9"/>
    <w:rsid w:val="000458DD"/>
    <w:rsid w:val="000473B7"/>
    <w:rsid w:val="00047F5E"/>
    <w:rsid w:val="00051706"/>
    <w:rsid w:val="00051ABD"/>
    <w:rsid w:val="00051BCC"/>
    <w:rsid w:val="00051EB2"/>
    <w:rsid w:val="000527C8"/>
    <w:rsid w:val="00054F7D"/>
    <w:rsid w:val="00056E6B"/>
    <w:rsid w:val="0006006F"/>
    <w:rsid w:val="00060B89"/>
    <w:rsid w:val="00062472"/>
    <w:rsid w:val="000640E2"/>
    <w:rsid w:val="0006476D"/>
    <w:rsid w:val="00064BCC"/>
    <w:rsid w:val="00067D84"/>
    <w:rsid w:val="00072185"/>
    <w:rsid w:val="00081250"/>
    <w:rsid w:val="000851FF"/>
    <w:rsid w:val="0008631F"/>
    <w:rsid w:val="000963C4"/>
    <w:rsid w:val="00096BB7"/>
    <w:rsid w:val="00097207"/>
    <w:rsid w:val="00097293"/>
    <w:rsid w:val="00097411"/>
    <w:rsid w:val="000978F6"/>
    <w:rsid w:val="00097C5F"/>
    <w:rsid w:val="000A45A0"/>
    <w:rsid w:val="000A573E"/>
    <w:rsid w:val="000A7DA8"/>
    <w:rsid w:val="000B086C"/>
    <w:rsid w:val="000B21A6"/>
    <w:rsid w:val="000B4AC4"/>
    <w:rsid w:val="000B5EB0"/>
    <w:rsid w:val="000B6FEE"/>
    <w:rsid w:val="000C3C47"/>
    <w:rsid w:val="000D18A2"/>
    <w:rsid w:val="000D4CDD"/>
    <w:rsid w:val="000E0528"/>
    <w:rsid w:val="000E513A"/>
    <w:rsid w:val="000E5792"/>
    <w:rsid w:val="000E595A"/>
    <w:rsid w:val="000E6BE6"/>
    <w:rsid w:val="000E70D0"/>
    <w:rsid w:val="000E7AEC"/>
    <w:rsid w:val="000F353A"/>
    <w:rsid w:val="000F3911"/>
    <w:rsid w:val="000F64B8"/>
    <w:rsid w:val="00100C2D"/>
    <w:rsid w:val="00102973"/>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C84"/>
    <w:rsid w:val="0013431C"/>
    <w:rsid w:val="0014045A"/>
    <w:rsid w:val="0014108C"/>
    <w:rsid w:val="00142258"/>
    <w:rsid w:val="00145CD4"/>
    <w:rsid w:val="00153691"/>
    <w:rsid w:val="00156B27"/>
    <w:rsid w:val="00156C22"/>
    <w:rsid w:val="001620DA"/>
    <w:rsid w:val="00163D70"/>
    <w:rsid w:val="00165899"/>
    <w:rsid w:val="001709AF"/>
    <w:rsid w:val="00172A27"/>
    <w:rsid w:val="00172BB0"/>
    <w:rsid w:val="00173F2B"/>
    <w:rsid w:val="00176ACB"/>
    <w:rsid w:val="00180512"/>
    <w:rsid w:val="00184409"/>
    <w:rsid w:val="00190367"/>
    <w:rsid w:val="00190B4C"/>
    <w:rsid w:val="0019168F"/>
    <w:rsid w:val="00193455"/>
    <w:rsid w:val="00197E0F"/>
    <w:rsid w:val="001A38B9"/>
    <w:rsid w:val="001A7DAF"/>
    <w:rsid w:val="001B0329"/>
    <w:rsid w:val="001B4A81"/>
    <w:rsid w:val="001B77CB"/>
    <w:rsid w:val="001C158D"/>
    <w:rsid w:val="001C226C"/>
    <w:rsid w:val="001C29EE"/>
    <w:rsid w:val="001C34CC"/>
    <w:rsid w:val="001C6D1C"/>
    <w:rsid w:val="001D3678"/>
    <w:rsid w:val="001D4C43"/>
    <w:rsid w:val="001D56B2"/>
    <w:rsid w:val="001E4541"/>
    <w:rsid w:val="001E566C"/>
    <w:rsid w:val="001E6506"/>
    <w:rsid w:val="001F2EB7"/>
    <w:rsid w:val="001F3EF6"/>
    <w:rsid w:val="001F7C09"/>
    <w:rsid w:val="00201CD1"/>
    <w:rsid w:val="00201D97"/>
    <w:rsid w:val="00202386"/>
    <w:rsid w:val="002035A8"/>
    <w:rsid w:val="00206E55"/>
    <w:rsid w:val="00207739"/>
    <w:rsid w:val="002079EB"/>
    <w:rsid w:val="00210C2B"/>
    <w:rsid w:val="00213F8B"/>
    <w:rsid w:val="00215B16"/>
    <w:rsid w:val="0021753F"/>
    <w:rsid w:val="002179DE"/>
    <w:rsid w:val="002215ED"/>
    <w:rsid w:val="00226A2F"/>
    <w:rsid w:val="00227213"/>
    <w:rsid w:val="00235A36"/>
    <w:rsid w:val="002366FB"/>
    <w:rsid w:val="002368B0"/>
    <w:rsid w:val="0023761F"/>
    <w:rsid w:val="00241C7D"/>
    <w:rsid w:val="0024462B"/>
    <w:rsid w:val="0025013B"/>
    <w:rsid w:val="00250EDD"/>
    <w:rsid w:val="00253197"/>
    <w:rsid w:val="002570EE"/>
    <w:rsid w:val="002604F0"/>
    <w:rsid w:val="00263349"/>
    <w:rsid w:val="002708AF"/>
    <w:rsid w:val="002740C3"/>
    <w:rsid w:val="0027735C"/>
    <w:rsid w:val="0027753E"/>
    <w:rsid w:val="002810AC"/>
    <w:rsid w:val="002812CC"/>
    <w:rsid w:val="002867C5"/>
    <w:rsid w:val="00293EC3"/>
    <w:rsid w:val="00295A7F"/>
    <w:rsid w:val="002A3AF4"/>
    <w:rsid w:val="002A74F1"/>
    <w:rsid w:val="002A7B32"/>
    <w:rsid w:val="002B7B7D"/>
    <w:rsid w:val="002C084A"/>
    <w:rsid w:val="002C24AF"/>
    <w:rsid w:val="002C4A64"/>
    <w:rsid w:val="002C6711"/>
    <w:rsid w:val="002D2894"/>
    <w:rsid w:val="002D696C"/>
    <w:rsid w:val="002D7BA2"/>
    <w:rsid w:val="002E0562"/>
    <w:rsid w:val="002E0FD5"/>
    <w:rsid w:val="002E35B5"/>
    <w:rsid w:val="002E3BC8"/>
    <w:rsid w:val="002E585D"/>
    <w:rsid w:val="002E5CD7"/>
    <w:rsid w:val="002E67FB"/>
    <w:rsid w:val="002E6D7C"/>
    <w:rsid w:val="002F0C61"/>
    <w:rsid w:val="002F4462"/>
    <w:rsid w:val="002F5066"/>
    <w:rsid w:val="002F5D82"/>
    <w:rsid w:val="002F6084"/>
    <w:rsid w:val="0030167A"/>
    <w:rsid w:val="00304E56"/>
    <w:rsid w:val="003074A8"/>
    <w:rsid w:val="003120B1"/>
    <w:rsid w:val="003129FD"/>
    <w:rsid w:val="00312B26"/>
    <w:rsid w:val="00313484"/>
    <w:rsid w:val="00313AEF"/>
    <w:rsid w:val="00313BF3"/>
    <w:rsid w:val="003141CA"/>
    <w:rsid w:val="003154A3"/>
    <w:rsid w:val="003203E5"/>
    <w:rsid w:val="003246D4"/>
    <w:rsid w:val="00326C8C"/>
    <w:rsid w:val="00327533"/>
    <w:rsid w:val="003309C5"/>
    <w:rsid w:val="003335D3"/>
    <w:rsid w:val="00334124"/>
    <w:rsid w:val="00340850"/>
    <w:rsid w:val="0034418A"/>
    <w:rsid w:val="00345DB5"/>
    <w:rsid w:val="00346E30"/>
    <w:rsid w:val="0034735E"/>
    <w:rsid w:val="00351AFA"/>
    <w:rsid w:val="003527FB"/>
    <w:rsid w:val="00352E13"/>
    <w:rsid w:val="00357CF7"/>
    <w:rsid w:val="003600F4"/>
    <w:rsid w:val="003651BD"/>
    <w:rsid w:val="00367044"/>
    <w:rsid w:val="00367B81"/>
    <w:rsid w:val="0037007A"/>
    <w:rsid w:val="00372366"/>
    <w:rsid w:val="00372537"/>
    <w:rsid w:val="00374628"/>
    <w:rsid w:val="003762DA"/>
    <w:rsid w:val="003767C0"/>
    <w:rsid w:val="00381242"/>
    <w:rsid w:val="0038766E"/>
    <w:rsid w:val="00393EC0"/>
    <w:rsid w:val="003969C7"/>
    <w:rsid w:val="003A12C6"/>
    <w:rsid w:val="003A1936"/>
    <w:rsid w:val="003A2501"/>
    <w:rsid w:val="003A2F14"/>
    <w:rsid w:val="003A3E1F"/>
    <w:rsid w:val="003A477C"/>
    <w:rsid w:val="003A565F"/>
    <w:rsid w:val="003B1470"/>
    <w:rsid w:val="003B57AF"/>
    <w:rsid w:val="003B5E57"/>
    <w:rsid w:val="003B6BFB"/>
    <w:rsid w:val="003B6DB0"/>
    <w:rsid w:val="003C5B1B"/>
    <w:rsid w:val="003D11A8"/>
    <w:rsid w:val="003E1379"/>
    <w:rsid w:val="003E582E"/>
    <w:rsid w:val="003F22CE"/>
    <w:rsid w:val="003F2F8E"/>
    <w:rsid w:val="003F2FB9"/>
    <w:rsid w:val="003F374E"/>
    <w:rsid w:val="003F49F0"/>
    <w:rsid w:val="003F604B"/>
    <w:rsid w:val="00400EF4"/>
    <w:rsid w:val="00401780"/>
    <w:rsid w:val="00403E2E"/>
    <w:rsid w:val="0040420E"/>
    <w:rsid w:val="00407F04"/>
    <w:rsid w:val="004112F7"/>
    <w:rsid w:val="004119C7"/>
    <w:rsid w:val="00413B7E"/>
    <w:rsid w:val="00413DA2"/>
    <w:rsid w:val="004157AF"/>
    <w:rsid w:val="00420A4C"/>
    <w:rsid w:val="00434F67"/>
    <w:rsid w:val="00435AEC"/>
    <w:rsid w:val="004361EB"/>
    <w:rsid w:val="0043707B"/>
    <w:rsid w:val="00440CD0"/>
    <w:rsid w:val="0044226E"/>
    <w:rsid w:val="00443704"/>
    <w:rsid w:val="00447E6A"/>
    <w:rsid w:val="004506CC"/>
    <w:rsid w:val="004515CD"/>
    <w:rsid w:val="0045464A"/>
    <w:rsid w:val="0045557D"/>
    <w:rsid w:val="00455F44"/>
    <w:rsid w:val="00456DEB"/>
    <w:rsid w:val="0046330A"/>
    <w:rsid w:val="00463ACA"/>
    <w:rsid w:val="00463CB4"/>
    <w:rsid w:val="004642FE"/>
    <w:rsid w:val="00470C69"/>
    <w:rsid w:val="004726C8"/>
    <w:rsid w:val="00476ECA"/>
    <w:rsid w:val="00477B1A"/>
    <w:rsid w:val="00483480"/>
    <w:rsid w:val="00484798"/>
    <w:rsid w:val="00484BCF"/>
    <w:rsid w:val="004860C3"/>
    <w:rsid w:val="00492FA1"/>
    <w:rsid w:val="00497549"/>
    <w:rsid w:val="004A24F0"/>
    <w:rsid w:val="004A5E41"/>
    <w:rsid w:val="004C1F95"/>
    <w:rsid w:val="004C4DBA"/>
    <w:rsid w:val="004C5EAB"/>
    <w:rsid w:val="004C6150"/>
    <w:rsid w:val="004C6A6C"/>
    <w:rsid w:val="004C6F0B"/>
    <w:rsid w:val="004C6F22"/>
    <w:rsid w:val="004C7623"/>
    <w:rsid w:val="004D07DF"/>
    <w:rsid w:val="004D611F"/>
    <w:rsid w:val="004D7D51"/>
    <w:rsid w:val="004E3F50"/>
    <w:rsid w:val="004E58AB"/>
    <w:rsid w:val="004E6188"/>
    <w:rsid w:val="004F0BBC"/>
    <w:rsid w:val="00501DC6"/>
    <w:rsid w:val="00502239"/>
    <w:rsid w:val="00502CFD"/>
    <w:rsid w:val="00502FF2"/>
    <w:rsid w:val="00507FE8"/>
    <w:rsid w:val="00512D9D"/>
    <w:rsid w:val="00517586"/>
    <w:rsid w:val="00520554"/>
    <w:rsid w:val="0052251E"/>
    <w:rsid w:val="005278AA"/>
    <w:rsid w:val="005334EE"/>
    <w:rsid w:val="0053471D"/>
    <w:rsid w:val="005358FA"/>
    <w:rsid w:val="00535C12"/>
    <w:rsid w:val="00542510"/>
    <w:rsid w:val="005430D6"/>
    <w:rsid w:val="0054652E"/>
    <w:rsid w:val="0054703C"/>
    <w:rsid w:val="00550D42"/>
    <w:rsid w:val="00550DC4"/>
    <w:rsid w:val="005514AF"/>
    <w:rsid w:val="00551B4A"/>
    <w:rsid w:val="00552394"/>
    <w:rsid w:val="005525C3"/>
    <w:rsid w:val="00552860"/>
    <w:rsid w:val="00554AFE"/>
    <w:rsid w:val="00557436"/>
    <w:rsid w:val="005627DD"/>
    <w:rsid w:val="0056374A"/>
    <w:rsid w:val="00566375"/>
    <w:rsid w:val="00567F95"/>
    <w:rsid w:val="00572476"/>
    <w:rsid w:val="00573C88"/>
    <w:rsid w:val="005759AF"/>
    <w:rsid w:val="005770BB"/>
    <w:rsid w:val="00580AB2"/>
    <w:rsid w:val="00582092"/>
    <w:rsid w:val="005852C9"/>
    <w:rsid w:val="00585A68"/>
    <w:rsid w:val="005868C9"/>
    <w:rsid w:val="00586A03"/>
    <w:rsid w:val="00586B6F"/>
    <w:rsid w:val="00586E84"/>
    <w:rsid w:val="005877F6"/>
    <w:rsid w:val="00592F71"/>
    <w:rsid w:val="00592FF1"/>
    <w:rsid w:val="005A495B"/>
    <w:rsid w:val="005A56EA"/>
    <w:rsid w:val="005A61D7"/>
    <w:rsid w:val="005B7896"/>
    <w:rsid w:val="005C0FD4"/>
    <w:rsid w:val="005C31E6"/>
    <w:rsid w:val="005C3479"/>
    <w:rsid w:val="005C4816"/>
    <w:rsid w:val="005C5E8D"/>
    <w:rsid w:val="005D00AF"/>
    <w:rsid w:val="005D3E66"/>
    <w:rsid w:val="005D5118"/>
    <w:rsid w:val="005E04C9"/>
    <w:rsid w:val="005E0A69"/>
    <w:rsid w:val="005E5029"/>
    <w:rsid w:val="005E58CC"/>
    <w:rsid w:val="005E6299"/>
    <w:rsid w:val="005F35E4"/>
    <w:rsid w:val="005F46BB"/>
    <w:rsid w:val="005F5E49"/>
    <w:rsid w:val="00600CEF"/>
    <w:rsid w:val="00601094"/>
    <w:rsid w:val="00601B4B"/>
    <w:rsid w:val="00603813"/>
    <w:rsid w:val="00606EDF"/>
    <w:rsid w:val="006128AC"/>
    <w:rsid w:val="0061542D"/>
    <w:rsid w:val="00620715"/>
    <w:rsid w:val="00624187"/>
    <w:rsid w:val="006252AF"/>
    <w:rsid w:val="006304CC"/>
    <w:rsid w:val="00631DEC"/>
    <w:rsid w:val="0063310F"/>
    <w:rsid w:val="0063400A"/>
    <w:rsid w:val="00634CC2"/>
    <w:rsid w:val="00635435"/>
    <w:rsid w:val="00636109"/>
    <w:rsid w:val="00637F2B"/>
    <w:rsid w:val="00646FBB"/>
    <w:rsid w:val="006476CE"/>
    <w:rsid w:val="006503D3"/>
    <w:rsid w:val="00654CF6"/>
    <w:rsid w:val="00655583"/>
    <w:rsid w:val="00656945"/>
    <w:rsid w:val="00661BA3"/>
    <w:rsid w:val="0066223F"/>
    <w:rsid w:val="00663C55"/>
    <w:rsid w:val="0067483E"/>
    <w:rsid w:val="0067674F"/>
    <w:rsid w:val="00676AA0"/>
    <w:rsid w:val="00676B2B"/>
    <w:rsid w:val="00681700"/>
    <w:rsid w:val="006935CB"/>
    <w:rsid w:val="0069514B"/>
    <w:rsid w:val="00697D38"/>
    <w:rsid w:val="006A0450"/>
    <w:rsid w:val="006A2FA2"/>
    <w:rsid w:val="006A6A77"/>
    <w:rsid w:val="006A76FC"/>
    <w:rsid w:val="006B10BA"/>
    <w:rsid w:val="006B21F9"/>
    <w:rsid w:val="006B4C50"/>
    <w:rsid w:val="006B690E"/>
    <w:rsid w:val="006B70FF"/>
    <w:rsid w:val="006B7FF7"/>
    <w:rsid w:val="006C01BE"/>
    <w:rsid w:val="006D0719"/>
    <w:rsid w:val="006D09F2"/>
    <w:rsid w:val="006D1409"/>
    <w:rsid w:val="006D3D8B"/>
    <w:rsid w:val="006E1B8C"/>
    <w:rsid w:val="006E7D40"/>
    <w:rsid w:val="006F0FCE"/>
    <w:rsid w:val="006F31BB"/>
    <w:rsid w:val="006F36D3"/>
    <w:rsid w:val="006F6030"/>
    <w:rsid w:val="006F62A0"/>
    <w:rsid w:val="006F75D1"/>
    <w:rsid w:val="006F7B4F"/>
    <w:rsid w:val="00703446"/>
    <w:rsid w:val="007045EC"/>
    <w:rsid w:val="007118A7"/>
    <w:rsid w:val="00711B4E"/>
    <w:rsid w:val="0071236C"/>
    <w:rsid w:val="007139E4"/>
    <w:rsid w:val="007177BB"/>
    <w:rsid w:val="00720E8A"/>
    <w:rsid w:val="007213DC"/>
    <w:rsid w:val="0072184F"/>
    <w:rsid w:val="007221B0"/>
    <w:rsid w:val="00727891"/>
    <w:rsid w:val="007305AB"/>
    <w:rsid w:val="0073090C"/>
    <w:rsid w:val="00731C48"/>
    <w:rsid w:val="0073200D"/>
    <w:rsid w:val="00732750"/>
    <w:rsid w:val="007341A1"/>
    <w:rsid w:val="00735E4B"/>
    <w:rsid w:val="007364B5"/>
    <w:rsid w:val="007422E5"/>
    <w:rsid w:val="00742ACC"/>
    <w:rsid w:val="007458B4"/>
    <w:rsid w:val="00746717"/>
    <w:rsid w:val="007467DE"/>
    <w:rsid w:val="007503CF"/>
    <w:rsid w:val="00753361"/>
    <w:rsid w:val="007571EB"/>
    <w:rsid w:val="00761959"/>
    <w:rsid w:val="00761F7A"/>
    <w:rsid w:val="00762879"/>
    <w:rsid w:val="007639EB"/>
    <w:rsid w:val="00764437"/>
    <w:rsid w:val="00764D39"/>
    <w:rsid w:val="00767F86"/>
    <w:rsid w:val="00772B9E"/>
    <w:rsid w:val="00773D1C"/>
    <w:rsid w:val="00774A96"/>
    <w:rsid w:val="007752BE"/>
    <w:rsid w:val="00775C02"/>
    <w:rsid w:val="007763D4"/>
    <w:rsid w:val="00777BF5"/>
    <w:rsid w:val="00781498"/>
    <w:rsid w:val="00784A5B"/>
    <w:rsid w:val="0079007B"/>
    <w:rsid w:val="007903B1"/>
    <w:rsid w:val="00791A2F"/>
    <w:rsid w:val="00793211"/>
    <w:rsid w:val="0079589E"/>
    <w:rsid w:val="00795DE4"/>
    <w:rsid w:val="007A5697"/>
    <w:rsid w:val="007A6D30"/>
    <w:rsid w:val="007A7822"/>
    <w:rsid w:val="007A79AE"/>
    <w:rsid w:val="007B00C4"/>
    <w:rsid w:val="007B0587"/>
    <w:rsid w:val="007B2825"/>
    <w:rsid w:val="007B4D43"/>
    <w:rsid w:val="007B4D6A"/>
    <w:rsid w:val="007B6685"/>
    <w:rsid w:val="007C0C37"/>
    <w:rsid w:val="007C1804"/>
    <w:rsid w:val="007C3478"/>
    <w:rsid w:val="007C701D"/>
    <w:rsid w:val="007D23BF"/>
    <w:rsid w:val="007D60DB"/>
    <w:rsid w:val="007D615F"/>
    <w:rsid w:val="007E05FE"/>
    <w:rsid w:val="007E0C57"/>
    <w:rsid w:val="007E5512"/>
    <w:rsid w:val="007F403B"/>
    <w:rsid w:val="00800176"/>
    <w:rsid w:val="00801882"/>
    <w:rsid w:val="00802408"/>
    <w:rsid w:val="008100C8"/>
    <w:rsid w:val="00813ACF"/>
    <w:rsid w:val="00825B11"/>
    <w:rsid w:val="0082761A"/>
    <w:rsid w:val="00830124"/>
    <w:rsid w:val="00831A1E"/>
    <w:rsid w:val="00832600"/>
    <w:rsid w:val="0083386A"/>
    <w:rsid w:val="00833C7A"/>
    <w:rsid w:val="00835672"/>
    <w:rsid w:val="00836244"/>
    <w:rsid w:val="0084216B"/>
    <w:rsid w:val="0084342C"/>
    <w:rsid w:val="00845109"/>
    <w:rsid w:val="008466D3"/>
    <w:rsid w:val="00846FB4"/>
    <w:rsid w:val="008617CC"/>
    <w:rsid w:val="00861FDD"/>
    <w:rsid w:val="0086227A"/>
    <w:rsid w:val="0086783C"/>
    <w:rsid w:val="00870D02"/>
    <w:rsid w:val="00870D28"/>
    <w:rsid w:val="00872E0F"/>
    <w:rsid w:val="008763EA"/>
    <w:rsid w:val="00876475"/>
    <w:rsid w:val="00880F39"/>
    <w:rsid w:val="00881BD6"/>
    <w:rsid w:val="00882AB7"/>
    <w:rsid w:val="0088575E"/>
    <w:rsid w:val="00885CAF"/>
    <w:rsid w:val="00892ACF"/>
    <w:rsid w:val="0089353F"/>
    <w:rsid w:val="00896EAB"/>
    <w:rsid w:val="008A3C15"/>
    <w:rsid w:val="008A53D0"/>
    <w:rsid w:val="008B0795"/>
    <w:rsid w:val="008B0C0F"/>
    <w:rsid w:val="008B30E9"/>
    <w:rsid w:val="008B558C"/>
    <w:rsid w:val="008B6C7E"/>
    <w:rsid w:val="008B7A42"/>
    <w:rsid w:val="008C113C"/>
    <w:rsid w:val="008C1984"/>
    <w:rsid w:val="008C30C4"/>
    <w:rsid w:val="008C3BF5"/>
    <w:rsid w:val="008C502A"/>
    <w:rsid w:val="008D0BF3"/>
    <w:rsid w:val="008D2503"/>
    <w:rsid w:val="008D556A"/>
    <w:rsid w:val="008D7EDD"/>
    <w:rsid w:val="008E411E"/>
    <w:rsid w:val="008E4653"/>
    <w:rsid w:val="008E6170"/>
    <w:rsid w:val="008E7A24"/>
    <w:rsid w:val="008F1C48"/>
    <w:rsid w:val="008F5667"/>
    <w:rsid w:val="008F57E9"/>
    <w:rsid w:val="008F67CB"/>
    <w:rsid w:val="009003BF"/>
    <w:rsid w:val="009108B8"/>
    <w:rsid w:val="00910F76"/>
    <w:rsid w:val="00915A2F"/>
    <w:rsid w:val="00917D6B"/>
    <w:rsid w:val="00917E2A"/>
    <w:rsid w:val="00921966"/>
    <w:rsid w:val="00923223"/>
    <w:rsid w:val="009238FC"/>
    <w:rsid w:val="00927BA0"/>
    <w:rsid w:val="00927E3C"/>
    <w:rsid w:val="009300DD"/>
    <w:rsid w:val="00930CF2"/>
    <w:rsid w:val="00930FF5"/>
    <w:rsid w:val="00931DEC"/>
    <w:rsid w:val="00935B11"/>
    <w:rsid w:val="009361D3"/>
    <w:rsid w:val="00936F46"/>
    <w:rsid w:val="0094375E"/>
    <w:rsid w:val="00953CE9"/>
    <w:rsid w:val="00954C60"/>
    <w:rsid w:val="00955A1E"/>
    <w:rsid w:val="00960ACF"/>
    <w:rsid w:val="00961017"/>
    <w:rsid w:val="00961335"/>
    <w:rsid w:val="009627DA"/>
    <w:rsid w:val="00964046"/>
    <w:rsid w:val="00964EE9"/>
    <w:rsid w:val="00965C05"/>
    <w:rsid w:val="009723B1"/>
    <w:rsid w:val="00976721"/>
    <w:rsid w:val="00981166"/>
    <w:rsid w:val="00985AC0"/>
    <w:rsid w:val="009867A9"/>
    <w:rsid w:val="00987D75"/>
    <w:rsid w:val="009914FD"/>
    <w:rsid w:val="00991DED"/>
    <w:rsid w:val="00992892"/>
    <w:rsid w:val="00995208"/>
    <w:rsid w:val="009B4BC4"/>
    <w:rsid w:val="009B6F6E"/>
    <w:rsid w:val="009C052A"/>
    <w:rsid w:val="009C273F"/>
    <w:rsid w:val="009C2E52"/>
    <w:rsid w:val="009C5742"/>
    <w:rsid w:val="009C634D"/>
    <w:rsid w:val="009D09B2"/>
    <w:rsid w:val="009D1894"/>
    <w:rsid w:val="009D7A62"/>
    <w:rsid w:val="009D7E3A"/>
    <w:rsid w:val="009E5EE5"/>
    <w:rsid w:val="009E793F"/>
    <w:rsid w:val="009F005A"/>
    <w:rsid w:val="009F060E"/>
    <w:rsid w:val="009F4A60"/>
    <w:rsid w:val="009F62C3"/>
    <w:rsid w:val="00A009E1"/>
    <w:rsid w:val="00A04CAD"/>
    <w:rsid w:val="00A05EBA"/>
    <w:rsid w:val="00A06538"/>
    <w:rsid w:val="00A15221"/>
    <w:rsid w:val="00A174BA"/>
    <w:rsid w:val="00A17910"/>
    <w:rsid w:val="00A17E00"/>
    <w:rsid w:val="00A21FEB"/>
    <w:rsid w:val="00A23187"/>
    <w:rsid w:val="00A23AA3"/>
    <w:rsid w:val="00A23B5F"/>
    <w:rsid w:val="00A31791"/>
    <w:rsid w:val="00A33A06"/>
    <w:rsid w:val="00A3443B"/>
    <w:rsid w:val="00A358EB"/>
    <w:rsid w:val="00A37343"/>
    <w:rsid w:val="00A4388C"/>
    <w:rsid w:val="00A448BE"/>
    <w:rsid w:val="00A451A3"/>
    <w:rsid w:val="00A4567F"/>
    <w:rsid w:val="00A45F50"/>
    <w:rsid w:val="00A46714"/>
    <w:rsid w:val="00A54762"/>
    <w:rsid w:val="00A54843"/>
    <w:rsid w:val="00A5593E"/>
    <w:rsid w:val="00A64CCC"/>
    <w:rsid w:val="00A64FA1"/>
    <w:rsid w:val="00A70562"/>
    <w:rsid w:val="00A70DAE"/>
    <w:rsid w:val="00A722F2"/>
    <w:rsid w:val="00A76434"/>
    <w:rsid w:val="00A87993"/>
    <w:rsid w:val="00A9111A"/>
    <w:rsid w:val="00A939FC"/>
    <w:rsid w:val="00A96D7B"/>
    <w:rsid w:val="00AA0DFF"/>
    <w:rsid w:val="00AA48DB"/>
    <w:rsid w:val="00AA6D6C"/>
    <w:rsid w:val="00AA7036"/>
    <w:rsid w:val="00AA76E0"/>
    <w:rsid w:val="00AB4B93"/>
    <w:rsid w:val="00AB7BC7"/>
    <w:rsid w:val="00AC0555"/>
    <w:rsid w:val="00AC3CE1"/>
    <w:rsid w:val="00AD2779"/>
    <w:rsid w:val="00AD5827"/>
    <w:rsid w:val="00AD5D52"/>
    <w:rsid w:val="00AD6419"/>
    <w:rsid w:val="00AD664C"/>
    <w:rsid w:val="00AE1C40"/>
    <w:rsid w:val="00AE1CDC"/>
    <w:rsid w:val="00AF4078"/>
    <w:rsid w:val="00AF4596"/>
    <w:rsid w:val="00AF62B4"/>
    <w:rsid w:val="00B04924"/>
    <w:rsid w:val="00B0516F"/>
    <w:rsid w:val="00B0648B"/>
    <w:rsid w:val="00B0788D"/>
    <w:rsid w:val="00B128F3"/>
    <w:rsid w:val="00B12E42"/>
    <w:rsid w:val="00B14156"/>
    <w:rsid w:val="00B147A7"/>
    <w:rsid w:val="00B174A4"/>
    <w:rsid w:val="00B208FC"/>
    <w:rsid w:val="00B21CD1"/>
    <w:rsid w:val="00B26A86"/>
    <w:rsid w:val="00B3135E"/>
    <w:rsid w:val="00B35BA3"/>
    <w:rsid w:val="00B40276"/>
    <w:rsid w:val="00B40CB7"/>
    <w:rsid w:val="00B41B5C"/>
    <w:rsid w:val="00B41E08"/>
    <w:rsid w:val="00B4362D"/>
    <w:rsid w:val="00B43F73"/>
    <w:rsid w:val="00B45AEE"/>
    <w:rsid w:val="00B52ABC"/>
    <w:rsid w:val="00B52BCB"/>
    <w:rsid w:val="00B53034"/>
    <w:rsid w:val="00B60C6E"/>
    <w:rsid w:val="00B62C19"/>
    <w:rsid w:val="00B6458E"/>
    <w:rsid w:val="00B646E8"/>
    <w:rsid w:val="00B70D16"/>
    <w:rsid w:val="00B73B6F"/>
    <w:rsid w:val="00B74BB5"/>
    <w:rsid w:val="00B83525"/>
    <w:rsid w:val="00B847F1"/>
    <w:rsid w:val="00B852CF"/>
    <w:rsid w:val="00B86BF1"/>
    <w:rsid w:val="00B871C6"/>
    <w:rsid w:val="00B908D5"/>
    <w:rsid w:val="00B9567F"/>
    <w:rsid w:val="00B96B13"/>
    <w:rsid w:val="00BA5931"/>
    <w:rsid w:val="00BA643D"/>
    <w:rsid w:val="00BA77B1"/>
    <w:rsid w:val="00BB5965"/>
    <w:rsid w:val="00BB6E73"/>
    <w:rsid w:val="00BC1FEC"/>
    <w:rsid w:val="00BC4002"/>
    <w:rsid w:val="00BC4039"/>
    <w:rsid w:val="00BC4788"/>
    <w:rsid w:val="00BD1BFA"/>
    <w:rsid w:val="00BD239B"/>
    <w:rsid w:val="00BD2CBA"/>
    <w:rsid w:val="00BD424B"/>
    <w:rsid w:val="00BD75C8"/>
    <w:rsid w:val="00BD7A67"/>
    <w:rsid w:val="00BE14FC"/>
    <w:rsid w:val="00BE18B2"/>
    <w:rsid w:val="00BE3415"/>
    <w:rsid w:val="00BE47A9"/>
    <w:rsid w:val="00BE73AA"/>
    <w:rsid w:val="00BF2DEB"/>
    <w:rsid w:val="00BF3BDE"/>
    <w:rsid w:val="00BF53AE"/>
    <w:rsid w:val="00BF58A6"/>
    <w:rsid w:val="00C0020E"/>
    <w:rsid w:val="00C00D89"/>
    <w:rsid w:val="00C063BE"/>
    <w:rsid w:val="00C07CE5"/>
    <w:rsid w:val="00C17EE9"/>
    <w:rsid w:val="00C20199"/>
    <w:rsid w:val="00C34E2D"/>
    <w:rsid w:val="00C368A2"/>
    <w:rsid w:val="00C42190"/>
    <w:rsid w:val="00C44F54"/>
    <w:rsid w:val="00C45F02"/>
    <w:rsid w:val="00C5138C"/>
    <w:rsid w:val="00C51FE2"/>
    <w:rsid w:val="00C52F0D"/>
    <w:rsid w:val="00C534EC"/>
    <w:rsid w:val="00C536D8"/>
    <w:rsid w:val="00C5451C"/>
    <w:rsid w:val="00C55E63"/>
    <w:rsid w:val="00C55F5D"/>
    <w:rsid w:val="00C60C03"/>
    <w:rsid w:val="00C61906"/>
    <w:rsid w:val="00C65A0F"/>
    <w:rsid w:val="00C66416"/>
    <w:rsid w:val="00C6720B"/>
    <w:rsid w:val="00C72249"/>
    <w:rsid w:val="00C74F5D"/>
    <w:rsid w:val="00C777EC"/>
    <w:rsid w:val="00C7784E"/>
    <w:rsid w:val="00C80836"/>
    <w:rsid w:val="00C85FB7"/>
    <w:rsid w:val="00C86EF1"/>
    <w:rsid w:val="00C87051"/>
    <w:rsid w:val="00CA0C53"/>
    <w:rsid w:val="00CA138A"/>
    <w:rsid w:val="00CA17E5"/>
    <w:rsid w:val="00CA2B62"/>
    <w:rsid w:val="00CA3030"/>
    <w:rsid w:val="00CA3CD3"/>
    <w:rsid w:val="00CA5876"/>
    <w:rsid w:val="00CB0495"/>
    <w:rsid w:val="00CB0CCF"/>
    <w:rsid w:val="00CB145A"/>
    <w:rsid w:val="00CB3E3D"/>
    <w:rsid w:val="00CC3FAB"/>
    <w:rsid w:val="00CC4D44"/>
    <w:rsid w:val="00CD15B3"/>
    <w:rsid w:val="00CD345C"/>
    <w:rsid w:val="00CD76FF"/>
    <w:rsid w:val="00CE03A7"/>
    <w:rsid w:val="00CE64EF"/>
    <w:rsid w:val="00CF07A6"/>
    <w:rsid w:val="00CF0FFE"/>
    <w:rsid w:val="00CF52B0"/>
    <w:rsid w:val="00CF586B"/>
    <w:rsid w:val="00CF7CF7"/>
    <w:rsid w:val="00D03886"/>
    <w:rsid w:val="00D04600"/>
    <w:rsid w:val="00D1163E"/>
    <w:rsid w:val="00D13DFA"/>
    <w:rsid w:val="00D15918"/>
    <w:rsid w:val="00D1596B"/>
    <w:rsid w:val="00D23B2E"/>
    <w:rsid w:val="00D27127"/>
    <w:rsid w:val="00D34579"/>
    <w:rsid w:val="00D351D3"/>
    <w:rsid w:val="00D36535"/>
    <w:rsid w:val="00D4423F"/>
    <w:rsid w:val="00D4737E"/>
    <w:rsid w:val="00D473B7"/>
    <w:rsid w:val="00D47A8B"/>
    <w:rsid w:val="00D5050A"/>
    <w:rsid w:val="00D52F4C"/>
    <w:rsid w:val="00D53374"/>
    <w:rsid w:val="00D613DA"/>
    <w:rsid w:val="00D65CE2"/>
    <w:rsid w:val="00D674CF"/>
    <w:rsid w:val="00D67AB8"/>
    <w:rsid w:val="00D72480"/>
    <w:rsid w:val="00D7295D"/>
    <w:rsid w:val="00D76010"/>
    <w:rsid w:val="00D80DD9"/>
    <w:rsid w:val="00D90426"/>
    <w:rsid w:val="00D922E2"/>
    <w:rsid w:val="00D95BAC"/>
    <w:rsid w:val="00D97D9D"/>
    <w:rsid w:val="00DA79FF"/>
    <w:rsid w:val="00DB02DB"/>
    <w:rsid w:val="00DB1E2B"/>
    <w:rsid w:val="00DB2E4F"/>
    <w:rsid w:val="00DC360B"/>
    <w:rsid w:val="00DC426A"/>
    <w:rsid w:val="00DD3430"/>
    <w:rsid w:val="00DD4DEB"/>
    <w:rsid w:val="00DD5BAF"/>
    <w:rsid w:val="00DD5D0F"/>
    <w:rsid w:val="00DD7056"/>
    <w:rsid w:val="00DD763F"/>
    <w:rsid w:val="00DD7900"/>
    <w:rsid w:val="00DE1CA0"/>
    <w:rsid w:val="00DE7E64"/>
    <w:rsid w:val="00DF05DB"/>
    <w:rsid w:val="00E00F42"/>
    <w:rsid w:val="00E014A6"/>
    <w:rsid w:val="00E02CEA"/>
    <w:rsid w:val="00E0387F"/>
    <w:rsid w:val="00E04D4B"/>
    <w:rsid w:val="00E070B5"/>
    <w:rsid w:val="00E12A33"/>
    <w:rsid w:val="00E13411"/>
    <w:rsid w:val="00E1366E"/>
    <w:rsid w:val="00E13CF7"/>
    <w:rsid w:val="00E17DAE"/>
    <w:rsid w:val="00E26533"/>
    <w:rsid w:val="00E303F7"/>
    <w:rsid w:val="00E30714"/>
    <w:rsid w:val="00E32B6F"/>
    <w:rsid w:val="00E334F0"/>
    <w:rsid w:val="00E369B3"/>
    <w:rsid w:val="00E374F0"/>
    <w:rsid w:val="00E41763"/>
    <w:rsid w:val="00E503A3"/>
    <w:rsid w:val="00E53B1C"/>
    <w:rsid w:val="00E56503"/>
    <w:rsid w:val="00E607AB"/>
    <w:rsid w:val="00E607E2"/>
    <w:rsid w:val="00E61798"/>
    <w:rsid w:val="00E63D31"/>
    <w:rsid w:val="00E658BE"/>
    <w:rsid w:val="00E7091A"/>
    <w:rsid w:val="00E7122E"/>
    <w:rsid w:val="00E71259"/>
    <w:rsid w:val="00E82156"/>
    <w:rsid w:val="00E85579"/>
    <w:rsid w:val="00E871F1"/>
    <w:rsid w:val="00E876F5"/>
    <w:rsid w:val="00E909B3"/>
    <w:rsid w:val="00E968CF"/>
    <w:rsid w:val="00E97B32"/>
    <w:rsid w:val="00EA152B"/>
    <w:rsid w:val="00EA3DFF"/>
    <w:rsid w:val="00EB226C"/>
    <w:rsid w:val="00EB4048"/>
    <w:rsid w:val="00EB5814"/>
    <w:rsid w:val="00EB6B3F"/>
    <w:rsid w:val="00EB77BA"/>
    <w:rsid w:val="00EB7F9C"/>
    <w:rsid w:val="00EC0994"/>
    <w:rsid w:val="00EC6044"/>
    <w:rsid w:val="00EC68FF"/>
    <w:rsid w:val="00EC6982"/>
    <w:rsid w:val="00ED016E"/>
    <w:rsid w:val="00ED113C"/>
    <w:rsid w:val="00ED2A85"/>
    <w:rsid w:val="00EE59C9"/>
    <w:rsid w:val="00EE78B2"/>
    <w:rsid w:val="00EF4558"/>
    <w:rsid w:val="00EF52AB"/>
    <w:rsid w:val="00F00286"/>
    <w:rsid w:val="00F00B1B"/>
    <w:rsid w:val="00F03651"/>
    <w:rsid w:val="00F060AA"/>
    <w:rsid w:val="00F06B84"/>
    <w:rsid w:val="00F079A3"/>
    <w:rsid w:val="00F10C97"/>
    <w:rsid w:val="00F12552"/>
    <w:rsid w:val="00F135DB"/>
    <w:rsid w:val="00F137C2"/>
    <w:rsid w:val="00F144BB"/>
    <w:rsid w:val="00F15B03"/>
    <w:rsid w:val="00F163AE"/>
    <w:rsid w:val="00F20F9C"/>
    <w:rsid w:val="00F23C2B"/>
    <w:rsid w:val="00F300F7"/>
    <w:rsid w:val="00F305F9"/>
    <w:rsid w:val="00F3169A"/>
    <w:rsid w:val="00F31E88"/>
    <w:rsid w:val="00F40680"/>
    <w:rsid w:val="00F42BFC"/>
    <w:rsid w:val="00F42DB9"/>
    <w:rsid w:val="00F4340B"/>
    <w:rsid w:val="00F44E1D"/>
    <w:rsid w:val="00F45A1A"/>
    <w:rsid w:val="00F50BA2"/>
    <w:rsid w:val="00F52175"/>
    <w:rsid w:val="00F52A69"/>
    <w:rsid w:val="00F56683"/>
    <w:rsid w:val="00F602A9"/>
    <w:rsid w:val="00F60E76"/>
    <w:rsid w:val="00F62693"/>
    <w:rsid w:val="00F72186"/>
    <w:rsid w:val="00F7398A"/>
    <w:rsid w:val="00F73A04"/>
    <w:rsid w:val="00F757A6"/>
    <w:rsid w:val="00F84879"/>
    <w:rsid w:val="00F8613C"/>
    <w:rsid w:val="00F90B71"/>
    <w:rsid w:val="00F925CB"/>
    <w:rsid w:val="00F92FA8"/>
    <w:rsid w:val="00F93B98"/>
    <w:rsid w:val="00F94557"/>
    <w:rsid w:val="00F95F4A"/>
    <w:rsid w:val="00FA088D"/>
    <w:rsid w:val="00FA138F"/>
    <w:rsid w:val="00FA13CB"/>
    <w:rsid w:val="00FA180A"/>
    <w:rsid w:val="00FA6257"/>
    <w:rsid w:val="00FA62AE"/>
    <w:rsid w:val="00FA63F1"/>
    <w:rsid w:val="00FA65FB"/>
    <w:rsid w:val="00FB1C45"/>
    <w:rsid w:val="00FB1D95"/>
    <w:rsid w:val="00FB2707"/>
    <w:rsid w:val="00FB2C77"/>
    <w:rsid w:val="00FB433B"/>
    <w:rsid w:val="00FC0121"/>
    <w:rsid w:val="00FC1F29"/>
    <w:rsid w:val="00FC36B9"/>
    <w:rsid w:val="00FC4D67"/>
    <w:rsid w:val="00FC4F35"/>
    <w:rsid w:val="00FD6875"/>
    <w:rsid w:val="00FE0272"/>
    <w:rsid w:val="00FE04CE"/>
    <w:rsid w:val="00FE152C"/>
    <w:rsid w:val="00FE2D29"/>
    <w:rsid w:val="00FE3CC9"/>
    <w:rsid w:val="00FE4057"/>
    <w:rsid w:val="00FE42F7"/>
    <w:rsid w:val="00FE675C"/>
    <w:rsid w:val="00FF04AB"/>
    <w:rsid w:val="00FF0DB2"/>
    <w:rsid w:val="00FF2F69"/>
    <w:rsid w:val="00FF617C"/>
    <w:rsid w:val="01214A1E"/>
    <w:rsid w:val="014F1B49"/>
    <w:rsid w:val="0161201C"/>
    <w:rsid w:val="01674AD8"/>
    <w:rsid w:val="017B15F7"/>
    <w:rsid w:val="019B2A51"/>
    <w:rsid w:val="01BB069A"/>
    <w:rsid w:val="01EE6DBE"/>
    <w:rsid w:val="020E7F3F"/>
    <w:rsid w:val="02102EA5"/>
    <w:rsid w:val="021A6004"/>
    <w:rsid w:val="022E08B9"/>
    <w:rsid w:val="023A07E4"/>
    <w:rsid w:val="025D291A"/>
    <w:rsid w:val="027202B1"/>
    <w:rsid w:val="02721F48"/>
    <w:rsid w:val="02805163"/>
    <w:rsid w:val="02815E8D"/>
    <w:rsid w:val="02DE2EF8"/>
    <w:rsid w:val="02E41BF4"/>
    <w:rsid w:val="02F07CB0"/>
    <w:rsid w:val="030D75EF"/>
    <w:rsid w:val="031168BC"/>
    <w:rsid w:val="03426C59"/>
    <w:rsid w:val="03433AF1"/>
    <w:rsid w:val="03501AE4"/>
    <w:rsid w:val="03716722"/>
    <w:rsid w:val="038C028C"/>
    <w:rsid w:val="039744EC"/>
    <w:rsid w:val="039B623A"/>
    <w:rsid w:val="03AD58A1"/>
    <w:rsid w:val="03B44AA5"/>
    <w:rsid w:val="040020A7"/>
    <w:rsid w:val="04125032"/>
    <w:rsid w:val="04361CF6"/>
    <w:rsid w:val="04473247"/>
    <w:rsid w:val="044D2B93"/>
    <w:rsid w:val="04533DF5"/>
    <w:rsid w:val="04833676"/>
    <w:rsid w:val="04930DBB"/>
    <w:rsid w:val="04A2371F"/>
    <w:rsid w:val="04A53BA4"/>
    <w:rsid w:val="04AA1834"/>
    <w:rsid w:val="04D17C83"/>
    <w:rsid w:val="04DF3F87"/>
    <w:rsid w:val="04E374DE"/>
    <w:rsid w:val="04FF00EB"/>
    <w:rsid w:val="0501459E"/>
    <w:rsid w:val="05175FCF"/>
    <w:rsid w:val="052263A0"/>
    <w:rsid w:val="054E23E8"/>
    <w:rsid w:val="05586075"/>
    <w:rsid w:val="058E5789"/>
    <w:rsid w:val="059C5E7A"/>
    <w:rsid w:val="059F3F35"/>
    <w:rsid w:val="05AB2DB2"/>
    <w:rsid w:val="05C127AF"/>
    <w:rsid w:val="05C342DE"/>
    <w:rsid w:val="05D56659"/>
    <w:rsid w:val="05EB76F4"/>
    <w:rsid w:val="05EC4B85"/>
    <w:rsid w:val="05F56B6A"/>
    <w:rsid w:val="05F7106C"/>
    <w:rsid w:val="06027766"/>
    <w:rsid w:val="06305727"/>
    <w:rsid w:val="06322461"/>
    <w:rsid w:val="063475AA"/>
    <w:rsid w:val="06647C6C"/>
    <w:rsid w:val="06665E33"/>
    <w:rsid w:val="068E0F51"/>
    <w:rsid w:val="06936D88"/>
    <w:rsid w:val="06A11837"/>
    <w:rsid w:val="06A31CA0"/>
    <w:rsid w:val="06D31947"/>
    <w:rsid w:val="06D9153A"/>
    <w:rsid w:val="06D92562"/>
    <w:rsid w:val="06E760D7"/>
    <w:rsid w:val="06EA54F3"/>
    <w:rsid w:val="06F650AE"/>
    <w:rsid w:val="07075B45"/>
    <w:rsid w:val="070A76BD"/>
    <w:rsid w:val="072E5643"/>
    <w:rsid w:val="073D7196"/>
    <w:rsid w:val="07504429"/>
    <w:rsid w:val="07612720"/>
    <w:rsid w:val="076A60B4"/>
    <w:rsid w:val="07792B42"/>
    <w:rsid w:val="077E3D0B"/>
    <w:rsid w:val="078C511B"/>
    <w:rsid w:val="078D2D8A"/>
    <w:rsid w:val="07BE2A34"/>
    <w:rsid w:val="07C71F52"/>
    <w:rsid w:val="07D43E3E"/>
    <w:rsid w:val="07DF1893"/>
    <w:rsid w:val="07E53F70"/>
    <w:rsid w:val="07E671E7"/>
    <w:rsid w:val="07F03CBF"/>
    <w:rsid w:val="07F42B67"/>
    <w:rsid w:val="080D0CE3"/>
    <w:rsid w:val="08220261"/>
    <w:rsid w:val="084F6651"/>
    <w:rsid w:val="085F33CA"/>
    <w:rsid w:val="086626CB"/>
    <w:rsid w:val="08790814"/>
    <w:rsid w:val="08817F9A"/>
    <w:rsid w:val="088D1CB0"/>
    <w:rsid w:val="08933F38"/>
    <w:rsid w:val="08983E26"/>
    <w:rsid w:val="089C542D"/>
    <w:rsid w:val="089E56D2"/>
    <w:rsid w:val="08B472FE"/>
    <w:rsid w:val="08B614BD"/>
    <w:rsid w:val="08B937A7"/>
    <w:rsid w:val="08C15F16"/>
    <w:rsid w:val="08CD671D"/>
    <w:rsid w:val="08D83875"/>
    <w:rsid w:val="08F56067"/>
    <w:rsid w:val="08F56798"/>
    <w:rsid w:val="09072AF5"/>
    <w:rsid w:val="090D78C9"/>
    <w:rsid w:val="09101FB3"/>
    <w:rsid w:val="09296C06"/>
    <w:rsid w:val="09381EDF"/>
    <w:rsid w:val="09F8752F"/>
    <w:rsid w:val="0A0D439F"/>
    <w:rsid w:val="0A0F0D09"/>
    <w:rsid w:val="0A0F530F"/>
    <w:rsid w:val="0A1D4600"/>
    <w:rsid w:val="0A1F68B2"/>
    <w:rsid w:val="0A210F95"/>
    <w:rsid w:val="0A2836E0"/>
    <w:rsid w:val="0A29194C"/>
    <w:rsid w:val="0A593073"/>
    <w:rsid w:val="0A6A3E09"/>
    <w:rsid w:val="0A8E5529"/>
    <w:rsid w:val="0AB44EF5"/>
    <w:rsid w:val="0AC159A6"/>
    <w:rsid w:val="0AE34BB1"/>
    <w:rsid w:val="0AED0B6E"/>
    <w:rsid w:val="0B4B7099"/>
    <w:rsid w:val="0B747542"/>
    <w:rsid w:val="0B9E1A60"/>
    <w:rsid w:val="0BAD70EA"/>
    <w:rsid w:val="0BE60C5C"/>
    <w:rsid w:val="0C296CAE"/>
    <w:rsid w:val="0C365370"/>
    <w:rsid w:val="0C437410"/>
    <w:rsid w:val="0C442C80"/>
    <w:rsid w:val="0C4B30F1"/>
    <w:rsid w:val="0C5350CF"/>
    <w:rsid w:val="0C7376A8"/>
    <w:rsid w:val="0C801F53"/>
    <w:rsid w:val="0C8076E1"/>
    <w:rsid w:val="0C8E4429"/>
    <w:rsid w:val="0CA97841"/>
    <w:rsid w:val="0CC37D7B"/>
    <w:rsid w:val="0CF22F65"/>
    <w:rsid w:val="0CFD3771"/>
    <w:rsid w:val="0D001BEA"/>
    <w:rsid w:val="0D0A7F77"/>
    <w:rsid w:val="0D4D0748"/>
    <w:rsid w:val="0D5F5515"/>
    <w:rsid w:val="0D76619F"/>
    <w:rsid w:val="0D8943DC"/>
    <w:rsid w:val="0D8A04E4"/>
    <w:rsid w:val="0D8A1D43"/>
    <w:rsid w:val="0D932BB8"/>
    <w:rsid w:val="0D98461B"/>
    <w:rsid w:val="0DA03E5A"/>
    <w:rsid w:val="0DB904D9"/>
    <w:rsid w:val="0DBB0918"/>
    <w:rsid w:val="0DCF4D92"/>
    <w:rsid w:val="0DE25782"/>
    <w:rsid w:val="0DEE271A"/>
    <w:rsid w:val="0DF148E8"/>
    <w:rsid w:val="0DFB3293"/>
    <w:rsid w:val="0E210D90"/>
    <w:rsid w:val="0E280BF1"/>
    <w:rsid w:val="0E2A2732"/>
    <w:rsid w:val="0E2F7B01"/>
    <w:rsid w:val="0E4B5699"/>
    <w:rsid w:val="0E512E80"/>
    <w:rsid w:val="0E6E1A32"/>
    <w:rsid w:val="0E915BD0"/>
    <w:rsid w:val="0EB02D6E"/>
    <w:rsid w:val="0ECD4128"/>
    <w:rsid w:val="0EF05635"/>
    <w:rsid w:val="0F0913A4"/>
    <w:rsid w:val="0F360DD3"/>
    <w:rsid w:val="0F6B1793"/>
    <w:rsid w:val="0F7B5DFB"/>
    <w:rsid w:val="0F9F69E6"/>
    <w:rsid w:val="0FF37EF3"/>
    <w:rsid w:val="0FFE4C46"/>
    <w:rsid w:val="10064480"/>
    <w:rsid w:val="100930B7"/>
    <w:rsid w:val="10156FD1"/>
    <w:rsid w:val="101A66A4"/>
    <w:rsid w:val="102D7C4F"/>
    <w:rsid w:val="10350FE0"/>
    <w:rsid w:val="10371F2F"/>
    <w:rsid w:val="105A6D80"/>
    <w:rsid w:val="107B23CF"/>
    <w:rsid w:val="107E1871"/>
    <w:rsid w:val="10824E25"/>
    <w:rsid w:val="10992C6E"/>
    <w:rsid w:val="10BD5626"/>
    <w:rsid w:val="10C02B8A"/>
    <w:rsid w:val="10C85301"/>
    <w:rsid w:val="10F5099F"/>
    <w:rsid w:val="11046680"/>
    <w:rsid w:val="11193219"/>
    <w:rsid w:val="11423CF0"/>
    <w:rsid w:val="1159255C"/>
    <w:rsid w:val="115D038D"/>
    <w:rsid w:val="116741A8"/>
    <w:rsid w:val="116C0AA4"/>
    <w:rsid w:val="11887A9E"/>
    <w:rsid w:val="119E030F"/>
    <w:rsid w:val="11AC3296"/>
    <w:rsid w:val="11BF3764"/>
    <w:rsid w:val="11BF5D6D"/>
    <w:rsid w:val="11EF6486"/>
    <w:rsid w:val="11F75962"/>
    <w:rsid w:val="11FC0451"/>
    <w:rsid w:val="120C4EB8"/>
    <w:rsid w:val="122D760A"/>
    <w:rsid w:val="12311F5A"/>
    <w:rsid w:val="12427601"/>
    <w:rsid w:val="125944FB"/>
    <w:rsid w:val="12611B7B"/>
    <w:rsid w:val="12624EB7"/>
    <w:rsid w:val="1265085E"/>
    <w:rsid w:val="1282388F"/>
    <w:rsid w:val="128572E6"/>
    <w:rsid w:val="128A0F8B"/>
    <w:rsid w:val="129139EE"/>
    <w:rsid w:val="1291752C"/>
    <w:rsid w:val="12AB5BAD"/>
    <w:rsid w:val="12B26461"/>
    <w:rsid w:val="12BE7896"/>
    <w:rsid w:val="12D228CA"/>
    <w:rsid w:val="12E73814"/>
    <w:rsid w:val="12F36759"/>
    <w:rsid w:val="1300045E"/>
    <w:rsid w:val="130A6921"/>
    <w:rsid w:val="133D024F"/>
    <w:rsid w:val="133D6D87"/>
    <w:rsid w:val="13716BB4"/>
    <w:rsid w:val="13821EE1"/>
    <w:rsid w:val="13890B9C"/>
    <w:rsid w:val="13CB4137"/>
    <w:rsid w:val="13D11AEC"/>
    <w:rsid w:val="13F27FD8"/>
    <w:rsid w:val="13F74970"/>
    <w:rsid w:val="13FA3C10"/>
    <w:rsid w:val="14197590"/>
    <w:rsid w:val="141C7AF8"/>
    <w:rsid w:val="142D5867"/>
    <w:rsid w:val="14311C3C"/>
    <w:rsid w:val="14A05CEA"/>
    <w:rsid w:val="14A65D68"/>
    <w:rsid w:val="14BA7BD0"/>
    <w:rsid w:val="14BE0DA8"/>
    <w:rsid w:val="14DD0E10"/>
    <w:rsid w:val="14DF2DE8"/>
    <w:rsid w:val="14E20E88"/>
    <w:rsid w:val="14E71B9C"/>
    <w:rsid w:val="14ED24C4"/>
    <w:rsid w:val="14FE6E45"/>
    <w:rsid w:val="15030DD2"/>
    <w:rsid w:val="150D39CF"/>
    <w:rsid w:val="151246C1"/>
    <w:rsid w:val="15300534"/>
    <w:rsid w:val="15430081"/>
    <w:rsid w:val="1549179A"/>
    <w:rsid w:val="155855A0"/>
    <w:rsid w:val="15760A82"/>
    <w:rsid w:val="15885993"/>
    <w:rsid w:val="15943580"/>
    <w:rsid w:val="15971278"/>
    <w:rsid w:val="159F71E4"/>
    <w:rsid w:val="15BB45B7"/>
    <w:rsid w:val="15DA54BE"/>
    <w:rsid w:val="15DE1A29"/>
    <w:rsid w:val="15EF7F09"/>
    <w:rsid w:val="16113026"/>
    <w:rsid w:val="16883ABF"/>
    <w:rsid w:val="16AA3EEF"/>
    <w:rsid w:val="16BB65F1"/>
    <w:rsid w:val="16C30E50"/>
    <w:rsid w:val="16DF70C3"/>
    <w:rsid w:val="16E36A8E"/>
    <w:rsid w:val="17174321"/>
    <w:rsid w:val="17382C6C"/>
    <w:rsid w:val="17B2733D"/>
    <w:rsid w:val="17D32110"/>
    <w:rsid w:val="17E241A7"/>
    <w:rsid w:val="17EF333D"/>
    <w:rsid w:val="17F736BA"/>
    <w:rsid w:val="180B1C8C"/>
    <w:rsid w:val="185309F7"/>
    <w:rsid w:val="1856228A"/>
    <w:rsid w:val="18655549"/>
    <w:rsid w:val="189D5730"/>
    <w:rsid w:val="189F0369"/>
    <w:rsid w:val="18AE6BDF"/>
    <w:rsid w:val="18BC41FE"/>
    <w:rsid w:val="18D255E8"/>
    <w:rsid w:val="18E73115"/>
    <w:rsid w:val="190A6030"/>
    <w:rsid w:val="190C5C28"/>
    <w:rsid w:val="191206D3"/>
    <w:rsid w:val="192E2BD3"/>
    <w:rsid w:val="19362545"/>
    <w:rsid w:val="194D45D8"/>
    <w:rsid w:val="196717B9"/>
    <w:rsid w:val="197B5636"/>
    <w:rsid w:val="198D30EC"/>
    <w:rsid w:val="19915250"/>
    <w:rsid w:val="1A200C49"/>
    <w:rsid w:val="1A2C7C12"/>
    <w:rsid w:val="1A382E26"/>
    <w:rsid w:val="1A524A01"/>
    <w:rsid w:val="1A5C16D9"/>
    <w:rsid w:val="1A5C6D63"/>
    <w:rsid w:val="1A7636B6"/>
    <w:rsid w:val="1A7B17BE"/>
    <w:rsid w:val="1AE133EF"/>
    <w:rsid w:val="1AEF4DAE"/>
    <w:rsid w:val="1AF77FAB"/>
    <w:rsid w:val="1AFB020E"/>
    <w:rsid w:val="1B1A73EC"/>
    <w:rsid w:val="1B492FF3"/>
    <w:rsid w:val="1B4950A4"/>
    <w:rsid w:val="1B4978E9"/>
    <w:rsid w:val="1B556620"/>
    <w:rsid w:val="1BA324C2"/>
    <w:rsid w:val="1BA61267"/>
    <w:rsid w:val="1BAF2B44"/>
    <w:rsid w:val="1BC31618"/>
    <w:rsid w:val="1BE36C7B"/>
    <w:rsid w:val="1BFB746E"/>
    <w:rsid w:val="1C2663BF"/>
    <w:rsid w:val="1C2F20FA"/>
    <w:rsid w:val="1C36433C"/>
    <w:rsid w:val="1C376E21"/>
    <w:rsid w:val="1C607E4F"/>
    <w:rsid w:val="1C721035"/>
    <w:rsid w:val="1C887DF5"/>
    <w:rsid w:val="1C89288A"/>
    <w:rsid w:val="1CA47846"/>
    <w:rsid w:val="1CD565D5"/>
    <w:rsid w:val="1CDF6675"/>
    <w:rsid w:val="1CEF14EF"/>
    <w:rsid w:val="1CF43006"/>
    <w:rsid w:val="1D077570"/>
    <w:rsid w:val="1D325942"/>
    <w:rsid w:val="1D672B1F"/>
    <w:rsid w:val="1D8B3670"/>
    <w:rsid w:val="1D8F153D"/>
    <w:rsid w:val="1DA73124"/>
    <w:rsid w:val="1DAE0556"/>
    <w:rsid w:val="1DB1270C"/>
    <w:rsid w:val="1DB67C12"/>
    <w:rsid w:val="1DD50B1E"/>
    <w:rsid w:val="1DD84EE2"/>
    <w:rsid w:val="1E060554"/>
    <w:rsid w:val="1E0F6E32"/>
    <w:rsid w:val="1E415560"/>
    <w:rsid w:val="1E5D18EA"/>
    <w:rsid w:val="1E604A81"/>
    <w:rsid w:val="1E706AC5"/>
    <w:rsid w:val="1E706D9C"/>
    <w:rsid w:val="1E71495E"/>
    <w:rsid w:val="1E841A5F"/>
    <w:rsid w:val="1EA33881"/>
    <w:rsid w:val="1EA40105"/>
    <w:rsid w:val="1EA972F9"/>
    <w:rsid w:val="1EBC7CC4"/>
    <w:rsid w:val="1EC665E8"/>
    <w:rsid w:val="1EDC6093"/>
    <w:rsid w:val="1F14468F"/>
    <w:rsid w:val="1F524DE1"/>
    <w:rsid w:val="1F69585D"/>
    <w:rsid w:val="1F6B38B0"/>
    <w:rsid w:val="1FD0749B"/>
    <w:rsid w:val="1FE35ADC"/>
    <w:rsid w:val="201F4E21"/>
    <w:rsid w:val="20215745"/>
    <w:rsid w:val="20220C48"/>
    <w:rsid w:val="203A5CDB"/>
    <w:rsid w:val="206823A1"/>
    <w:rsid w:val="207577EE"/>
    <w:rsid w:val="207A43DF"/>
    <w:rsid w:val="207F6629"/>
    <w:rsid w:val="20952E68"/>
    <w:rsid w:val="20B24112"/>
    <w:rsid w:val="20CB4F5C"/>
    <w:rsid w:val="20D91DD8"/>
    <w:rsid w:val="20DD5762"/>
    <w:rsid w:val="20EE43F2"/>
    <w:rsid w:val="20F301B2"/>
    <w:rsid w:val="20F716A2"/>
    <w:rsid w:val="20F903BB"/>
    <w:rsid w:val="21011A51"/>
    <w:rsid w:val="21096B24"/>
    <w:rsid w:val="210B25F8"/>
    <w:rsid w:val="211E2099"/>
    <w:rsid w:val="2123675E"/>
    <w:rsid w:val="21637A27"/>
    <w:rsid w:val="216C08BA"/>
    <w:rsid w:val="21A665AD"/>
    <w:rsid w:val="21B33C19"/>
    <w:rsid w:val="21BB34D8"/>
    <w:rsid w:val="21D722C1"/>
    <w:rsid w:val="21DF24FF"/>
    <w:rsid w:val="22136A87"/>
    <w:rsid w:val="222C0C93"/>
    <w:rsid w:val="224B3D5F"/>
    <w:rsid w:val="2258252F"/>
    <w:rsid w:val="225E4F1E"/>
    <w:rsid w:val="228F63A9"/>
    <w:rsid w:val="22A177E6"/>
    <w:rsid w:val="22E6677E"/>
    <w:rsid w:val="231D3794"/>
    <w:rsid w:val="231F3BAE"/>
    <w:rsid w:val="233236E3"/>
    <w:rsid w:val="233B768D"/>
    <w:rsid w:val="2346752C"/>
    <w:rsid w:val="234D4FF2"/>
    <w:rsid w:val="23585DD8"/>
    <w:rsid w:val="235B4AD3"/>
    <w:rsid w:val="237D05D8"/>
    <w:rsid w:val="238E3603"/>
    <w:rsid w:val="239B1C02"/>
    <w:rsid w:val="23AB3963"/>
    <w:rsid w:val="23BA793E"/>
    <w:rsid w:val="23D17044"/>
    <w:rsid w:val="23D172B3"/>
    <w:rsid w:val="23E40684"/>
    <w:rsid w:val="23F23381"/>
    <w:rsid w:val="2411563C"/>
    <w:rsid w:val="241D3FE7"/>
    <w:rsid w:val="242447AF"/>
    <w:rsid w:val="24334C53"/>
    <w:rsid w:val="24771FAD"/>
    <w:rsid w:val="24C15DE7"/>
    <w:rsid w:val="24D75451"/>
    <w:rsid w:val="24DC47FF"/>
    <w:rsid w:val="24FC2E7A"/>
    <w:rsid w:val="25005256"/>
    <w:rsid w:val="250439EF"/>
    <w:rsid w:val="2557729C"/>
    <w:rsid w:val="255A6A4F"/>
    <w:rsid w:val="256A5A1C"/>
    <w:rsid w:val="257239B5"/>
    <w:rsid w:val="257A3E03"/>
    <w:rsid w:val="258C3DF5"/>
    <w:rsid w:val="25E1786F"/>
    <w:rsid w:val="25EB11E1"/>
    <w:rsid w:val="25F252DE"/>
    <w:rsid w:val="25F453F1"/>
    <w:rsid w:val="25F574EA"/>
    <w:rsid w:val="260B280F"/>
    <w:rsid w:val="262F1392"/>
    <w:rsid w:val="263F3EBB"/>
    <w:rsid w:val="265A5438"/>
    <w:rsid w:val="266E1364"/>
    <w:rsid w:val="268E2249"/>
    <w:rsid w:val="26A67D94"/>
    <w:rsid w:val="26C52C94"/>
    <w:rsid w:val="26E51871"/>
    <w:rsid w:val="26EC52C4"/>
    <w:rsid w:val="26FD1062"/>
    <w:rsid w:val="27224B0F"/>
    <w:rsid w:val="272F1E9F"/>
    <w:rsid w:val="274E1A68"/>
    <w:rsid w:val="2764417B"/>
    <w:rsid w:val="27795A37"/>
    <w:rsid w:val="278476CC"/>
    <w:rsid w:val="27E014F2"/>
    <w:rsid w:val="27F710A0"/>
    <w:rsid w:val="282E0D0A"/>
    <w:rsid w:val="283659E1"/>
    <w:rsid w:val="284F7247"/>
    <w:rsid w:val="2854115A"/>
    <w:rsid w:val="285D7433"/>
    <w:rsid w:val="286744CD"/>
    <w:rsid w:val="287B2854"/>
    <w:rsid w:val="28840408"/>
    <w:rsid w:val="2887096F"/>
    <w:rsid w:val="28891A68"/>
    <w:rsid w:val="289B5AFF"/>
    <w:rsid w:val="289E0FB2"/>
    <w:rsid w:val="28B0142C"/>
    <w:rsid w:val="28B031C4"/>
    <w:rsid w:val="28B813D8"/>
    <w:rsid w:val="28C05393"/>
    <w:rsid w:val="28C15F16"/>
    <w:rsid w:val="28C8217E"/>
    <w:rsid w:val="28D13A25"/>
    <w:rsid w:val="28E23AA6"/>
    <w:rsid w:val="291433AE"/>
    <w:rsid w:val="292274D8"/>
    <w:rsid w:val="29432A42"/>
    <w:rsid w:val="294F62D4"/>
    <w:rsid w:val="2976043F"/>
    <w:rsid w:val="29834CA6"/>
    <w:rsid w:val="298429E5"/>
    <w:rsid w:val="29AA7F26"/>
    <w:rsid w:val="29B710E8"/>
    <w:rsid w:val="29D250A3"/>
    <w:rsid w:val="29D97152"/>
    <w:rsid w:val="29EA6773"/>
    <w:rsid w:val="2A2622F9"/>
    <w:rsid w:val="2A2E7A7E"/>
    <w:rsid w:val="2A4735A8"/>
    <w:rsid w:val="2A4F1336"/>
    <w:rsid w:val="2A5F40B6"/>
    <w:rsid w:val="2B1A174A"/>
    <w:rsid w:val="2B332625"/>
    <w:rsid w:val="2B565E56"/>
    <w:rsid w:val="2B7865F9"/>
    <w:rsid w:val="2B8C374E"/>
    <w:rsid w:val="2B8F46B6"/>
    <w:rsid w:val="2B991DFF"/>
    <w:rsid w:val="2BF24C23"/>
    <w:rsid w:val="2BFC6B25"/>
    <w:rsid w:val="2C421FD2"/>
    <w:rsid w:val="2C6B4093"/>
    <w:rsid w:val="2C7C7C88"/>
    <w:rsid w:val="2C997AF3"/>
    <w:rsid w:val="2C997CDE"/>
    <w:rsid w:val="2C9E14E5"/>
    <w:rsid w:val="2CD25FF8"/>
    <w:rsid w:val="2CF3392B"/>
    <w:rsid w:val="2D377655"/>
    <w:rsid w:val="2D403484"/>
    <w:rsid w:val="2D651E34"/>
    <w:rsid w:val="2D7F4033"/>
    <w:rsid w:val="2D967704"/>
    <w:rsid w:val="2DAB5DC1"/>
    <w:rsid w:val="2DF14475"/>
    <w:rsid w:val="2DF83CAE"/>
    <w:rsid w:val="2E1036F7"/>
    <w:rsid w:val="2E2F76FC"/>
    <w:rsid w:val="2E3B3187"/>
    <w:rsid w:val="2E422DCC"/>
    <w:rsid w:val="2E66613F"/>
    <w:rsid w:val="2E6B4F35"/>
    <w:rsid w:val="2E754540"/>
    <w:rsid w:val="2E905186"/>
    <w:rsid w:val="2ED2330B"/>
    <w:rsid w:val="2EDC447A"/>
    <w:rsid w:val="2EE5733A"/>
    <w:rsid w:val="2EEE11AC"/>
    <w:rsid w:val="2EFE35E8"/>
    <w:rsid w:val="2F034443"/>
    <w:rsid w:val="2F315682"/>
    <w:rsid w:val="2F4E6128"/>
    <w:rsid w:val="2F593497"/>
    <w:rsid w:val="2F7572F8"/>
    <w:rsid w:val="2F80221D"/>
    <w:rsid w:val="2FA6202F"/>
    <w:rsid w:val="2FDB47FA"/>
    <w:rsid w:val="302F5664"/>
    <w:rsid w:val="303F08C7"/>
    <w:rsid w:val="30412492"/>
    <w:rsid w:val="304704C5"/>
    <w:rsid w:val="30615FED"/>
    <w:rsid w:val="3075080D"/>
    <w:rsid w:val="309713C6"/>
    <w:rsid w:val="30A232E4"/>
    <w:rsid w:val="30C50C66"/>
    <w:rsid w:val="30ED1711"/>
    <w:rsid w:val="31167200"/>
    <w:rsid w:val="312C69BA"/>
    <w:rsid w:val="31393DCB"/>
    <w:rsid w:val="31636DC3"/>
    <w:rsid w:val="316A224B"/>
    <w:rsid w:val="316D2854"/>
    <w:rsid w:val="31712EBC"/>
    <w:rsid w:val="317D5FB6"/>
    <w:rsid w:val="318C7F04"/>
    <w:rsid w:val="319C5AA7"/>
    <w:rsid w:val="319F465C"/>
    <w:rsid w:val="31C32FA3"/>
    <w:rsid w:val="31CD468B"/>
    <w:rsid w:val="31D91BE1"/>
    <w:rsid w:val="31E60856"/>
    <w:rsid w:val="31E96171"/>
    <w:rsid w:val="31EA35E8"/>
    <w:rsid w:val="32016DBC"/>
    <w:rsid w:val="322C0610"/>
    <w:rsid w:val="322E1BFD"/>
    <w:rsid w:val="322F1D18"/>
    <w:rsid w:val="323A3E96"/>
    <w:rsid w:val="323E22F7"/>
    <w:rsid w:val="32A5173A"/>
    <w:rsid w:val="32BB148C"/>
    <w:rsid w:val="32BB6217"/>
    <w:rsid w:val="33291ACF"/>
    <w:rsid w:val="333D7CDA"/>
    <w:rsid w:val="336C20F6"/>
    <w:rsid w:val="337D6DD6"/>
    <w:rsid w:val="339670C9"/>
    <w:rsid w:val="339B1966"/>
    <w:rsid w:val="33A23507"/>
    <w:rsid w:val="33BF02F5"/>
    <w:rsid w:val="33C1178D"/>
    <w:rsid w:val="33CD5CBF"/>
    <w:rsid w:val="33CF6A93"/>
    <w:rsid w:val="33D52CF0"/>
    <w:rsid w:val="33E3198C"/>
    <w:rsid w:val="33F352AE"/>
    <w:rsid w:val="341663D8"/>
    <w:rsid w:val="34357F34"/>
    <w:rsid w:val="34491953"/>
    <w:rsid w:val="344F1FA8"/>
    <w:rsid w:val="34545741"/>
    <w:rsid w:val="345721E6"/>
    <w:rsid w:val="34751483"/>
    <w:rsid w:val="34B01D5A"/>
    <w:rsid w:val="34B44B7E"/>
    <w:rsid w:val="34D26EB9"/>
    <w:rsid w:val="34F64668"/>
    <w:rsid w:val="35056F41"/>
    <w:rsid w:val="350A4AD0"/>
    <w:rsid w:val="350F0702"/>
    <w:rsid w:val="35537C83"/>
    <w:rsid w:val="35885C2E"/>
    <w:rsid w:val="35A873D1"/>
    <w:rsid w:val="35C249F4"/>
    <w:rsid w:val="35C76FEA"/>
    <w:rsid w:val="362A4EEC"/>
    <w:rsid w:val="36312097"/>
    <w:rsid w:val="36460B81"/>
    <w:rsid w:val="36495886"/>
    <w:rsid w:val="36637A63"/>
    <w:rsid w:val="367B7C57"/>
    <w:rsid w:val="367F4F73"/>
    <w:rsid w:val="36DF1B09"/>
    <w:rsid w:val="36F5558D"/>
    <w:rsid w:val="36FA75CB"/>
    <w:rsid w:val="36FE69CC"/>
    <w:rsid w:val="37077031"/>
    <w:rsid w:val="370A446C"/>
    <w:rsid w:val="37186290"/>
    <w:rsid w:val="371F3BCB"/>
    <w:rsid w:val="371F5514"/>
    <w:rsid w:val="37236D14"/>
    <w:rsid w:val="372C6501"/>
    <w:rsid w:val="374A1271"/>
    <w:rsid w:val="376806DB"/>
    <w:rsid w:val="37846EE5"/>
    <w:rsid w:val="379461DF"/>
    <w:rsid w:val="37985CD3"/>
    <w:rsid w:val="379C5527"/>
    <w:rsid w:val="379F25AA"/>
    <w:rsid w:val="37B7331B"/>
    <w:rsid w:val="37BE432D"/>
    <w:rsid w:val="37C0269B"/>
    <w:rsid w:val="37C20289"/>
    <w:rsid w:val="37CC113C"/>
    <w:rsid w:val="37D93D9B"/>
    <w:rsid w:val="37DD3769"/>
    <w:rsid w:val="37FE4685"/>
    <w:rsid w:val="38316343"/>
    <w:rsid w:val="384E5AA3"/>
    <w:rsid w:val="38540962"/>
    <w:rsid w:val="38727B02"/>
    <w:rsid w:val="38812AD7"/>
    <w:rsid w:val="389F5CD8"/>
    <w:rsid w:val="38AA6BDA"/>
    <w:rsid w:val="38B279EB"/>
    <w:rsid w:val="38B82AF5"/>
    <w:rsid w:val="38C7204D"/>
    <w:rsid w:val="38EA6C83"/>
    <w:rsid w:val="392B1828"/>
    <w:rsid w:val="394D58E5"/>
    <w:rsid w:val="39933B19"/>
    <w:rsid w:val="39A33CED"/>
    <w:rsid w:val="39B63F14"/>
    <w:rsid w:val="39BB11C0"/>
    <w:rsid w:val="39ED5AEC"/>
    <w:rsid w:val="39F25C1A"/>
    <w:rsid w:val="3A2B463D"/>
    <w:rsid w:val="3A386A14"/>
    <w:rsid w:val="3A3C0A2C"/>
    <w:rsid w:val="3A453174"/>
    <w:rsid w:val="3A5133D0"/>
    <w:rsid w:val="3A52381C"/>
    <w:rsid w:val="3A58654F"/>
    <w:rsid w:val="3A687E26"/>
    <w:rsid w:val="3A8322BE"/>
    <w:rsid w:val="3AC7728A"/>
    <w:rsid w:val="3ACB380C"/>
    <w:rsid w:val="3ADA3E24"/>
    <w:rsid w:val="3AF6205F"/>
    <w:rsid w:val="3B050D2B"/>
    <w:rsid w:val="3B1D2FE9"/>
    <w:rsid w:val="3B1F566C"/>
    <w:rsid w:val="3B265D2B"/>
    <w:rsid w:val="3B497D60"/>
    <w:rsid w:val="3B4D0406"/>
    <w:rsid w:val="3B4F3729"/>
    <w:rsid w:val="3B5C1C29"/>
    <w:rsid w:val="3B716F78"/>
    <w:rsid w:val="3B8725C8"/>
    <w:rsid w:val="3BB54638"/>
    <w:rsid w:val="3BD62991"/>
    <w:rsid w:val="3BD95935"/>
    <w:rsid w:val="3BF34A5A"/>
    <w:rsid w:val="3BF616FA"/>
    <w:rsid w:val="3BF75334"/>
    <w:rsid w:val="3C2052F0"/>
    <w:rsid w:val="3C2A50F0"/>
    <w:rsid w:val="3C2B11E4"/>
    <w:rsid w:val="3C40286C"/>
    <w:rsid w:val="3C4373C4"/>
    <w:rsid w:val="3C9508B9"/>
    <w:rsid w:val="3CBE1861"/>
    <w:rsid w:val="3CD06F1D"/>
    <w:rsid w:val="3CD9405C"/>
    <w:rsid w:val="3CDB019A"/>
    <w:rsid w:val="3CE83CA8"/>
    <w:rsid w:val="3CF672F5"/>
    <w:rsid w:val="3D11065F"/>
    <w:rsid w:val="3D14219F"/>
    <w:rsid w:val="3D32517E"/>
    <w:rsid w:val="3D5B4B1B"/>
    <w:rsid w:val="3D7778E1"/>
    <w:rsid w:val="3D7C44EE"/>
    <w:rsid w:val="3DD64A42"/>
    <w:rsid w:val="3DFF7691"/>
    <w:rsid w:val="3E21293C"/>
    <w:rsid w:val="3E6A644A"/>
    <w:rsid w:val="3E711D4C"/>
    <w:rsid w:val="3E861F2A"/>
    <w:rsid w:val="3E865C72"/>
    <w:rsid w:val="3E920965"/>
    <w:rsid w:val="3E92378D"/>
    <w:rsid w:val="3EC57D85"/>
    <w:rsid w:val="3ED81093"/>
    <w:rsid w:val="3EF76DEB"/>
    <w:rsid w:val="3F147322"/>
    <w:rsid w:val="3F1B7BDA"/>
    <w:rsid w:val="3F1C6199"/>
    <w:rsid w:val="3F4F53D8"/>
    <w:rsid w:val="3F7561FB"/>
    <w:rsid w:val="3F8175A9"/>
    <w:rsid w:val="3F9110FB"/>
    <w:rsid w:val="3F970AC9"/>
    <w:rsid w:val="3F983970"/>
    <w:rsid w:val="3FA04C1F"/>
    <w:rsid w:val="3FA54DF8"/>
    <w:rsid w:val="3FAB3EF2"/>
    <w:rsid w:val="3FB74B79"/>
    <w:rsid w:val="3FB97FE1"/>
    <w:rsid w:val="3FC268DF"/>
    <w:rsid w:val="3FC62C11"/>
    <w:rsid w:val="3FE10133"/>
    <w:rsid w:val="3FF03FC2"/>
    <w:rsid w:val="400E79AB"/>
    <w:rsid w:val="400F586A"/>
    <w:rsid w:val="40225FCC"/>
    <w:rsid w:val="402C43AB"/>
    <w:rsid w:val="402D0F85"/>
    <w:rsid w:val="4031573F"/>
    <w:rsid w:val="403645F3"/>
    <w:rsid w:val="40491F46"/>
    <w:rsid w:val="40A86353"/>
    <w:rsid w:val="40CC47B9"/>
    <w:rsid w:val="40E41DEF"/>
    <w:rsid w:val="40F17FA1"/>
    <w:rsid w:val="40F2485A"/>
    <w:rsid w:val="40FC47E1"/>
    <w:rsid w:val="41281B44"/>
    <w:rsid w:val="41345493"/>
    <w:rsid w:val="4138297C"/>
    <w:rsid w:val="41656A44"/>
    <w:rsid w:val="4188317F"/>
    <w:rsid w:val="41924FB9"/>
    <w:rsid w:val="4199221E"/>
    <w:rsid w:val="41B34DF1"/>
    <w:rsid w:val="41BB0480"/>
    <w:rsid w:val="41BF708C"/>
    <w:rsid w:val="42041BE8"/>
    <w:rsid w:val="42097713"/>
    <w:rsid w:val="420D42E6"/>
    <w:rsid w:val="42186FAF"/>
    <w:rsid w:val="42436B6D"/>
    <w:rsid w:val="42635B8E"/>
    <w:rsid w:val="42AE24C0"/>
    <w:rsid w:val="42BB2A5D"/>
    <w:rsid w:val="42CB6444"/>
    <w:rsid w:val="42F27836"/>
    <w:rsid w:val="430A6E5A"/>
    <w:rsid w:val="4330416F"/>
    <w:rsid w:val="433E2AAC"/>
    <w:rsid w:val="434F7A62"/>
    <w:rsid w:val="436752A6"/>
    <w:rsid w:val="436F39FE"/>
    <w:rsid w:val="43804E58"/>
    <w:rsid w:val="43843FDD"/>
    <w:rsid w:val="438A4ADE"/>
    <w:rsid w:val="439F0E69"/>
    <w:rsid w:val="43C57DBB"/>
    <w:rsid w:val="43D7406A"/>
    <w:rsid w:val="43DC5799"/>
    <w:rsid w:val="43F42B17"/>
    <w:rsid w:val="43FD5278"/>
    <w:rsid w:val="441A3D23"/>
    <w:rsid w:val="441E1F6C"/>
    <w:rsid w:val="44284DFE"/>
    <w:rsid w:val="442E3C85"/>
    <w:rsid w:val="443B29FC"/>
    <w:rsid w:val="443B4DCB"/>
    <w:rsid w:val="443D4A0D"/>
    <w:rsid w:val="443D5D23"/>
    <w:rsid w:val="4464327A"/>
    <w:rsid w:val="446A3FBF"/>
    <w:rsid w:val="44BD683C"/>
    <w:rsid w:val="44D8473A"/>
    <w:rsid w:val="44E37827"/>
    <w:rsid w:val="44E701A5"/>
    <w:rsid w:val="45080D22"/>
    <w:rsid w:val="450E74EC"/>
    <w:rsid w:val="45265484"/>
    <w:rsid w:val="452D74E0"/>
    <w:rsid w:val="45316114"/>
    <w:rsid w:val="45396AC7"/>
    <w:rsid w:val="456D26F5"/>
    <w:rsid w:val="457C4123"/>
    <w:rsid w:val="45855844"/>
    <w:rsid w:val="4587329F"/>
    <w:rsid w:val="458B69F6"/>
    <w:rsid w:val="45A647C9"/>
    <w:rsid w:val="45C12828"/>
    <w:rsid w:val="45C943D0"/>
    <w:rsid w:val="45DA6D30"/>
    <w:rsid w:val="45DE14B8"/>
    <w:rsid w:val="463842DE"/>
    <w:rsid w:val="46386E53"/>
    <w:rsid w:val="4639036D"/>
    <w:rsid w:val="463A05A5"/>
    <w:rsid w:val="463A5557"/>
    <w:rsid w:val="46460291"/>
    <w:rsid w:val="464A0A81"/>
    <w:rsid w:val="46625A9D"/>
    <w:rsid w:val="4666004F"/>
    <w:rsid w:val="469506DA"/>
    <w:rsid w:val="469B1818"/>
    <w:rsid w:val="46A9385A"/>
    <w:rsid w:val="46CA4E0D"/>
    <w:rsid w:val="470B23CA"/>
    <w:rsid w:val="472762D3"/>
    <w:rsid w:val="47454177"/>
    <w:rsid w:val="474F15D8"/>
    <w:rsid w:val="4752380F"/>
    <w:rsid w:val="4754049B"/>
    <w:rsid w:val="475E7C0D"/>
    <w:rsid w:val="476415D8"/>
    <w:rsid w:val="47701558"/>
    <w:rsid w:val="477426A5"/>
    <w:rsid w:val="47873BD6"/>
    <w:rsid w:val="47B2336A"/>
    <w:rsid w:val="47BA4F6E"/>
    <w:rsid w:val="47CC6E75"/>
    <w:rsid w:val="47D7366E"/>
    <w:rsid w:val="47E12DA0"/>
    <w:rsid w:val="47F243FC"/>
    <w:rsid w:val="486C3D94"/>
    <w:rsid w:val="48A226AD"/>
    <w:rsid w:val="48AE3ACC"/>
    <w:rsid w:val="48B2699F"/>
    <w:rsid w:val="48B67D8D"/>
    <w:rsid w:val="48C260C0"/>
    <w:rsid w:val="4902628A"/>
    <w:rsid w:val="490B2882"/>
    <w:rsid w:val="492412C0"/>
    <w:rsid w:val="494E7D53"/>
    <w:rsid w:val="49692609"/>
    <w:rsid w:val="4988006D"/>
    <w:rsid w:val="499646A6"/>
    <w:rsid w:val="499F4D25"/>
    <w:rsid w:val="49B26E0D"/>
    <w:rsid w:val="49B6283C"/>
    <w:rsid w:val="49BB06FB"/>
    <w:rsid w:val="49BC2A68"/>
    <w:rsid w:val="49F04BCB"/>
    <w:rsid w:val="49FD451C"/>
    <w:rsid w:val="4A152F65"/>
    <w:rsid w:val="4A3E0914"/>
    <w:rsid w:val="4A3F1207"/>
    <w:rsid w:val="4A57472F"/>
    <w:rsid w:val="4A715E3D"/>
    <w:rsid w:val="4AB72982"/>
    <w:rsid w:val="4B1B2082"/>
    <w:rsid w:val="4B635F8B"/>
    <w:rsid w:val="4B65032C"/>
    <w:rsid w:val="4B712A43"/>
    <w:rsid w:val="4B82202B"/>
    <w:rsid w:val="4BBE1692"/>
    <w:rsid w:val="4BCA0C2B"/>
    <w:rsid w:val="4BD65A7B"/>
    <w:rsid w:val="4BE106C3"/>
    <w:rsid w:val="4C074AC8"/>
    <w:rsid w:val="4C0B49E3"/>
    <w:rsid w:val="4C0D2006"/>
    <w:rsid w:val="4C180EC0"/>
    <w:rsid w:val="4C611387"/>
    <w:rsid w:val="4C696745"/>
    <w:rsid w:val="4C737423"/>
    <w:rsid w:val="4C987A51"/>
    <w:rsid w:val="4C993ABE"/>
    <w:rsid w:val="4CAA2DCE"/>
    <w:rsid w:val="4CB96EE9"/>
    <w:rsid w:val="4CD66C96"/>
    <w:rsid w:val="4CD94E20"/>
    <w:rsid w:val="4CDC5A3B"/>
    <w:rsid w:val="4CDF0E5D"/>
    <w:rsid w:val="4CE376D5"/>
    <w:rsid w:val="4D0D3FCB"/>
    <w:rsid w:val="4D547564"/>
    <w:rsid w:val="4D6C65CD"/>
    <w:rsid w:val="4D8217BA"/>
    <w:rsid w:val="4D9C1BB4"/>
    <w:rsid w:val="4DC65A69"/>
    <w:rsid w:val="4DF4626D"/>
    <w:rsid w:val="4DFC20A2"/>
    <w:rsid w:val="4DFF1B97"/>
    <w:rsid w:val="4E020B1B"/>
    <w:rsid w:val="4E043535"/>
    <w:rsid w:val="4E1362FB"/>
    <w:rsid w:val="4E25360E"/>
    <w:rsid w:val="4E2719FC"/>
    <w:rsid w:val="4E5E12F1"/>
    <w:rsid w:val="4E62045F"/>
    <w:rsid w:val="4E783F31"/>
    <w:rsid w:val="4EAC689C"/>
    <w:rsid w:val="4EB25AA5"/>
    <w:rsid w:val="4EDD2691"/>
    <w:rsid w:val="4EDE7AF4"/>
    <w:rsid w:val="4EF911E3"/>
    <w:rsid w:val="4EF94046"/>
    <w:rsid w:val="4F0048E8"/>
    <w:rsid w:val="4F0C760F"/>
    <w:rsid w:val="4F15188C"/>
    <w:rsid w:val="4F255836"/>
    <w:rsid w:val="4F29165C"/>
    <w:rsid w:val="4F3F24FD"/>
    <w:rsid w:val="4F4F67C3"/>
    <w:rsid w:val="4F580453"/>
    <w:rsid w:val="4F647CAE"/>
    <w:rsid w:val="4F7F4759"/>
    <w:rsid w:val="4F8A3560"/>
    <w:rsid w:val="4F8A6E9D"/>
    <w:rsid w:val="4FA00EA1"/>
    <w:rsid w:val="4FA7410F"/>
    <w:rsid w:val="4FAC3645"/>
    <w:rsid w:val="4FB10DBD"/>
    <w:rsid w:val="4FB35572"/>
    <w:rsid w:val="4FC03A74"/>
    <w:rsid w:val="4FD02150"/>
    <w:rsid w:val="4FD47514"/>
    <w:rsid w:val="4FDC31A9"/>
    <w:rsid w:val="4FE15CB0"/>
    <w:rsid w:val="4FF525AA"/>
    <w:rsid w:val="4FF63DCE"/>
    <w:rsid w:val="500A5543"/>
    <w:rsid w:val="501D01A2"/>
    <w:rsid w:val="501D19C7"/>
    <w:rsid w:val="50372FFC"/>
    <w:rsid w:val="50381A05"/>
    <w:rsid w:val="504305E6"/>
    <w:rsid w:val="504C6018"/>
    <w:rsid w:val="50500C93"/>
    <w:rsid w:val="506E1264"/>
    <w:rsid w:val="50791242"/>
    <w:rsid w:val="508B7406"/>
    <w:rsid w:val="509F73B0"/>
    <w:rsid w:val="50B26A6B"/>
    <w:rsid w:val="50C20F4E"/>
    <w:rsid w:val="50D40C4B"/>
    <w:rsid w:val="50E46F54"/>
    <w:rsid w:val="50F515F4"/>
    <w:rsid w:val="5144267E"/>
    <w:rsid w:val="51465964"/>
    <w:rsid w:val="514D07CA"/>
    <w:rsid w:val="51604849"/>
    <w:rsid w:val="51747844"/>
    <w:rsid w:val="51777F08"/>
    <w:rsid w:val="51912DDA"/>
    <w:rsid w:val="51AB47E1"/>
    <w:rsid w:val="51B047FE"/>
    <w:rsid w:val="51B204B9"/>
    <w:rsid w:val="51B56296"/>
    <w:rsid w:val="51C72834"/>
    <w:rsid w:val="51E74EF3"/>
    <w:rsid w:val="520C2961"/>
    <w:rsid w:val="522F500B"/>
    <w:rsid w:val="523852D6"/>
    <w:rsid w:val="523E768F"/>
    <w:rsid w:val="5242577E"/>
    <w:rsid w:val="527076ED"/>
    <w:rsid w:val="52783884"/>
    <w:rsid w:val="52AC28BC"/>
    <w:rsid w:val="52B05067"/>
    <w:rsid w:val="52B1623B"/>
    <w:rsid w:val="52CC23E6"/>
    <w:rsid w:val="52D7787C"/>
    <w:rsid w:val="52E07238"/>
    <w:rsid w:val="52EA11D5"/>
    <w:rsid w:val="5306390C"/>
    <w:rsid w:val="5329120F"/>
    <w:rsid w:val="536F68C7"/>
    <w:rsid w:val="5382736B"/>
    <w:rsid w:val="539E491F"/>
    <w:rsid w:val="53B24EEA"/>
    <w:rsid w:val="53B97E84"/>
    <w:rsid w:val="53BF4F14"/>
    <w:rsid w:val="53C72845"/>
    <w:rsid w:val="53CA6414"/>
    <w:rsid w:val="53D00E36"/>
    <w:rsid w:val="53D31D47"/>
    <w:rsid w:val="53DD499C"/>
    <w:rsid w:val="53DE6A13"/>
    <w:rsid w:val="53EF09CA"/>
    <w:rsid w:val="53F014B1"/>
    <w:rsid w:val="53F06B57"/>
    <w:rsid w:val="5408182A"/>
    <w:rsid w:val="54125F57"/>
    <w:rsid w:val="54187343"/>
    <w:rsid w:val="541C31AF"/>
    <w:rsid w:val="5420466B"/>
    <w:rsid w:val="542E0A91"/>
    <w:rsid w:val="5433414C"/>
    <w:rsid w:val="54465F20"/>
    <w:rsid w:val="545D4199"/>
    <w:rsid w:val="54831B18"/>
    <w:rsid w:val="549502FD"/>
    <w:rsid w:val="54AB09A6"/>
    <w:rsid w:val="54AF20D4"/>
    <w:rsid w:val="54B45B19"/>
    <w:rsid w:val="54B72A99"/>
    <w:rsid w:val="54BC49A0"/>
    <w:rsid w:val="54EE39DB"/>
    <w:rsid w:val="55022976"/>
    <w:rsid w:val="551C096F"/>
    <w:rsid w:val="55240097"/>
    <w:rsid w:val="552C3D46"/>
    <w:rsid w:val="554D13EE"/>
    <w:rsid w:val="559341A6"/>
    <w:rsid w:val="55C57ADE"/>
    <w:rsid w:val="55CE22F2"/>
    <w:rsid w:val="56160365"/>
    <w:rsid w:val="561717F3"/>
    <w:rsid w:val="566E6821"/>
    <w:rsid w:val="56DD747D"/>
    <w:rsid w:val="56EE039D"/>
    <w:rsid w:val="56F96728"/>
    <w:rsid w:val="571F273F"/>
    <w:rsid w:val="572F7A73"/>
    <w:rsid w:val="575B3A04"/>
    <w:rsid w:val="575B5634"/>
    <w:rsid w:val="575D7EC0"/>
    <w:rsid w:val="576138FC"/>
    <w:rsid w:val="578736CD"/>
    <w:rsid w:val="578739BB"/>
    <w:rsid w:val="57893C0F"/>
    <w:rsid w:val="5798256F"/>
    <w:rsid w:val="579840C7"/>
    <w:rsid w:val="57C2221D"/>
    <w:rsid w:val="57E1536E"/>
    <w:rsid w:val="57FD673B"/>
    <w:rsid w:val="583A7FA8"/>
    <w:rsid w:val="58544955"/>
    <w:rsid w:val="58566AE7"/>
    <w:rsid w:val="585962B5"/>
    <w:rsid w:val="585C0BF0"/>
    <w:rsid w:val="585F5B75"/>
    <w:rsid w:val="587902B5"/>
    <w:rsid w:val="587A4269"/>
    <w:rsid w:val="588975C7"/>
    <w:rsid w:val="589A5A5F"/>
    <w:rsid w:val="58B94375"/>
    <w:rsid w:val="58BA4A70"/>
    <w:rsid w:val="5902444F"/>
    <w:rsid w:val="591B5CBF"/>
    <w:rsid w:val="5927514C"/>
    <w:rsid w:val="594F610B"/>
    <w:rsid w:val="595E728C"/>
    <w:rsid w:val="59600EE5"/>
    <w:rsid w:val="59634BDC"/>
    <w:rsid w:val="59941B20"/>
    <w:rsid w:val="599A4004"/>
    <w:rsid w:val="599B086D"/>
    <w:rsid w:val="59B927ED"/>
    <w:rsid w:val="59BF5C8E"/>
    <w:rsid w:val="59D97EC2"/>
    <w:rsid w:val="59E24823"/>
    <w:rsid w:val="59E27409"/>
    <w:rsid w:val="59E52BA1"/>
    <w:rsid w:val="59ED36DC"/>
    <w:rsid w:val="59FC781F"/>
    <w:rsid w:val="5A0C1B4F"/>
    <w:rsid w:val="5A3526A3"/>
    <w:rsid w:val="5A370571"/>
    <w:rsid w:val="5A4E41C1"/>
    <w:rsid w:val="5A6210CC"/>
    <w:rsid w:val="5A7348C9"/>
    <w:rsid w:val="5A7521D8"/>
    <w:rsid w:val="5A7E7218"/>
    <w:rsid w:val="5A9725BE"/>
    <w:rsid w:val="5AC76508"/>
    <w:rsid w:val="5AD45AFB"/>
    <w:rsid w:val="5AFC1624"/>
    <w:rsid w:val="5B095493"/>
    <w:rsid w:val="5B115BA8"/>
    <w:rsid w:val="5B235AE9"/>
    <w:rsid w:val="5B246A53"/>
    <w:rsid w:val="5B416E74"/>
    <w:rsid w:val="5B437EA2"/>
    <w:rsid w:val="5B534ED1"/>
    <w:rsid w:val="5B7D545A"/>
    <w:rsid w:val="5B8859A0"/>
    <w:rsid w:val="5B9F7743"/>
    <w:rsid w:val="5BB522B5"/>
    <w:rsid w:val="5BBA4618"/>
    <w:rsid w:val="5BDB7A2A"/>
    <w:rsid w:val="5BF250F3"/>
    <w:rsid w:val="5BF742B1"/>
    <w:rsid w:val="5BF84DDB"/>
    <w:rsid w:val="5C111338"/>
    <w:rsid w:val="5C435D6C"/>
    <w:rsid w:val="5C600994"/>
    <w:rsid w:val="5C691941"/>
    <w:rsid w:val="5C7919DF"/>
    <w:rsid w:val="5CAA3741"/>
    <w:rsid w:val="5CB35D47"/>
    <w:rsid w:val="5CC03137"/>
    <w:rsid w:val="5CC85C68"/>
    <w:rsid w:val="5CEC3A93"/>
    <w:rsid w:val="5CEF405D"/>
    <w:rsid w:val="5CFE5040"/>
    <w:rsid w:val="5D04012A"/>
    <w:rsid w:val="5D1341B2"/>
    <w:rsid w:val="5D251093"/>
    <w:rsid w:val="5D287B54"/>
    <w:rsid w:val="5D3047D1"/>
    <w:rsid w:val="5D494018"/>
    <w:rsid w:val="5D4A529A"/>
    <w:rsid w:val="5D6B14A2"/>
    <w:rsid w:val="5D6D7DD8"/>
    <w:rsid w:val="5D8830C0"/>
    <w:rsid w:val="5D9B0E6A"/>
    <w:rsid w:val="5D9E1AED"/>
    <w:rsid w:val="5D9E4E16"/>
    <w:rsid w:val="5DBA0135"/>
    <w:rsid w:val="5DCD5DE5"/>
    <w:rsid w:val="5DD437EF"/>
    <w:rsid w:val="5DF16302"/>
    <w:rsid w:val="5DFF4B46"/>
    <w:rsid w:val="5E3B0A10"/>
    <w:rsid w:val="5E424B71"/>
    <w:rsid w:val="5E881A80"/>
    <w:rsid w:val="5EB51AB3"/>
    <w:rsid w:val="5EC33621"/>
    <w:rsid w:val="5EDE579C"/>
    <w:rsid w:val="5EF31C67"/>
    <w:rsid w:val="5EF4004E"/>
    <w:rsid w:val="5EFA106E"/>
    <w:rsid w:val="5EFF06CD"/>
    <w:rsid w:val="5F010576"/>
    <w:rsid w:val="5F0251FA"/>
    <w:rsid w:val="5F4475AE"/>
    <w:rsid w:val="5F4A6799"/>
    <w:rsid w:val="5F4D6E91"/>
    <w:rsid w:val="5F6C2424"/>
    <w:rsid w:val="5F946A7C"/>
    <w:rsid w:val="5F9A6E9E"/>
    <w:rsid w:val="5FBA79B0"/>
    <w:rsid w:val="5FC61813"/>
    <w:rsid w:val="5FD57CF6"/>
    <w:rsid w:val="5FF351F8"/>
    <w:rsid w:val="5FF50EAD"/>
    <w:rsid w:val="600676E3"/>
    <w:rsid w:val="601C5687"/>
    <w:rsid w:val="602B7B91"/>
    <w:rsid w:val="60391C4C"/>
    <w:rsid w:val="603B021E"/>
    <w:rsid w:val="60584683"/>
    <w:rsid w:val="60620F67"/>
    <w:rsid w:val="606F768E"/>
    <w:rsid w:val="608D00E3"/>
    <w:rsid w:val="60992490"/>
    <w:rsid w:val="60A1419A"/>
    <w:rsid w:val="60A43A47"/>
    <w:rsid w:val="60C33C2B"/>
    <w:rsid w:val="60E97ACC"/>
    <w:rsid w:val="61160E7E"/>
    <w:rsid w:val="61167757"/>
    <w:rsid w:val="61311E12"/>
    <w:rsid w:val="614E0C9F"/>
    <w:rsid w:val="615407BE"/>
    <w:rsid w:val="61637659"/>
    <w:rsid w:val="617C570B"/>
    <w:rsid w:val="61853804"/>
    <w:rsid w:val="619B53CA"/>
    <w:rsid w:val="61A56DFA"/>
    <w:rsid w:val="61B66CDB"/>
    <w:rsid w:val="61EB5F1D"/>
    <w:rsid w:val="621B5631"/>
    <w:rsid w:val="622C3BBB"/>
    <w:rsid w:val="62330EBD"/>
    <w:rsid w:val="626D5F91"/>
    <w:rsid w:val="627E7D9D"/>
    <w:rsid w:val="628407FE"/>
    <w:rsid w:val="62880405"/>
    <w:rsid w:val="629073C4"/>
    <w:rsid w:val="62996318"/>
    <w:rsid w:val="62AA6D2C"/>
    <w:rsid w:val="62B0179B"/>
    <w:rsid w:val="62CC094F"/>
    <w:rsid w:val="62F95075"/>
    <w:rsid w:val="630334E9"/>
    <w:rsid w:val="63242B23"/>
    <w:rsid w:val="635C73A1"/>
    <w:rsid w:val="63743838"/>
    <w:rsid w:val="637455EF"/>
    <w:rsid w:val="637509AF"/>
    <w:rsid w:val="63A23228"/>
    <w:rsid w:val="63A53859"/>
    <w:rsid w:val="63AB5D44"/>
    <w:rsid w:val="63B04CF8"/>
    <w:rsid w:val="63BA7188"/>
    <w:rsid w:val="63DF59C2"/>
    <w:rsid w:val="63E6136F"/>
    <w:rsid w:val="63EA625B"/>
    <w:rsid w:val="63FC6F31"/>
    <w:rsid w:val="64037F21"/>
    <w:rsid w:val="642E4F72"/>
    <w:rsid w:val="644B199A"/>
    <w:rsid w:val="646469D4"/>
    <w:rsid w:val="647A419D"/>
    <w:rsid w:val="64846083"/>
    <w:rsid w:val="64851089"/>
    <w:rsid w:val="648570CD"/>
    <w:rsid w:val="648E5907"/>
    <w:rsid w:val="64983CC9"/>
    <w:rsid w:val="64B109D5"/>
    <w:rsid w:val="64E43E7F"/>
    <w:rsid w:val="64FE5C71"/>
    <w:rsid w:val="65025CF4"/>
    <w:rsid w:val="65107E36"/>
    <w:rsid w:val="654E476E"/>
    <w:rsid w:val="657B11CD"/>
    <w:rsid w:val="658A6BCD"/>
    <w:rsid w:val="658F455A"/>
    <w:rsid w:val="659D0782"/>
    <w:rsid w:val="659D7C90"/>
    <w:rsid w:val="65A92F30"/>
    <w:rsid w:val="65B300B5"/>
    <w:rsid w:val="65D04EEB"/>
    <w:rsid w:val="65D424B9"/>
    <w:rsid w:val="66001BA4"/>
    <w:rsid w:val="66025947"/>
    <w:rsid w:val="660D7AF3"/>
    <w:rsid w:val="663C7469"/>
    <w:rsid w:val="668A41F2"/>
    <w:rsid w:val="66A504F5"/>
    <w:rsid w:val="66AA42A0"/>
    <w:rsid w:val="66B8269C"/>
    <w:rsid w:val="66DA6749"/>
    <w:rsid w:val="67051D14"/>
    <w:rsid w:val="671D46C8"/>
    <w:rsid w:val="671F22A3"/>
    <w:rsid w:val="672838C2"/>
    <w:rsid w:val="67291A35"/>
    <w:rsid w:val="673669FF"/>
    <w:rsid w:val="67393CB7"/>
    <w:rsid w:val="673C6439"/>
    <w:rsid w:val="676A0B2B"/>
    <w:rsid w:val="676C3006"/>
    <w:rsid w:val="67827A7F"/>
    <w:rsid w:val="67A667D3"/>
    <w:rsid w:val="67A74C82"/>
    <w:rsid w:val="67A95111"/>
    <w:rsid w:val="67C365BF"/>
    <w:rsid w:val="67D8341E"/>
    <w:rsid w:val="67E46FF5"/>
    <w:rsid w:val="67ED6C16"/>
    <w:rsid w:val="680A6C82"/>
    <w:rsid w:val="6824034C"/>
    <w:rsid w:val="68382E89"/>
    <w:rsid w:val="683E3347"/>
    <w:rsid w:val="6843364C"/>
    <w:rsid w:val="685E57CE"/>
    <w:rsid w:val="685F4AA0"/>
    <w:rsid w:val="68623D3F"/>
    <w:rsid w:val="686C7E0A"/>
    <w:rsid w:val="68757042"/>
    <w:rsid w:val="687D6111"/>
    <w:rsid w:val="6886166B"/>
    <w:rsid w:val="68954A3C"/>
    <w:rsid w:val="689B0DF8"/>
    <w:rsid w:val="68B5096E"/>
    <w:rsid w:val="68CC10BC"/>
    <w:rsid w:val="68F44B09"/>
    <w:rsid w:val="68FA1B9A"/>
    <w:rsid w:val="694E046E"/>
    <w:rsid w:val="69652D27"/>
    <w:rsid w:val="69952A0C"/>
    <w:rsid w:val="699A1218"/>
    <w:rsid w:val="699B4BDB"/>
    <w:rsid w:val="69A51678"/>
    <w:rsid w:val="69BB329B"/>
    <w:rsid w:val="69BD4C61"/>
    <w:rsid w:val="69FC56C6"/>
    <w:rsid w:val="69FD3B6F"/>
    <w:rsid w:val="6A0065EF"/>
    <w:rsid w:val="6A1F1C32"/>
    <w:rsid w:val="6A4D0376"/>
    <w:rsid w:val="6A616283"/>
    <w:rsid w:val="6A641407"/>
    <w:rsid w:val="6A656882"/>
    <w:rsid w:val="6A7172B1"/>
    <w:rsid w:val="6A8B60FB"/>
    <w:rsid w:val="6A9674BF"/>
    <w:rsid w:val="6A9A37E0"/>
    <w:rsid w:val="6AA604CA"/>
    <w:rsid w:val="6AB67B97"/>
    <w:rsid w:val="6AD541DF"/>
    <w:rsid w:val="6ADB41F3"/>
    <w:rsid w:val="6AFB4F4A"/>
    <w:rsid w:val="6B046820"/>
    <w:rsid w:val="6B12444F"/>
    <w:rsid w:val="6B2A12A7"/>
    <w:rsid w:val="6B4533C9"/>
    <w:rsid w:val="6B5C39DF"/>
    <w:rsid w:val="6B5E11EE"/>
    <w:rsid w:val="6B611EB1"/>
    <w:rsid w:val="6B961766"/>
    <w:rsid w:val="6BC8334A"/>
    <w:rsid w:val="6BD61A98"/>
    <w:rsid w:val="6BF77F96"/>
    <w:rsid w:val="6BFE19E1"/>
    <w:rsid w:val="6C050A47"/>
    <w:rsid w:val="6C0B1A74"/>
    <w:rsid w:val="6C16659B"/>
    <w:rsid w:val="6C27235B"/>
    <w:rsid w:val="6C3342D8"/>
    <w:rsid w:val="6C394A8B"/>
    <w:rsid w:val="6C420156"/>
    <w:rsid w:val="6C5142B7"/>
    <w:rsid w:val="6C5C00D6"/>
    <w:rsid w:val="6C7457E7"/>
    <w:rsid w:val="6C7D6E82"/>
    <w:rsid w:val="6C8311C3"/>
    <w:rsid w:val="6CA5691E"/>
    <w:rsid w:val="6CC10EBE"/>
    <w:rsid w:val="6CFC1EEB"/>
    <w:rsid w:val="6CFD2D93"/>
    <w:rsid w:val="6D143732"/>
    <w:rsid w:val="6D1B3C07"/>
    <w:rsid w:val="6D201119"/>
    <w:rsid w:val="6D290842"/>
    <w:rsid w:val="6D680792"/>
    <w:rsid w:val="6DAB0FE0"/>
    <w:rsid w:val="6DEE7FF8"/>
    <w:rsid w:val="6E0B6604"/>
    <w:rsid w:val="6E1E5CB1"/>
    <w:rsid w:val="6E4B6190"/>
    <w:rsid w:val="6E51496A"/>
    <w:rsid w:val="6E516DFE"/>
    <w:rsid w:val="6E790D5F"/>
    <w:rsid w:val="6E8555D0"/>
    <w:rsid w:val="6E876629"/>
    <w:rsid w:val="6E893B3A"/>
    <w:rsid w:val="6EDA7020"/>
    <w:rsid w:val="6EDF1C43"/>
    <w:rsid w:val="6EE82C83"/>
    <w:rsid w:val="6F08338C"/>
    <w:rsid w:val="6F492FDA"/>
    <w:rsid w:val="6F561A7D"/>
    <w:rsid w:val="6F6005AE"/>
    <w:rsid w:val="6FA629B9"/>
    <w:rsid w:val="6FB41CDF"/>
    <w:rsid w:val="6FE52B7F"/>
    <w:rsid w:val="6FEB702D"/>
    <w:rsid w:val="70047746"/>
    <w:rsid w:val="701B22C2"/>
    <w:rsid w:val="704A18A5"/>
    <w:rsid w:val="70535193"/>
    <w:rsid w:val="705353D7"/>
    <w:rsid w:val="70595CFD"/>
    <w:rsid w:val="7066435C"/>
    <w:rsid w:val="70731CBA"/>
    <w:rsid w:val="70AB2A5F"/>
    <w:rsid w:val="70C35C6B"/>
    <w:rsid w:val="70C40F6B"/>
    <w:rsid w:val="70E1083F"/>
    <w:rsid w:val="70FF2B52"/>
    <w:rsid w:val="71053071"/>
    <w:rsid w:val="710C4547"/>
    <w:rsid w:val="71146B3B"/>
    <w:rsid w:val="711E1A75"/>
    <w:rsid w:val="715E5257"/>
    <w:rsid w:val="718030F6"/>
    <w:rsid w:val="718176C8"/>
    <w:rsid w:val="71BB1264"/>
    <w:rsid w:val="71C14470"/>
    <w:rsid w:val="71DD01AD"/>
    <w:rsid w:val="71E01DDD"/>
    <w:rsid w:val="72184C42"/>
    <w:rsid w:val="722761A8"/>
    <w:rsid w:val="723D68AF"/>
    <w:rsid w:val="724721AC"/>
    <w:rsid w:val="72705108"/>
    <w:rsid w:val="729452D5"/>
    <w:rsid w:val="72C5775B"/>
    <w:rsid w:val="72E531D6"/>
    <w:rsid w:val="72F249A3"/>
    <w:rsid w:val="72F657B0"/>
    <w:rsid w:val="72FC409A"/>
    <w:rsid w:val="72FE4B6F"/>
    <w:rsid w:val="73032FC0"/>
    <w:rsid w:val="730F48D7"/>
    <w:rsid w:val="73181763"/>
    <w:rsid w:val="73253B84"/>
    <w:rsid w:val="733D0BED"/>
    <w:rsid w:val="738707F8"/>
    <w:rsid w:val="738754CA"/>
    <w:rsid w:val="738B6F89"/>
    <w:rsid w:val="73A435AB"/>
    <w:rsid w:val="73C056D8"/>
    <w:rsid w:val="73CB6AC4"/>
    <w:rsid w:val="73ED1A3A"/>
    <w:rsid w:val="73F05696"/>
    <w:rsid w:val="73F50B6F"/>
    <w:rsid w:val="74146799"/>
    <w:rsid w:val="741A1B16"/>
    <w:rsid w:val="741E67C6"/>
    <w:rsid w:val="742C5E27"/>
    <w:rsid w:val="74551D23"/>
    <w:rsid w:val="745D7B18"/>
    <w:rsid w:val="745F299C"/>
    <w:rsid w:val="7466617E"/>
    <w:rsid w:val="746F1484"/>
    <w:rsid w:val="74B800CA"/>
    <w:rsid w:val="74E34252"/>
    <w:rsid w:val="74F55B27"/>
    <w:rsid w:val="753D165B"/>
    <w:rsid w:val="753F5076"/>
    <w:rsid w:val="75511543"/>
    <w:rsid w:val="756B2471"/>
    <w:rsid w:val="75726F76"/>
    <w:rsid w:val="758D6086"/>
    <w:rsid w:val="758F1A33"/>
    <w:rsid w:val="75C33EB4"/>
    <w:rsid w:val="75E8126A"/>
    <w:rsid w:val="75F8009A"/>
    <w:rsid w:val="760E3AE0"/>
    <w:rsid w:val="762B22A9"/>
    <w:rsid w:val="763A3819"/>
    <w:rsid w:val="76471DE8"/>
    <w:rsid w:val="764B251F"/>
    <w:rsid w:val="764C1D57"/>
    <w:rsid w:val="76701D3D"/>
    <w:rsid w:val="76951140"/>
    <w:rsid w:val="76974BD9"/>
    <w:rsid w:val="76977026"/>
    <w:rsid w:val="76A70C95"/>
    <w:rsid w:val="76D15D09"/>
    <w:rsid w:val="76EB626F"/>
    <w:rsid w:val="76F57B1F"/>
    <w:rsid w:val="771349E5"/>
    <w:rsid w:val="7714635C"/>
    <w:rsid w:val="771C30FA"/>
    <w:rsid w:val="77206134"/>
    <w:rsid w:val="772F3A61"/>
    <w:rsid w:val="773553A7"/>
    <w:rsid w:val="77580A66"/>
    <w:rsid w:val="778D01FE"/>
    <w:rsid w:val="77A3436B"/>
    <w:rsid w:val="77B86288"/>
    <w:rsid w:val="77F437B1"/>
    <w:rsid w:val="77F90F61"/>
    <w:rsid w:val="780738D1"/>
    <w:rsid w:val="782226C6"/>
    <w:rsid w:val="783D4AFF"/>
    <w:rsid w:val="784D30F3"/>
    <w:rsid w:val="78591D18"/>
    <w:rsid w:val="78693C27"/>
    <w:rsid w:val="788A2C6A"/>
    <w:rsid w:val="78AD0D21"/>
    <w:rsid w:val="78B73B4F"/>
    <w:rsid w:val="78B934ED"/>
    <w:rsid w:val="78C37C8A"/>
    <w:rsid w:val="78DE2D7C"/>
    <w:rsid w:val="7922596C"/>
    <w:rsid w:val="792F01A6"/>
    <w:rsid w:val="79382965"/>
    <w:rsid w:val="794C1894"/>
    <w:rsid w:val="795161CA"/>
    <w:rsid w:val="79820F11"/>
    <w:rsid w:val="798718D5"/>
    <w:rsid w:val="79A81252"/>
    <w:rsid w:val="79AC037E"/>
    <w:rsid w:val="79B4594A"/>
    <w:rsid w:val="79B90F42"/>
    <w:rsid w:val="79B978EA"/>
    <w:rsid w:val="79BC708D"/>
    <w:rsid w:val="79C54D55"/>
    <w:rsid w:val="79CD2B03"/>
    <w:rsid w:val="79EB1C7D"/>
    <w:rsid w:val="7A0400BD"/>
    <w:rsid w:val="7A1B476E"/>
    <w:rsid w:val="7A2250EE"/>
    <w:rsid w:val="7A50702E"/>
    <w:rsid w:val="7A9722EA"/>
    <w:rsid w:val="7AA274F5"/>
    <w:rsid w:val="7AF27BF0"/>
    <w:rsid w:val="7B1A6AB5"/>
    <w:rsid w:val="7B1E408D"/>
    <w:rsid w:val="7B327BB5"/>
    <w:rsid w:val="7B33563C"/>
    <w:rsid w:val="7B4C0E94"/>
    <w:rsid w:val="7B5737ED"/>
    <w:rsid w:val="7B594633"/>
    <w:rsid w:val="7B763FD0"/>
    <w:rsid w:val="7B8D6D12"/>
    <w:rsid w:val="7B9147B3"/>
    <w:rsid w:val="7BAC1017"/>
    <w:rsid w:val="7BC5015F"/>
    <w:rsid w:val="7BDB40C8"/>
    <w:rsid w:val="7BF42EE8"/>
    <w:rsid w:val="7BFC639E"/>
    <w:rsid w:val="7C1060A4"/>
    <w:rsid w:val="7C212B16"/>
    <w:rsid w:val="7C344D27"/>
    <w:rsid w:val="7C6034EF"/>
    <w:rsid w:val="7C753AF5"/>
    <w:rsid w:val="7C8F3841"/>
    <w:rsid w:val="7C927737"/>
    <w:rsid w:val="7CE055BA"/>
    <w:rsid w:val="7CE945FD"/>
    <w:rsid w:val="7CF566CD"/>
    <w:rsid w:val="7CFC1051"/>
    <w:rsid w:val="7D15058B"/>
    <w:rsid w:val="7D157DA1"/>
    <w:rsid w:val="7D213138"/>
    <w:rsid w:val="7D2521B2"/>
    <w:rsid w:val="7D317598"/>
    <w:rsid w:val="7D3230DC"/>
    <w:rsid w:val="7D330897"/>
    <w:rsid w:val="7D4D08D5"/>
    <w:rsid w:val="7D551F58"/>
    <w:rsid w:val="7D6A282B"/>
    <w:rsid w:val="7DF04831"/>
    <w:rsid w:val="7DF22A1C"/>
    <w:rsid w:val="7E0E1134"/>
    <w:rsid w:val="7E282CD5"/>
    <w:rsid w:val="7E3672A9"/>
    <w:rsid w:val="7E4618EE"/>
    <w:rsid w:val="7E49452F"/>
    <w:rsid w:val="7E552C38"/>
    <w:rsid w:val="7E577B57"/>
    <w:rsid w:val="7E706B85"/>
    <w:rsid w:val="7E7A400D"/>
    <w:rsid w:val="7E872237"/>
    <w:rsid w:val="7E873820"/>
    <w:rsid w:val="7E8C3F75"/>
    <w:rsid w:val="7E9832EF"/>
    <w:rsid w:val="7EA80241"/>
    <w:rsid w:val="7EAB6E1B"/>
    <w:rsid w:val="7ED76DD4"/>
    <w:rsid w:val="7EE354CD"/>
    <w:rsid w:val="7F06366D"/>
    <w:rsid w:val="7F13011A"/>
    <w:rsid w:val="7F5456A0"/>
    <w:rsid w:val="7F5A396B"/>
    <w:rsid w:val="7F5C0130"/>
    <w:rsid w:val="7F79289E"/>
    <w:rsid w:val="7F7C38D3"/>
    <w:rsid w:val="7F8F1F7C"/>
    <w:rsid w:val="7FA8445B"/>
    <w:rsid w:val="7FCA114D"/>
    <w:rsid w:val="7FD338C7"/>
    <w:rsid w:val="7FD422E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31"/>
    <w:qFormat/>
    <w:uiPriority w:val="0"/>
    <w:pPr>
      <w:keepNext/>
      <w:keepLines/>
      <w:numPr>
        <w:ilvl w:val="0"/>
        <w:numId w:val="1"/>
      </w:numPr>
      <w:spacing w:before="340" w:after="330" w:line="578" w:lineRule="auto"/>
      <w:jc w:val="center"/>
      <w:outlineLvl w:val="0"/>
    </w:pPr>
    <w:rPr>
      <w:b/>
      <w:bCs/>
      <w:kern w:val="44"/>
      <w:sz w:val="32"/>
      <w:szCs w:val="44"/>
    </w:rPr>
  </w:style>
  <w:style w:type="paragraph" w:styleId="4">
    <w:name w:val="heading 2"/>
    <w:basedOn w:val="1"/>
    <w:next w:val="1"/>
    <w:link w:val="55"/>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99"/>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137"/>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89"/>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75"/>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130"/>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115"/>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93"/>
    <w:qFormat/>
    <w:uiPriority w:val="0"/>
    <w:pPr>
      <w:keepNext/>
      <w:keepLines/>
      <w:numPr>
        <w:ilvl w:val="8"/>
        <w:numId w:val="1"/>
      </w:numPr>
      <w:spacing w:before="240" w:after="64" w:line="320" w:lineRule="auto"/>
      <w:outlineLvl w:val="8"/>
    </w:pPr>
    <w:rPr>
      <w:rFonts w:ascii="Cambria" w:hAnsi="Cambria"/>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0"/>
    <w:pPr>
      <w:ind w:left="600" w:leftChars="600"/>
    </w:pPr>
    <w:rPr>
      <w:rFonts w:ascii="Calibri" w:hAnsi="Calibri"/>
    </w:r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Normal Indent"/>
    <w:basedOn w:val="1"/>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83"/>
    <w:qFormat/>
    <w:uiPriority w:val="0"/>
    <w:rPr>
      <w:rFonts w:ascii="宋体"/>
      <w:sz w:val="18"/>
      <w:szCs w:val="18"/>
    </w:rPr>
  </w:style>
  <w:style w:type="paragraph" w:styleId="17">
    <w:name w:val="annotation text"/>
    <w:basedOn w:val="1"/>
    <w:link w:val="107"/>
    <w:qFormat/>
    <w:uiPriority w:val="99"/>
    <w:pPr>
      <w:jc w:val="left"/>
    </w:pPr>
  </w:style>
  <w:style w:type="paragraph" w:styleId="18">
    <w:name w:val="Body Text 3"/>
    <w:basedOn w:val="1"/>
    <w:link w:val="126"/>
    <w:qFormat/>
    <w:uiPriority w:val="0"/>
    <w:rPr>
      <w:rFonts w:ascii="宋体"/>
      <w:sz w:val="24"/>
      <w:szCs w:val="20"/>
    </w:rPr>
  </w:style>
  <w:style w:type="paragraph" w:styleId="19">
    <w:name w:val="Body Text"/>
    <w:basedOn w:val="1"/>
    <w:next w:val="1"/>
    <w:link w:val="114"/>
    <w:qFormat/>
    <w:uiPriority w:val="0"/>
    <w:pPr>
      <w:jc w:val="center"/>
    </w:pPr>
    <w:rPr>
      <w:rFonts w:eastAsia="幼圆"/>
      <w:b/>
      <w:bCs/>
      <w:sz w:val="44"/>
    </w:rPr>
  </w:style>
  <w:style w:type="paragraph" w:styleId="20">
    <w:name w:val="Body Text Indent"/>
    <w:basedOn w:val="1"/>
    <w:link w:val="70"/>
    <w:qFormat/>
    <w:uiPriority w:val="0"/>
    <w:pPr>
      <w:spacing w:after="120"/>
      <w:ind w:left="420" w:leftChars="200"/>
    </w:pPr>
  </w:style>
  <w:style w:type="paragraph" w:styleId="21">
    <w:name w:val="toc 5"/>
    <w:basedOn w:val="1"/>
    <w:next w:val="1"/>
    <w:unhideWhenUsed/>
    <w:qFormat/>
    <w:uiPriority w:val="39"/>
    <w:pPr>
      <w:ind w:left="1680" w:leftChars="800"/>
    </w:pPr>
    <w:rPr>
      <w:rFonts w:ascii="Calibri" w:hAnsi="Calibri"/>
      <w:szCs w:val="22"/>
    </w:rPr>
  </w:style>
  <w:style w:type="paragraph" w:styleId="22">
    <w:name w:val="toc 3"/>
    <w:basedOn w:val="1"/>
    <w:next w:val="1"/>
    <w:qFormat/>
    <w:uiPriority w:val="39"/>
    <w:pPr>
      <w:ind w:left="840" w:leftChars="400"/>
    </w:pPr>
    <w:rPr>
      <w:rFonts w:ascii="Calibri" w:hAnsi="Calibri"/>
      <w:szCs w:val="22"/>
    </w:rPr>
  </w:style>
  <w:style w:type="paragraph" w:styleId="23">
    <w:name w:val="Plain Text"/>
    <w:basedOn w:val="1"/>
    <w:link w:val="76"/>
    <w:qFormat/>
    <w:uiPriority w:val="0"/>
    <w:rPr>
      <w:rFonts w:ascii="Wonder Arial"/>
    </w:rPr>
  </w:style>
  <w:style w:type="paragraph" w:styleId="24">
    <w:name w:val="toc 8"/>
    <w:basedOn w:val="1"/>
    <w:next w:val="1"/>
    <w:unhideWhenUsed/>
    <w:qFormat/>
    <w:uiPriority w:val="39"/>
    <w:pPr>
      <w:ind w:left="2940" w:leftChars="1400"/>
    </w:pPr>
    <w:rPr>
      <w:rFonts w:ascii="Calibri" w:hAnsi="Calibri"/>
      <w:szCs w:val="22"/>
    </w:rPr>
  </w:style>
  <w:style w:type="paragraph" w:styleId="25">
    <w:name w:val="Date"/>
    <w:basedOn w:val="1"/>
    <w:next w:val="1"/>
    <w:link w:val="84"/>
    <w:unhideWhenUsed/>
    <w:qFormat/>
    <w:uiPriority w:val="0"/>
  </w:style>
  <w:style w:type="paragraph" w:styleId="26">
    <w:name w:val="Body Text Indent 2"/>
    <w:basedOn w:val="1"/>
    <w:link w:val="106"/>
    <w:unhideWhenUsed/>
    <w:qFormat/>
    <w:uiPriority w:val="99"/>
    <w:pPr>
      <w:spacing w:line="420" w:lineRule="exact"/>
      <w:ind w:firstLine="525"/>
    </w:pPr>
    <w:rPr>
      <w:rFonts w:ascii="宋体"/>
      <w:kern w:val="0"/>
      <w:sz w:val="20"/>
      <w:szCs w:val="20"/>
    </w:rPr>
  </w:style>
  <w:style w:type="paragraph" w:styleId="27">
    <w:name w:val="Balloon Text"/>
    <w:basedOn w:val="1"/>
    <w:link w:val="129"/>
    <w:qFormat/>
    <w:uiPriority w:val="0"/>
    <w:rPr>
      <w:sz w:val="18"/>
      <w:szCs w:val="18"/>
    </w:rPr>
  </w:style>
  <w:style w:type="paragraph" w:styleId="28">
    <w:name w:val="footer"/>
    <w:basedOn w:val="1"/>
    <w:link w:val="119"/>
    <w:qFormat/>
    <w:uiPriority w:val="99"/>
    <w:pPr>
      <w:tabs>
        <w:tab w:val="center" w:pos="4153"/>
        <w:tab w:val="right" w:pos="8306"/>
      </w:tabs>
      <w:snapToGrid w:val="0"/>
      <w:jc w:val="left"/>
    </w:pPr>
    <w:rPr>
      <w:sz w:val="18"/>
      <w:szCs w:val="18"/>
    </w:rPr>
  </w:style>
  <w:style w:type="paragraph" w:styleId="29">
    <w:name w:val="header"/>
    <w:basedOn w:val="1"/>
    <w:link w:val="74"/>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style>
  <w:style w:type="paragraph" w:styleId="31">
    <w:name w:val="toc 4"/>
    <w:basedOn w:val="1"/>
    <w:next w:val="1"/>
    <w:unhideWhenUsed/>
    <w:qFormat/>
    <w:uiPriority w:val="39"/>
    <w:pPr>
      <w:ind w:left="1260" w:leftChars="600"/>
    </w:pPr>
    <w:rPr>
      <w:rFonts w:ascii="Calibri" w:hAnsi="Calibri"/>
      <w:szCs w:val="22"/>
    </w:rPr>
  </w:style>
  <w:style w:type="paragraph" w:styleId="32">
    <w:name w:val="Subtitle"/>
    <w:basedOn w:val="1"/>
    <w:next w:val="1"/>
    <w:link w:val="102"/>
    <w:qFormat/>
    <w:uiPriority w:val="0"/>
    <w:pPr>
      <w:spacing w:before="240" w:after="60" w:line="312" w:lineRule="auto"/>
      <w:jc w:val="center"/>
      <w:outlineLvl w:val="1"/>
    </w:pPr>
    <w:rPr>
      <w:rFonts w:ascii="Cambria" w:hAnsi="Cambria"/>
      <w:b/>
      <w:bCs/>
      <w:kern w:val="28"/>
      <w:sz w:val="32"/>
      <w:szCs w:val="32"/>
    </w:rPr>
  </w:style>
  <w:style w:type="paragraph" w:styleId="33">
    <w:name w:val="toc 6"/>
    <w:basedOn w:val="1"/>
    <w:next w:val="1"/>
    <w:unhideWhenUsed/>
    <w:qFormat/>
    <w:uiPriority w:val="39"/>
    <w:pPr>
      <w:ind w:left="2100" w:leftChars="1000"/>
    </w:pPr>
    <w:rPr>
      <w:rFonts w:ascii="Calibri" w:hAnsi="Calibri"/>
      <w:szCs w:val="22"/>
    </w:rPr>
  </w:style>
  <w:style w:type="paragraph" w:styleId="34">
    <w:name w:val="Body Text Indent 3"/>
    <w:basedOn w:val="1"/>
    <w:link w:val="127"/>
    <w:qFormat/>
    <w:uiPriority w:val="0"/>
    <w:pPr>
      <w:spacing w:after="120"/>
      <w:ind w:left="420" w:leftChars="200"/>
    </w:pPr>
    <w:rPr>
      <w:sz w:val="16"/>
      <w:szCs w:val="20"/>
    </w:rPr>
  </w:style>
  <w:style w:type="paragraph" w:styleId="35">
    <w:name w:val="toc 2"/>
    <w:basedOn w:val="1"/>
    <w:next w:val="1"/>
    <w:qFormat/>
    <w:uiPriority w:val="39"/>
    <w:pPr>
      <w:ind w:left="420" w:leftChars="200"/>
    </w:pPr>
    <w:rPr>
      <w:rFonts w:ascii="Calibri" w:hAnsi="Calibri"/>
      <w:szCs w:val="22"/>
    </w:rPr>
  </w:style>
  <w:style w:type="paragraph" w:styleId="36">
    <w:name w:val="toc 9"/>
    <w:basedOn w:val="1"/>
    <w:next w:val="1"/>
    <w:unhideWhenUsed/>
    <w:qFormat/>
    <w:uiPriority w:val="39"/>
    <w:pPr>
      <w:ind w:left="3360" w:leftChars="1600"/>
    </w:pPr>
    <w:rPr>
      <w:rFonts w:ascii="Calibri" w:hAnsi="Calibri"/>
      <w:szCs w:val="22"/>
    </w:rPr>
  </w:style>
  <w:style w:type="paragraph" w:styleId="37">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pPr>
      <w:spacing w:line="220" w:lineRule="exact"/>
      <w:jc w:val="center"/>
    </w:pPr>
    <w:rPr>
      <w:rFonts w:ascii="宋体" w:hAnsi="Calibri"/>
      <w:szCs w:val="22"/>
    </w:rPr>
  </w:style>
  <w:style w:type="paragraph" w:styleId="40">
    <w:name w:val="Title"/>
    <w:basedOn w:val="1"/>
    <w:link w:val="79"/>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1">
    <w:name w:val="annotation subject"/>
    <w:basedOn w:val="17"/>
    <w:next w:val="17"/>
    <w:link w:val="117"/>
    <w:qFormat/>
    <w:uiPriority w:val="0"/>
    <w:rPr>
      <w:b/>
      <w:bCs/>
    </w:rPr>
  </w:style>
  <w:style w:type="paragraph" w:styleId="42">
    <w:name w:val="Body Text First Indent"/>
    <w:basedOn w:val="19"/>
    <w:next w:val="1"/>
    <w:qFormat/>
    <w:uiPriority w:val="0"/>
    <w:pPr>
      <w:spacing w:after="120"/>
      <w:ind w:firstLine="100" w:firstLineChars="100"/>
    </w:pPr>
    <w:rPr>
      <w:rFonts w:eastAsia="宋体"/>
      <w:sz w:val="21"/>
    </w:rPr>
  </w:style>
  <w:style w:type="paragraph" w:styleId="43">
    <w:name w:val="Body Text First Indent 2"/>
    <w:unhideWhenUsed/>
    <w:qFormat/>
    <w:uiPriority w:val="99"/>
    <w:pPr>
      <w:widowControl w:val="0"/>
      <w:spacing w:after="120"/>
      <w:ind w:left="420" w:leftChars="200" w:firstLine="420" w:firstLineChars="200"/>
      <w:jc w:val="both"/>
    </w:pPr>
    <w:rPr>
      <w:rFonts w:ascii="Calibri" w:hAnsi="Calibri" w:eastAsia="宋体" w:cs="Times New Roman"/>
      <w:kern w:val="2"/>
      <w:sz w:val="21"/>
      <w:szCs w:val="21"/>
      <w:lang w:val="en-US" w:eastAsia="zh-CN" w:bidi="ar-SA"/>
    </w:rPr>
  </w:style>
  <w:style w:type="table" w:styleId="45">
    <w:name w:val="Table Grid"/>
    <w:basedOn w:val="44"/>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rFonts w:cs="Times New Roman"/>
      <w:b/>
    </w:rPr>
  </w:style>
  <w:style w:type="character" w:styleId="48">
    <w:name w:val="page number"/>
    <w:qFormat/>
    <w:uiPriority w:val="0"/>
    <w:rPr>
      <w:rFonts w:eastAsia="宋体"/>
      <w:b/>
      <w:spacing w:val="0"/>
      <w:kern w:val="2"/>
      <w:sz w:val="24"/>
      <w:szCs w:val="24"/>
      <w:vertAlign w:val="baseline"/>
      <w:lang w:val="en-US" w:eastAsia="zh-CN" w:bidi="ar-SA"/>
    </w:rPr>
  </w:style>
  <w:style w:type="character" w:styleId="49">
    <w:name w:val="FollowedHyperlink"/>
    <w:qFormat/>
    <w:uiPriority w:val="0"/>
    <w:rPr>
      <w:color w:val="800080"/>
      <w:u w:val="single"/>
    </w:rPr>
  </w:style>
  <w:style w:type="character" w:styleId="50">
    <w:name w:val="Emphasis"/>
    <w:qFormat/>
    <w:uiPriority w:val="0"/>
    <w:rPr>
      <w:color w:val="CC0000"/>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color w:val="008000"/>
    </w:rPr>
  </w:style>
  <w:style w:type="paragraph" w:customStyle="1" w:styleId="54">
    <w:name w:val="列表段落1"/>
    <w:basedOn w:val="1"/>
    <w:qFormat/>
    <w:uiPriority w:val="99"/>
    <w:pPr>
      <w:ind w:firstLine="420" w:firstLineChars="200"/>
    </w:pPr>
    <w:rPr>
      <w:szCs w:val="20"/>
    </w:rPr>
  </w:style>
  <w:style w:type="character" w:customStyle="1" w:styleId="55">
    <w:name w:val="标题 2 字符"/>
    <w:link w:val="4"/>
    <w:qFormat/>
    <w:uiPriority w:val="0"/>
    <w:rPr>
      <w:rFonts w:ascii="Cambria" w:hAnsi="Cambria"/>
      <w:b/>
      <w:bCs/>
      <w:kern w:val="2"/>
      <w:sz w:val="32"/>
      <w:szCs w:val="32"/>
    </w:rPr>
  </w:style>
  <w:style w:type="character" w:customStyle="1" w:styleId="56">
    <w:name w:val="明显强调1"/>
    <w:qFormat/>
    <w:uiPriority w:val="0"/>
    <w:rPr>
      <w:b/>
      <w:bCs/>
      <w:i/>
      <w:iCs/>
      <w:color w:val="4F81BD"/>
    </w:rPr>
  </w:style>
  <w:style w:type="character" w:customStyle="1" w:styleId="57">
    <w:name w:val="批注文字 Char2"/>
    <w:qFormat/>
    <w:uiPriority w:val="0"/>
    <w:rPr>
      <w:kern w:val="2"/>
      <w:sz w:val="21"/>
    </w:rPr>
  </w:style>
  <w:style w:type="character" w:customStyle="1" w:styleId="58">
    <w:name w:val="标题 3 Char_0"/>
    <w:link w:val="59"/>
    <w:qFormat/>
    <w:uiPriority w:val="0"/>
    <w:rPr>
      <w:b/>
      <w:bCs/>
      <w:sz w:val="32"/>
      <w:szCs w:val="32"/>
    </w:rPr>
  </w:style>
  <w:style w:type="paragraph" w:customStyle="1" w:styleId="59">
    <w:name w:val="标题 3_0"/>
    <w:basedOn w:val="60"/>
    <w:next w:val="60"/>
    <w:link w:val="58"/>
    <w:qFormat/>
    <w:uiPriority w:val="0"/>
    <w:pPr>
      <w:keepNext/>
      <w:keepLines/>
      <w:spacing w:before="260" w:after="260" w:line="416" w:lineRule="auto"/>
      <w:outlineLvl w:val="2"/>
    </w:pPr>
    <w:rPr>
      <w:b/>
      <w:bCs/>
      <w:kern w:val="0"/>
      <w:sz w:val="32"/>
      <w:szCs w:val="32"/>
    </w:rPr>
  </w:style>
  <w:style w:type="paragraph" w:customStyle="1" w:styleId="6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1">
    <w:name w:val="正文文本 Char2"/>
    <w:semiHidden/>
    <w:qFormat/>
    <w:uiPriority w:val="99"/>
    <w:rPr>
      <w:rFonts w:ascii="Calibri" w:hAnsi="Calibri" w:eastAsia="宋体" w:cs="Times New Roman"/>
    </w:rPr>
  </w:style>
  <w:style w:type="character" w:customStyle="1" w:styleId="62">
    <w:name w:val="页脚 Char1"/>
    <w:semiHidden/>
    <w:qFormat/>
    <w:uiPriority w:val="99"/>
    <w:rPr>
      <w:rFonts w:ascii="Calibri" w:hAnsi="Calibri" w:eastAsia="宋体" w:cs="Times New Roman"/>
      <w:sz w:val="18"/>
      <w:szCs w:val="18"/>
    </w:rPr>
  </w:style>
  <w:style w:type="character" w:customStyle="1" w:styleId="63">
    <w:name w:val="明显引用 Char2"/>
    <w:qFormat/>
    <w:uiPriority w:val="99"/>
    <w:rPr>
      <w:b/>
      <w:bCs/>
      <w:i/>
      <w:iCs/>
      <w:color w:val="4F81BD"/>
      <w:kern w:val="2"/>
      <w:sz w:val="21"/>
      <w:szCs w:val="24"/>
    </w:rPr>
  </w:style>
  <w:style w:type="character" w:customStyle="1" w:styleId="64">
    <w:name w:val="引用 Char"/>
    <w:link w:val="65"/>
    <w:qFormat/>
    <w:uiPriority w:val="0"/>
    <w:rPr>
      <w:i/>
      <w:iCs/>
      <w:color w:val="000000"/>
    </w:rPr>
  </w:style>
  <w:style w:type="paragraph" w:customStyle="1" w:styleId="65">
    <w:name w:val="引用1"/>
    <w:basedOn w:val="1"/>
    <w:next w:val="1"/>
    <w:link w:val="64"/>
    <w:qFormat/>
    <w:uiPriority w:val="0"/>
    <w:rPr>
      <w:i/>
      <w:iCs/>
      <w:color w:val="000000"/>
      <w:kern w:val="0"/>
      <w:sz w:val="20"/>
      <w:szCs w:val="20"/>
    </w:rPr>
  </w:style>
  <w:style w:type="character" w:customStyle="1" w:styleId="66">
    <w:name w:val="标题 1 Char_0"/>
    <w:link w:val="67"/>
    <w:qFormat/>
    <w:uiPriority w:val="0"/>
    <w:rPr>
      <w:b/>
      <w:bCs/>
      <w:kern w:val="44"/>
      <w:sz w:val="44"/>
      <w:szCs w:val="44"/>
    </w:rPr>
  </w:style>
  <w:style w:type="paragraph" w:customStyle="1" w:styleId="67">
    <w:name w:val="标题 1_0"/>
    <w:basedOn w:val="60"/>
    <w:next w:val="60"/>
    <w:link w:val="66"/>
    <w:qFormat/>
    <w:uiPriority w:val="0"/>
    <w:pPr>
      <w:keepNext/>
      <w:keepLines/>
      <w:spacing w:before="340" w:after="330" w:line="578" w:lineRule="auto"/>
      <w:outlineLvl w:val="0"/>
    </w:pPr>
    <w:rPr>
      <w:b/>
      <w:bCs/>
      <w:kern w:val="44"/>
      <w:sz w:val="44"/>
      <w:szCs w:val="44"/>
    </w:rPr>
  </w:style>
  <w:style w:type="character" w:customStyle="1" w:styleId="68">
    <w:name w:val="正文文本缩进 3 Char1"/>
    <w:semiHidden/>
    <w:qFormat/>
    <w:uiPriority w:val="99"/>
    <w:rPr>
      <w:kern w:val="2"/>
      <w:sz w:val="16"/>
      <w:szCs w:val="16"/>
    </w:rPr>
  </w:style>
  <w:style w:type="character" w:customStyle="1" w:styleId="69">
    <w:name w:val="引用 Char1"/>
    <w:qFormat/>
    <w:uiPriority w:val="29"/>
    <w:rPr>
      <w:i/>
      <w:iCs/>
      <w:color w:val="000000"/>
      <w:kern w:val="2"/>
      <w:sz w:val="21"/>
    </w:rPr>
  </w:style>
  <w:style w:type="character" w:customStyle="1" w:styleId="70">
    <w:name w:val="正文文本缩进 字符"/>
    <w:link w:val="20"/>
    <w:qFormat/>
    <w:uiPriority w:val="0"/>
    <w:rPr>
      <w:kern w:val="2"/>
      <w:sz w:val="21"/>
      <w:szCs w:val="24"/>
    </w:rPr>
  </w:style>
  <w:style w:type="character" w:customStyle="1" w:styleId="71">
    <w:name w:val="font161"/>
    <w:qFormat/>
    <w:uiPriority w:val="0"/>
    <w:rPr>
      <w:b/>
      <w:sz w:val="32"/>
    </w:rPr>
  </w:style>
  <w:style w:type="character" w:customStyle="1" w:styleId="72">
    <w:name w:val="标题 4 Char_0"/>
    <w:link w:val="73"/>
    <w:qFormat/>
    <w:uiPriority w:val="0"/>
    <w:rPr>
      <w:rFonts w:ascii="Arial" w:hAnsi="Arial" w:eastAsia="黑体"/>
      <w:b/>
      <w:bCs/>
      <w:sz w:val="28"/>
      <w:szCs w:val="28"/>
    </w:rPr>
  </w:style>
  <w:style w:type="paragraph" w:customStyle="1" w:styleId="73">
    <w:name w:val="标题 4_0"/>
    <w:basedOn w:val="60"/>
    <w:next w:val="60"/>
    <w:link w:val="72"/>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74">
    <w:name w:val="页眉 字符"/>
    <w:link w:val="29"/>
    <w:qFormat/>
    <w:uiPriority w:val="0"/>
    <w:rPr>
      <w:kern w:val="2"/>
      <w:sz w:val="18"/>
      <w:szCs w:val="18"/>
    </w:rPr>
  </w:style>
  <w:style w:type="character" w:customStyle="1" w:styleId="75">
    <w:name w:val="标题 6 字符"/>
    <w:link w:val="8"/>
    <w:qFormat/>
    <w:uiPriority w:val="0"/>
    <w:rPr>
      <w:rFonts w:ascii="Cambria" w:hAnsi="Cambria" w:eastAsia="宋体" w:cs="Times New Roman"/>
      <w:b/>
      <w:bCs/>
      <w:kern w:val="2"/>
      <w:sz w:val="24"/>
      <w:szCs w:val="24"/>
    </w:rPr>
  </w:style>
  <w:style w:type="character" w:customStyle="1" w:styleId="76">
    <w:name w:val="纯文本 字符"/>
    <w:link w:val="23"/>
    <w:qFormat/>
    <w:uiPriority w:val="0"/>
    <w:rPr>
      <w:rFonts w:ascii="Wonder Arial"/>
      <w:lang w:val="en-US" w:eastAsia="zh-CN" w:bidi="ar-SA"/>
    </w:rPr>
  </w:style>
  <w:style w:type="character" w:customStyle="1" w:styleId="77">
    <w:name w:val="引用 Char2"/>
    <w:qFormat/>
    <w:uiPriority w:val="99"/>
    <w:rPr>
      <w:i/>
      <w:iCs/>
      <w:color w:val="000000"/>
      <w:kern w:val="2"/>
      <w:sz w:val="21"/>
      <w:szCs w:val="24"/>
    </w:rPr>
  </w:style>
  <w:style w:type="character" w:customStyle="1" w:styleId="78">
    <w:name w:val="rvts11"/>
    <w:qFormat/>
    <w:uiPriority w:val="0"/>
    <w:rPr>
      <w:rFonts w:hint="default" w:ascii="仿宋" w:hAnsi="仿宋"/>
      <w:sz w:val="24"/>
      <w:szCs w:val="24"/>
      <w:u w:val="single"/>
    </w:rPr>
  </w:style>
  <w:style w:type="character" w:customStyle="1" w:styleId="79">
    <w:name w:val="标题 字符"/>
    <w:link w:val="40"/>
    <w:qFormat/>
    <w:uiPriority w:val="0"/>
    <w:rPr>
      <w:rFonts w:ascii="Arial" w:hAnsi="Arial"/>
      <w:b/>
      <w:sz w:val="32"/>
    </w:rPr>
  </w:style>
  <w:style w:type="character" w:customStyle="1" w:styleId="80">
    <w:name w:val="标题5 Char Char"/>
    <w:link w:val="81"/>
    <w:qFormat/>
    <w:uiPriority w:val="0"/>
    <w:rPr>
      <w:rFonts w:ascii="Arial" w:hAnsi="Arial"/>
      <w:b/>
      <w:bCs/>
      <w:sz w:val="24"/>
      <w:szCs w:val="32"/>
    </w:rPr>
  </w:style>
  <w:style w:type="paragraph" w:customStyle="1" w:styleId="81">
    <w:name w:val="标题5"/>
    <w:basedOn w:val="5"/>
    <w:link w:val="80"/>
    <w:qFormat/>
    <w:uiPriority w:val="0"/>
    <w:pPr>
      <w:numPr>
        <w:ilvl w:val="0"/>
        <w:numId w:val="0"/>
      </w:numPr>
      <w:spacing w:line="413" w:lineRule="auto"/>
    </w:pPr>
    <w:rPr>
      <w:rFonts w:ascii="Arial" w:hAnsi="Arial"/>
      <w:kern w:val="0"/>
      <w:sz w:val="24"/>
    </w:rPr>
  </w:style>
  <w:style w:type="character" w:customStyle="1" w:styleId="82">
    <w:name w:val="副标题 Char2"/>
    <w:qFormat/>
    <w:uiPriority w:val="11"/>
    <w:rPr>
      <w:rFonts w:ascii="Cambria" w:hAnsi="Cambria" w:cs="Times New Roman"/>
      <w:b/>
      <w:bCs/>
      <w:kern w:val="28"/>
      <w:sz w:val="32"/>
      <w:szCs w:val="32"/>
    </w:rPr>
  </w:style>
  <w:style w:type="character" w:customStyle="1" w:styleId="83">
    <w:name w:val="文档结构图 字符"/>
    <w:link w:val="16"/>
    <w:qFormat/>
    <w:uiPriority w:val="0"/>
    <w:rPr>
      <w:rFonts w:ascii="宋体"/>
      <w:kern w:val="2"/>
      <w:sz w:val="18"/>
      <w:szCs w:val="18"/>
    </w:rPr>
  </w:style>
  <w:style w:type="character" w:customStyle="1" w:styleId="84">
    <w:name w:val="日期 字符"/>
    <w:link w:val="25"/>
    <w:qFormat/>
    <w:uiPriority w:val="0"/>
    <w:rPr>
      <w:kern w:val="2"/>
      <w:sz w:val="21"/>
      <w:szCs w:val="24"/>
    </w:rPr>
  </w:style>
  <w:style w:type="character" w:customStyle="1" w:styleId="85">
    <w:name w:val="批注主题 Char1"/>
    <w:qFormat/>
    <w:uiPriority w:val="0"/>
    <w:rPr>
      <w:b/>
      <w:bCs/>
      <w:kern w:val="2"/>
      <w:sz w:val="21"/>
      <w:szCs w:val="22"/>
    </w:rPr>
  </w:style>
  <w:style w:type="character" w:customStyle="1" w:styleId="86">
    <w:name w:val="font31"/>
    <w:qFormat/>
    <w:uiPriority w:val="0"/>
    <w:rPr>
      <w:rFonts w:hint="eastAsia" w:ascii="宋体" w:hAnsi="宋体" w:eastAsia="宋体" w:cs="宋体"/>
      <w:color w:val="000000"/>
      <w:sz w:val="20"/>
      <w:szCs w:val="20"/>
      <w:u w:val="none"/>
    </w:rPr>
  </w:style>
  <w:style w:type="character" w:customStyle="1" w:styleId="87">
    <w:name w:val="明显引用 Char"/>
    <w:link w:val="88"/>
    <w:qFormat/>
    <w:uiPriority w:val="0"/>
    <w:rPr>
      <w:b/>
      <w:bCs/>
      <w:i/>
      <w:iCs/>
      <w:color w:val="4F81BD"/>
    </w:rPr>
  </w:style>
  <w:style w:type="paragraph" w:customStyle="1" w:styleId="88">
    <w:name w:val="明显引用1"/>
    <w:basedOn w:val="1"/>
    <w:next w:val="1"/>
    <w:link w:val="87"/>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89">
    <w:name w:val="标题 5 字符"/>
    <w:link w:val="7"/>
    <w:qFormat/>
    <w:uiPriority w:val="0"/>
    <w:rPr>
      <w:b/>
      <w:bCs/>
      <w:kern w:val="2"/>
      <w:sz w:val="28"/>
      <w:szCs w:val="28"/>
    </w:rPr>
  </w:style>
  <w:style w:type="character" w:customStyle="1" w:styleId="90">
    <w:name w:val="日期 Char1"/>
    <w:qFormat/>
    <w:uiPriority w:val="0"/>
    <w:rPr>
      <w:rFonts w:ascii="Calibri" w:hAnsi="Calibri" w:eastAsia="宋体" w:cs="Times New Roman"/>
    </w:rPr>
  </w:style>
  <w:style w:type="character" w:customStyle="1" w:styleId="91">
    <w:name w:val="批注框文本 Char1"/>
    <w:qFormat/>
    <w:uiPriority w:val="0"/>
    <w:rPr>
      <w:kern w:val="2"/>
      <w:sz w:val="18"/>
      <w:szCs w:val="18"/>
    </w:rPr>
  </w:style>
  <w:style w:type="character" w:customStyle="1" w:styleId="92">
    <w:name w:val="标题 Char1"/>
    <w:qFormat/>
    <w:uiPriority w:val="10"/>
    <w:rPr>
      <w:rFonts w:ascii="Cambria" w:hAnsi="Cambria" w:eastAsia="宋体" w:cs="Times New Roman"/>
      <w:b/>
      <w:bCs/>
      <w:sz w:val="32"/>
      <w:szCs w:val="32"/>
    </w:rPr>
  </w:style>
  <w:style w:type="character" w:customStyle="1" w:styleId="93">
    <w:name w:val="标题 9 字符"/>
    <w:link w:val="11"/>
    <w:qFormat/>
    <w:uiPriority w:val="0"/>
    <w:rPr>
      <w:rFonts w:ascii="Cambria" w:hAnsi="Cambria" w:eastAsia="宋体" w:cs="Times New Roman"/>
      <w:kern w:val="2"/>
      <w:sz w:val="21"/>
      <w:szCs w:val="21"/>
    </w:rPr>
  </w:style>
  <w:style w:type="character" w:customStyle="1" w:styleId="94">
    <w:name w:val="不明显参考1"/>
    <w:qFormat/>
    <w:uiPriority w:val="0"/>
    <w:rPr>
      <w:smallCaps/>
      <w:color w:val="C0504D"/>
      <w:u w:val="single"/>
    </w:rPr>
  </w:style>
  <w:style w:type="character" w:customStyle="1" w:styleId="95">
    <w:name w:val="批注文字 Char1"/>
    <w:qFormat/>
    <w:uiPriority w:val="0"/>
    <w:rPr>
      <w:rFonts w:ascii="Calibri" w:hAnsi="Calibri" w:eastAsia="宋体" w:cs="Times New Roman"/>
    </w:rPr>
  </w:style>
  <w:style w:type="character" w:customStyle="1" w:styleId="96">
    <w:name w:val="标题 Char2"/>
    <w:qFormat/>
    <w:uiPriority w:val="10"/>
    <w:rPr>
      <w:rFonts w:ascii="Cambria" w:hAnsi="Cambria" w:cs="Times New Roman"/>
      <w:b/>
      <w:bCs/>
      <w:kern w:val="2"/>
      <w:sz w:val="32"/>
      <w:szCs w:val="32"/>
    </w:rPr>
  </w:style>
  <w:style w:type="character" w:customStyle="1" w:styleId="97">
    <w:name w:val="正文文本 3 Char1"/>
    <w:semiHidden/>
    <w:qFormat/>
    <w:uiPriority w:val="99"/>
    <w:rPr>
      <w:kern w:val="2"/>
      <w:sz w:val="16"/>
      <w:szCs w:val="16"/>
    </w:rPr>
  </w:style>
  <w:style w:type="character" w:customStyle="1" w:styleId="98">
    <w:name w:val="批注主题 Char2"/>
    <w:qFormat/>
    <w:uiPriority w:val="0"/>
    <w:rPr>
      <w:b/>
      <w:bCs/>
      <w:kern w:val="2"/>
      <w:sz w:val="21"/>
    </w:rPr>
  </w:style>
  <w:style w:type="character" w:customStyle="1" w:styleId="99">
    <w:name w:val="标题 3 字符"/>
    <w:link w:val="5"/>
    <w:qFormat/>
    <w:uiPriority w:val="0"/>
    <w:rPr>
      <w:b/>
      <w:bCs/>
      <w:kern w:val="2"/>
      <w:sz w:val="32"/>
      <w:szCs w:val="32"/>
    </w:rPr>
  </w:style>
  <w:style w:type="character" w:customStyle="1" w:styleId="100">
    <w:name w:val="正文文本 Char_0"/>
    <w:link w:val="101"/>
    <w:qFormat/>
    <w:uiPriority w:val="0"/>
    <w:rPr>
      <w:szCs w:val="24"/>
    </w:rPr>
  </w:style>
  <w:style w:type="paragraph" w:customStyle="1" w:styleId="101">
    <w:name w:val="正文文本_0"/>
    <w:basedOn w:val="60"/>
    <w:link w:val="100"/>
    <w:qFormat/>
    <w:uiPriority w:val="0"/>
    <w:pPr>
      <w:spacing w:after="120"/>
    </w:pPr>
    <w:rPr>
      <w:kern w:val="0"/>
      <w:sz w:val="20"/>
    </w:rPr>
  </w:style>
  <w:style w:type="character" w:customStyle="1" w:styleId="102">
    <w:name w:val="副标题 字符"/>
    <w:link w:val="32"/>
    <w:qFormat/>
    <w:uiPriority w:val="0"/>
    <w:rPr>
      <w:rFonts w:ascii="Cambria" w:hAnsi="Cambria"/>
      <w:b/>
      <w:bCs/>
      <w:kern w:val="28"/>
      <w:sz w:val="32"/>
      <w:szCs w:val="32"/>
    </w:rPr>
  </w:style>
  <w:style w:type="character" w:customStyle="1" w:styleId="103">
    <w:name w:val="bookmark"/>
    <w:basedOn w:val="46"/>
    <w:qFormat/>
    <w:uiPriority w:val="0"/>
  </w:style>
  <w:style w:type="character" w:customStyle="1" w:styleId="104">
    <w:name w:val="标题 5 Char_0"/>
    <w:link w:val="105"/>
    <w:qFormat/>
    <w:uiPriority w:val="0"/>
    <w:rPr>
      <w:rFonts w:ascii="Calibri" w:hAnsi="Calibri"/>
      <w:b/>
      <w:bCs/>
      <w:sz w:val="28"/>
      <w:szCs w:val="28"/>
    </w:rPr>
  </w:style>
  <w:style w:type="paragraph" w:customStyle="1" w:styleId="105">
    <w:name w:val="标题 5_0"/>
    <w:basedOn w:val="60"/>
    <w:next w:val="60"/>
    <w:link w:val="104"/>
    <w:qFormat/>
    <w:uiPriority w:val="0"/>
    <w:pPr>
      <w:keepNext/>
      <w:keepLines/>
      <w:spacing w:before="280" w:after="290" w:line="372" w:lineRule="auto"/>
      <w:outlineLvl w:val="4"/>
    </w:pPr>
    <w:rPr>
      <w:rFonts w:ascii="Calibri" w:hAnsi="Calibri"/>
      <w:b/>
      <w:bCs/>
      <w:kern w:val="0"/>
      <w:sz w:val="28"/>
      <w:szCs w:val="28"/>
    </w:rPr>
  </w:style>
  <w:style w:type="character" w:customStyle="1" w:styleId="106">
    <w:name w:val="正文文本缩进 2 字符"/>
    <w:link w:val="26"/>
    <w:qFormat/>
    <w:uiPriority w:val="99"/>
    <w:rPr>
      <w:rFonts w:ascii="宋体"/>
    </w:rPr>
  </w:style>
  <w:style w:type="character" w:customStyle="1" w:styleId="107">
    <w:name w:val="批注文字 字符"/>
    <w:link w:val="17"/>
    <w:qFormat/>
    <w:uiPriority w:val="99"/>
    <w:rPr>
      <w:kern w:val="2"/>
      <w:sz w:val="21"/>
      <w:szCs w:val="24"/>
    </w:rPr>
  </w:style>
  <w:style w:type="character" w:customStyle="1" w:styleId="108">
    <w:name w:val="font11"/>
    <w:qFormat/>
    <w:uiPriority w:val="0"/>
    <w:rPr>
      <w:rFonts w:hint="eastAsia" w:ascii="宋体" w:hAnsi="宋体" w:eastAsia="宋体" w:cs="宋体"/>
      <w:color w:val="000000"/>
      <w:sz w:val="20"/>
      <w:szCs w:val="20"/>
      <w:u w:val="none"/>
    </w:rPr>
  </w:style>
  <w:style w:type="character" w:customStyle="1" w:styleId="109">
    <w:name w:val="明显参考1"/>
    <w:qFormat/>
    <w:uiPriority w:val="0"/>
    <w:rPr>
      <w:b/>
      <w:bCs/>
      <w:smallCaps/>
      <w:color w:val="C0504D"/>
      <w:spacing w:val="5"/>
      <w:u w:val="single"/>
    </w:rPr>
  </w:style>
  <w:style w:type="character" w:customStyle="1" w:styleId="110">
    <w:name w:val="超链接_0"/>
    <w:qFormat/>
    <w:uiPriority w:val="99"/>
    <w:rPr>
      <w:rFonts w:ascii="Calibri" w:hAnsi="Calibri"/>
      <w:color w:val="0000FF"/>
      <w:u w:val="single"/>
    </w:rPr>
  </w:style>
  <w:style w:type="character" w:customStyle="1" w:styleId="111">
    <w:name w:val="文档结构图 Char2"/>
    <w:semiHidden/>
    <w:qFormat/>
    <w:uiPriority w:val="99"/>
    <w:rPr>
      <w:rFonts w:ascii="宋体" w:hAnsi="Calibri" w:eastAsia="宋体" w:cs="Times New Roman"/>
      <w:sz w:val="18"/>
      <w:szCs w:val="18"/>
    </w:rPr>
  </w:style>
  <w:style w:type="character" w:customStyle="1" w:styleId="112">
    <w:name w:val="textcontents"/>
    <w:qFormat/>
    <w:uiPriority w:val="0"/>
    <w:rPr>
      <w:rFonts w:cs="Times New Roman"/>
    </w:rPr>
  </w:style>
  <w:style w:type="character" w:customStyle="1" w:styleId="113">
    <w:name w:val="标题 1 Char"/>
    <w:qFormat/>
    <w:uiPriority w:val="0"/>
    <w:rPr>
      <w:b/>
      <w:bCs/>
      <w:kern w:val="44"/>
      <w:sz w:val="32"/>
      <w:szCs w:val="44"/>
    </w:rPr>
  </w:style>
  <w:style w:type="character" w:customStyle="1" w:styleId="114">
    <w:name w:val="正文文本 字符"/>
    <w:link w:val="19"/>
    <w:qFormat/>
    <w:uiPriority w:val="0"/>
    <w:rPr>
      <w:rFonts w:eastAsia="幼圆"/>
      <w:b/>
      <w:bCs/>
      <w:kern w:val="2"/>
      <w:sz w:val="44"/>
      <w:szCs w:val="24"/>
    </w:rPr>
  </w:style>
  <w:style w:type="character" w:customStyle="1" w:styleId="115">
    <w:name w:val="标题 8 字符"/>
    <w:link w:val="10"/>
    <w:qFormat/>
    <w:uiPriority w:val="0"/>
    <w:rPr>
      <w:rFonts w:ascii="Cambria" w:hAnsi="Cambria" w:eastAsia="宋体" w:cs="Times New Roman"/>
      <w:kern w:val="2"/>
      <w:sz w:val="24"/>
      <w:szCs w:val="24"/>
    </w:rPr>
  </w:style>
  <w:style w:type="character" w:customStyle="1" w:styleId="116">
    <w:name w:val="副标题 Char1"/>
    <w:qFormat/>
    <w:uiPriority w:val="11"/>
    <w:rPr>
      <w:rFonts w:ascii="Cambria" w:hAnsi="Cambria" w:cs="Times New Roman"/>
      <w:b/>
      <w:bCs/>
      <w:kern w:val="28"/>
      <w:sz w:val="32"/>
      <w:szCs w:val="32"/>
    </w:rPr>
  </w:style>
  <w:style w:type="character" w:customStyle="1" w:styleId="117">
    <w:name w:val="批注主题 字符"/>
    <w:link w:val="41"/>
    <w:qFormat/>
    <w:uiPriority w:val="0"/>
    <w:rPr>
      <w:b/>
      <w:bCs/>
      <w:kern w:val="2"/>
      <w:sz w:val="21"/>
      <w:szCs w:val="24"/>
    </w:rPr>
  </w:style>
  <w:style w:type="character" w:customStyle="1" w:styleId="118">
    <w:name w:val="书籍标题1"/>
    <w:qFormat/>
    <w:uiPriority w:val="0"/>
    <w:rPr>
      <w:b/>
      <w:bCs/>
      <w:smallCaps/>
      <w:spacing w:val="5"/>
    </w:rPr>
  </w:style>
  <w:style w:type="character" w:customStyle="1" w:styleId="119">
    <w:name w:val="页脚 字符"/>
    <w:link w:val="28"/>
    <w:qFormat/>
    <w:uiPriority w:val="99"/>
    <w:rPr>
      <w:kern w:val="2"/>
      <w:sz w:val="18"/>
      <w:szCs w:val="18"/>
    </w:rPr>
  </w:style>
  <w:style w:type="character" w:customStyle="1" w:styleId="120">
    <w:name w:val="标题4 Char Char"/>
    <w:link w:val="121"/>
    <w:qFormat/>
    <w:uiPriority w:val="0"/>
    <w:rPr>
      <w:rFonts w:ascii="Arial" w:hAnsi="Arial"/>
      <w:b/>
      <w:bCs/>
      <w:sz w:val="24"/>
      <w:szCs w:val="32"/>
    </w:rPr>
  </w:style>
  <w:style w:type="paragraph" w:customStyle="1" w:styleId="121">
    <w:name w:val="标题4"/>
    <w:basedOn w:val="4"/>
    <w:next w:val="2"/>
    <w:link w:val="120"/>
    <w:qFormat/>
    <w:uiPriority w:val="0"/>
    <w:pPr>
      <w:numPr>
        <w:ilvl w:val="0"/>
        <w:numId w:val="0"/>
      </w:numPr>
      <w:spacing w:line="413" w:lineRule="auto"/>
    </w:pPr>
    <w:rPr>
      <w:rFonts w:ascii="Arial" w:hAnsi="Arial"/>
      <w:kern w:val="0"/>
      <w:sz w:val="24"/>
    </w:rPr>
  </w:style>
  <w:style w:type="character" w:customStyle="1" w:styleId="122">
    <w:name w:val="正文文本 Char1"/>
    <w:qFormat/>
    <w:uiPriority w:val="0"/>
    <w:rPr>
      <w:rFonts w:ascii="Calibri" w:hAnsi="Calibri" w:eastAsia="宋体" w:cs="Times New Roman"/>
    </w:rPr>
  </w:style>
  <w:style w:type="character" w:customStyle="1" w:styleId="123">
    <w:name w:val="明显引用 Char1"/>
    <w:qFormat/>
    <w:uiPriority w:val="30"/>
    <w:rPr>
      <w:b/>
      <w:bCs/>
      <w:i/>
      <w:iCs/>
      <w:color w:val="4F81BD"/>
      <w:kern w:val="2"/>
      <w:sz w:val="21"/>
    </w:rPr>
  </w:style>
  <w:style w:type="character" w:customStyle="1" w:styleId="124">
    <w:name w:val="页眉 Char1"/>
    <w:semiHidden/>
    <w:qFormat/>
    <w:uiPriority w:val="99"/>
    <w:rPr>
      <w:rFonts w:ascii="Calibri" w:hAnsi="Calibri" w:eastAsia="宋体" w:cs="Times New Roman"/>
      <w:sz w:val="18"/>
      <w:szCs w:val="18"/>
    </w:rPr>
  </w:style>
  <w:style w:type="character" w:customStyle="1" w:styleId="125">
    <w:name w:val="不明显强调1"/>
    <w:qFormat/>
    <w:uiPriority w:val="0"/>
    <w:rPr>
      <w:i/>
      <w:iCs/>
      <w:color w:val="808080"/>
    </w:rPr>
  </w:style>
  <w:style w:type="character" w:customStyle="1" w:styleId="126">
    <w:name w:val="正文文本 3 字符"/>
    <w:link w:val="18"/>
    <w:qFormat/>
    <w:uiPriority w:val="0"/>
    <w:rPr>
      <w:rFonts w:ascii="宋体"/>
      <w:kern w:val="2"/>
      <w:sz w:val="24"/>
    </w:rPr>
  </w:style>
  <w:style w:type="character" w:customStyle="1" w:styleId="127">
    <w:name w:val="正文文本缩进 3 字符"/>
    <w:link w:val="34"/>
    <w:qFormat/>
    <w:uiPriority w:val="0"/>
    <w:rPr>
      <w:kern w:val="2"/>
      <w:sz w:val="16"/>
    </w:rPr>
  </w:style>
  <w:style w:type="character" w:customStyle="1" w:styleId="128">
    <w:name w:val="font21"/>
    <w:qFormat/>
    <w:uiPriority w:val="0"/>
    <w:rPr>
      <w:rFonts w:hint="eastAsia" w:ascii="宋体" w:hAnsi="宋体" w:eastAsia="宋体" w:cs="宋体"/>
      <w:color w:val="000000"/>
      <w:sz w:val="20"/>
      <w:szCs w:val="20"/>
      <w:u w:val="none"/>
    </w:rPr>
  </w:style>
  <w:style w:type="character" w:customStyle="1" w:styleId="129">
    <w:name w:val="批注框文本 字符"/>
    <w:link w:val="27"/>
    <w:qFormat/>
    <w:uiPriority w:val="0"/>
    <w:rPr>
      <w:kern w:val="2"/>
      <w:sz w:val="18"/>
      <w:szCs w:val="18"/>
    </w:rPr>
  </w:style>
  <w:style w:type="character" w:customStyle="1" w:styleId="130">
    <w:name w:val="标题 7 字符"/>
    <w:link w:val="9"/>
    <w:qFormat/>
    <w:uiPriority w:val="0"/>
    <w:rPr>
      <w:b/>
      <w:bCs/>
      <w:kern w:val="2"/>
      <w:sz w:val="24"/>
      <w:szCs w:val="24"/>
    </w:rPr>
  </w:style>
  <w:style w:type="character" w:customStyle="1" w:styleId="131">
    <w:name w:val="标题 1 字符"/>
    <w:link w:val="3"/>
    <w:qFormat/>
    <w:uiPriority w:val="0"/>
    <w:rPr>
      <w:rFonts w:ascii="Times New Roman" w:hAnsi="Times New Roman" w:eastAsia="宋体" w:cs="Times New Roman"/>
      <w:b/>
      <w:bCs/>
      <w:kern w:val="44"/>
      <w:sz w:val="32"/>
      <w:szCs w:val="44"/>
    </w:rPr>
  </w:style>
  <w:style w:type="character" w:customStyle="1" w:styleId="132">
    <w:name w:val="文档结构图 Char1"/>
    <w:qFormat/>
    <w:uiPriority w:val="0"/>
    <w:rPr>
      <w:rFonts w:ascii="宋体" w:hAnsi="Calibri" w:eastAsia="宋体" w:cs="Times New Roman"/>
      <w:sz w:val="18"/>
      <w:szCs w:val="18"/>
    </w:rPr>
  </w:style>
  <w:style w:type="character" w:customStyle="1" w:styleId="133">
    <w:name w:val="标题 2 Char_0"/>
    <w:link w:val="134"/>
    <w:qFormat/>
    <w:uiPriority w:val="0"/>
    <w:rPr>
      <w:rFonts w:ascii="Cambria" w:hAnsi="Cambria"/>
      <w:b/>
      <w:bCs/>
      <w:sz w:val="32"/>
      <w:szCs w:val="32"/>
    </w:rPr>
  </w:style>
  <w:style w:type="paragraph" w:customStyle="1" w:styleId="134">
    <w:name w:val="标题 2_0"/>
    <w:basedOn w:val="60"/>
    <w:next w:val="60"/>
    <w:link w:val="133"/>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35">
    <w:name w:val="日期 Char2"/>
    <w:semiHidden/>
    <w:qFormat/>
    <w:uiPriority w:val="99"/>
    <w:rPr>
      <w:rFonts w:ascii="Calibri" w:hAnsi="Calibri" w:eastAsia="宋体" w:cs="Times New Roman"/>
    </w:rPr>
  </w:style>
  <w:style w:type="character" w:customStyle="1" w:styleId="136">
    <w:name w:val="批注框文本 Char2"/>
    <w:semiHidden/>
    <w:qFormat/>
    <w:uiPriority w:val="99"/>
    <w:rPr>
      <w:rFonts w:ascii="Calibri" w:hAnsi="Calibri" w:eastAsia="宋体" w:cs="Times New Roman"/>
      <w:sz w:val="18"/>
      <w:szCs w:val="18"/>
    </w:rPr>
  </w:style>
  <w:style w:type="character" w:customStyle="1" w:styleId="137">
    <w:name w:val="标题 4 字符"/>
    <w:link w:val="6"/>
    <w:qFormat/>
    <w:uiPriority w:val="0"/>
    <w:rPr>
      <w:rFonts w:ascii="Cambria" w:hAnsi="Cambria" w:eastAsia="宋体" w:cs="Times New Roman"/>
      <w:b/>
      <w:bCs/>
      <w:kern w:val="2"/>
      <w:sz w:val="28"/>
      <w:szCs w:val="28"/>
    </w:rPr>
  </w:style>
  <w:style w:type="character" w:customStyle="1" w:styleId="138">
    <w:name w:val="列出段落 Char"/>
    <w:link w:val="139"/>
    <w:qFormat/>
    <w:locked/>
    <w:uiPriority w:val="99"/>
    <w:rPr>
      <w:kern w:val="2"/>
      <w:sz w:val="21"/>
      <w:szCs w:val="24"/>
    </w:rPr>
  </w:style>
  <w:style w:type="paragraph" w:customStyle="1" w:styleId="139">
    <w:name w:val="List Paragraph1"/>
    <w:basedOn w:val="1"/>
    <w:link w:val="138"/>
    <w:qFormat/>
    <w:uiPriority w:val="99"/>
    <w:pPr>
      <w:ind w:firstLine="420" w:firstLineChars="200"/>
    </w:pPr>
  </w:style>
  <w:style w:type="paragraph" w:customStyle="1" w:styleId="140">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14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4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4">
    <w:name w:val="空半行"/>
    <w:basedOn w:val="1"/>
    <w:qFormat/>
    <w:uiPriority w:val="0"/>
    <w:pPr>
      <w:adjustRightInd w:val="0"/>
      <w:spacing w:line="120" w:lineRule="exact"/>
      <w:textAlignment w:val="baseline"/>
    </w:pPr>
    <w:rPr>
      <w:rFonts w:ascii="Calibri" w:hAnsi="Calibri"/>
      <w:color w:val="FFFFFF"/>
      <w:kern w:val="0"/>
      <w:sz w:val="30"/>
      <w:szCs w:val="22"/>
    </w:rPr>
  </w:style>
  <w:style w:type="paragraph" w:customStyle="1" w:styleId="145">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4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47">
    <w:name w:val="正文1"/>
    <w:qFormat/>
    <w:uiPriority w:val="0"/>
    <w:pPr>
      <w:widowControl w:val="0"/>
      <w:jc w:val="both"/>
    </w:pPr>
    <w:rPr>
      <w:rFonts w:ascii="Calibri" w:hAnsi="Calibri" w:eastAsia="宋体" w:cs="Times New Roman"/>
      <w:lang w:val="en-US" w:eastAsia="zh-CN" w:bidi="ar-SA"/>
    </w:rPr>
  </w:style>
  <w:style w:type="paragraph" w:customStyle="1" w:styleId="148">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4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51">
    <w:name w:val="目录 5_0"/>
    <w:basedOn w:val="60"/>
    <w:next w:val="60"/>
    <w:qFormat/>
    <w:uiPriority w:val="39"/>
    <w:pPr>
      <w:ind w:left="1680" w:leftChars="800"/>
    </w:pPr>
    <w:rPr>
      <w:rFonts w:ascii="Calibri" w:hAnsi="Calibri"/>
    </w:rPr>
  </w:style>
  <w:style w:type="paragraph" w:customStyle="1" w:styleId="152">
    <w:name w:val="修订1"/>
    <w:qFormat/>
    <w:uiPriority w:val="0"/>
    <w:rPr>
      <w:rFonts w:ascii="Times New Roman" w:hAnsi="Times New Roman" w:eastAsia="宋体" w:cs="Times New Roman"/>
      <w:kern w:val="2"/>
      <w:sz w:val="21"/>
      <w:szCs w:val="24"/>
      <w:lang w:val="en-US" w:eastAsia="zh-CN" w:bidi="ar-SA"/>
    </w:rPr>
  </w:style>
  <w:style w:type="paragraph" w:customStyle="1" w:styleId="153">
    <w:name w:val="标题 11"/>
    <w:basedOn w:val="147"/>
    <w:next w:val="147"/>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54">
    <w:name w:val="正文 + 行距: 固定值 20 磅"/>
    <w:basedOn w:val="1"/>
    <w:qFormat/>
    <w:uiPriority w:val="0"/>
    <w:pPr>
      <w:spacing w:line="400" w:lineRule="exact"/>
      <w:ind w:firstLine="716" w:firstLineChars="341"/>
    </w:pPr>
    <w:rPr>
      <w:rFonts w:ascii="Calibri" w:hAnsi="Calibri"/>
      <w:szCs w:val="22"/>
    </w:rPr>
  </w:style>
  <w:style w:type="paragraph" w:customStyle="1" w:styleId="155">
    <w:name w:val="TOC 标题1"/>
    <w:basedOn w:val="3"/>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56">
    <w:name w:val="表格文字"/>
    <w:basedOn w:val="1"/>
    <w:link w:val="187"/>
    <w:qFormat/>
    <w:uiPriority w:val="0"/>
    <w:pPr>
      <w:adjustRightInd w:val="0"/>
      <w:spacing w:line="420" w:lineRule="atLeast"/>
      <w:jc w:val="left"/>
      <w:textAlignment w:val="baseline"/>
    </w:pPr>
    <w:rPr>
      <w:rFonts w:ascii="Calibri" w:hAnsi="Calibri"/>
      <w:kern w:val="0"/>
      <w:szCs w:val="22"/>
    </w:rPr>
  </w:style>
  <w:style w:type="paragraph" w:customStyle="1" w:styleId="157">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58">
    <w:name w:val="文章正文"/>
    <w:basedOn w:val="1"/>
    <w:qFormat/>
    <w:uiPriority w:val="99"/>
    <w:pPr>
      <w:adjustRightInd w:val="0"/>
      <w:snapToGrid w:val="0"/>
      <w:spacing w:line="360" w:lineRule="auto"/>
      <w:ind w:firstLine="480" w:firstLineChars="200"/>
    </w:pPr>
    <w:rPr>
      <w:rFonts w:ascii="宋体" w:hAnsi="宋体"/>
      <w:color w:val="FF0000"/>
      <w:sz w:val="24"/>
    </w:rPr>
  </w:style>
  <w:style w:type="paragraph" w:customStyle="1" w:styleId="159">
    <w:name w:val="表格"/>
    <w:basedOn w:val="1"/>
    <w:qFormat/>
    <w:uiPriority w:val="0"/>
    <w:pPr>
      <w:jc w:val="center"/>
      <w:textAlignment w:val="center"/>
    </w:pPr>
    <w:rPr>
      <w:rFonts w:ascii="华文细黑" w:hAnsi="华文细黑"/>
      <w:kern w:val="0"/>
      <w:szCs w:val="22"/>
    </w:rPr>
  </w:style>
  <w:style w:type="paragraph" w:customStyle="1" w:styleId="160">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62">
    <w:name w:val="列出段落2"/>
    <w:basedOn w:val="1"/>
    <w:qFormat/>
    <w:uiPriority w:val="99"/>
    <w:pPr>
      <w:ind w:firstLine="420" w:firstLineChars="200"/>
    </w:pPr>
  </w:style>
  <w:style w:type="paragraph" w:customStyle="1" w:styleId="163">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64">
    <w:name w:val="Char Char Char Char Char Char Char"/>
    <w:basedOn w:val="1"/>
    <w:qFormat/>
    <w:uiPriority w:val="0"/>
    <w:pPr>
      <w:adjustRightInd w:val="0"/>
      <w:spacing w:line="360" w:lineRule="auto"/>
    </w:pPr>
    <w:rPr>
      <w:kern w:val="0"/>
      <w:sz w:val="24"/>
      <w:szCs w:val="20"/>
    </w:rPr>
  </w:style>
  <w:style w:type="paragraph" w:customStyle="1" w:styleId="165">
    <w:name w:val="2方案格式2"/>
    <w:basedOn w:val="145"/>
    <w:qFormat/>
    <w:uiPriority w:val="0"/>
    <w:pPr>
      <w:numPr>
        <w:ilvl w:val="1"/>
      </w:numPr>
      <w:spacing w:before="50" w:after="50" w:line="240" w:lineRule="auto"/>
      <w:outlineLvl w:val="1"/>
    </w:pPr>
    <w:rPr>
      <w:sz w:val="44"/>
    </w:rPr>
  </w:style>
  <w:style w:type="paragraph" w:customStyle="1" w:styleId="16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7">
    <w:name w:val="文档正文"/>
    <w:basedOn w:val="1"/>
    <w:qFormat/>
    <w:uiPriority w:val="0"/>
    <w:pPr>
      <w:adjustRightInd w:val="0"/>
      <w:spacing w:line="480" w:lineRule="atLeast"/>
      <w:ind w:firstLine="567"/>
      <w:textAlignment w:val="baseline"/>
    </w:pPr>
    <w:rPr>
      <w:rFonts w:ascii="Wonder Arial" w:eastAsia="Wonder Arial"/>
      <w:kern w:val="0"/>
      <w:sz w:val="28"/>
      <w:szCs w:val="20"/>
    </w:rPr>
  </w:style>
  <w:style w:type="paragraph" w:customStyle="1" w:styleId="168">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9">
    <w:name w:val="目录 4_0"/>
    <w:basedOn w:val="60"/>
    <w:next w:val="60"/>
    <w:qFormat/>
    <w:uiPriority w:val="39"/>
    <w:pPr>
      <w:ind w:left="1260" w:leftChars="600"/>
    </w:pPr>
    <w:rPr>
      <w:rFonts w:ascii="Calibri" w:hAnsi="Calibri"/>
    </w:rPr>
  </w:style>
  <w:style w:type="paragraph" w:customStyle="1" w:styleId="170">
    <w:name w:val="目录 3_0"/>
    <w:basedOn w:val="60"/>
    <w:next w:val="60"/>
    <w:qFormat/>
    <w:uiPriority w:val="39"/>
    <w:pPr>
      <w:ind w:left="840" w:leftChars="400"/>
    </w:pPr>
    <w:rPr>
      <w:rFonts w:ascii="Calibri" w:hAnsi="Calibri"/>
    </w:rPr>
  </w:style>
  <w:style w:type="paragraph" w:customStyle="1" w:styleId="171">
    <w:name w:val="样式 标题 1 + 黑体 三号 非加粗 居中 段前: 6 磅 段后: 6 磅 行距: 固定值 20 磅"/>
    <w:basedOn w:val="3"/>
    <w:qFormat/>
    <w:uiPriority w:val="0"/>
    <w:pPr>
      <w:numPr>
        <w:numId w:val="0"/>
      </w:numPr>
      <w:spacing w:before="120" w:after="120" w:line="400" w:lineRule="exact"/>
    </w:pPr>
    <w:rPr>
      <w:rFonts w:ascii="黑体" w:hAnsi="黑体" w:eastAsia="黑体"/>
      <w:b w:val="0"/>
      <w:bCs w:val="0"/>
      <w:szCs w:val="20"/>
    </w:rPr>
  </w:style>
  <w:style w:type="paragraph" w:customStyle="1" w:styleId="172">
    <w:name w:val="1"/>
    <w:basedOn w:val="1"/>
    <w:next w:val="1"/>
    <w:qFormat/>
    <w:uiPriority w:val="0"/>
    <w:rPr>
      <w:rFonts w:ascii="Calibri" w:hAnsi="Calibri"/>
      <w:szCs w:val="22"/>
    </w:rPr>
  </w:style>
  <w:style w:type="paragraph" w:customStyle="1" w:styleId="173">
    <w:name w:val="Blockquote_0"/>
    <w:basedOn w:val="60"/>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74">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75">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76">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7">
    <w:name w:val="p0"/>
    <w:basedOn w:val="1"/>
    <w:qFormat/>
    <w:uiPriority w:val="0"/>
    <w:pPr>
      <w:widowControl/>
    </w:pPr>
    <w:rPr>
      <w:b/>
      <w:bCs/>
      <w:kern w:val="0"/>
      <w:sz w:val="24"/>
    </w:rPr>
  </w:style>
  <w:style w:type="paragraph" w:customStyle="1" w:styleId="178">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79">
    <w:name w:val="3方案格式3"/>
    <w:basedOn w:val="165"/>
    <w:qFormat/>
    <w:uiPriority w:val="0"/>
    <w:pPr>
      <w:numPr>
        <w:ilvl w:val="2"/>
      </w:numPr>
      <w:outlineLvl w:val="2"/>
    </w:pPr>
    <w:rPr>
      <w:sz w:val="32"/>
    </w:rPr>
  </w:style>
  <w:style w:type="paragraph" w:customStyle="1" w:styleId="180">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1">
    <w:name w:val="标题2"/>
    <w:basedOn w:val="4"/>
    <w:next w:val="19"/>
    <w:qFormat/>
    <w:uiPriority w:val="0"/>
    <w:pPr>
      <w:spacing w:before="156" w:after="156" w:line="360" w:lineRule="auto"/>
    </w:pPr>
    <w:rPr>
      <w:bCs w:val="0"/>
      <w:sz w:val="24"/>
    </w:rPr>
  </w:style>
  <w:style w:type="paragraph" w:customStyle="1" w:styleId="182">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3">
    <w:name w:val="正文11"/>
    <w:qFormat/>
    <w:uiPriority w:val="0"/>
    <w:rPr>
      <w:rFonts w:ascii="Calibri" w:hAnsi="Calibri" w:eastAsia="宋体" w:cs="Calibri"/>
      <w:sz w:val="24"/>
      <w:szCs w:val="24"/>
      <w:lang w:val="en-US" w:eastAsia="zh-CN" w:bidi="ar-SA"/>
    </w:rPr>
  </w:style>
  <w:style w:type="paragraph" w:customStyle="1" w:styleId="184">
    <w:name w:val="正文2"/>
    <w:qFormat/>
    <w:uiPriority w:val="0"/>
    <w:rPr>
      <w:rFonts w:ascii="Times New Roman" w:hAnsi="Times New Roman" w:eastAsia="微软雅黑" w:cs="Times New Roman"/>
      <w:sz w:val="24"/>
      <w:szCs w:val="24"/>
      <w:lang w:val="en-US" w:eastAsia="zh-CN" w:bidi="ar-SA"/>
    </w:rPr>
  </w:style>
  <w:style w:type="paragraph" w:customStyle="1" w:styleId="185">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86">
    <w:name w:val="纯文本2"/>
    <w:basedOn w:val="1"/>
    <w:qFormat/>
    <w:uiPriority w:val="0"/>
    <w:pPr>
      <w:jc w:val="left"/>
    </w:pPr>
    <w:rPr>
      <w:rFonts w:hint="eastAsia" w:ascii="宋体" w:hAnsi="宋体" w:cs="Courier New"/>
      <w:kern w:val="1"/>
      <w:sz w:val="24"/>
      <w:szCs w:val="20"/>
      <w:lang w:bidi="hi-IN"/>
    </w:rPr>
  </w:style>
  <w:style w:type="character" w:customStyle="1" w:styleId="187">
    <w:name w:val="表格文字 字符"/>
    <w:link w:val="156"/>
    <w:qFormat/>
    <w:uiPriority w:val="0"/>
    <w:rPr>
      <w:rFonts w:ascii="Calibri" w:hAnsi="Calibri" w:eastAsia="宋体" w:cs="Times New Roman"/>
      <w:sz w:val="21"/>
      <w:szCs w:val="22"/>
    </w:rPr>
  </w:style>
  <w:style w:type="paragraph" w:styleId="188">
    <w:name w:val="List Paragraph"/>
    <w:basedOn w:val="1"/>
    <w:next w:val="1"/>
    <w:qFormat/>
    <w:uiPriority w:val="99"/>
    <w:pPr>
      <w:ind w:firstLine="420" w:firstLineChars="200"/>
    </w:pPr>
  </w:style>
  <w:style w:type="paragraph" w:customStyle="1" w:styleId="189">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0">
    <w:name w:val="附件正文"/>
    <w:basedOn w:val="1"/>
    <w:qFormat/>
    <w:uiPriority w:val="0"/>
    <w:pPr>
      <w:snapToGrid w:val="0"/>
      <w:spacing w:line="360" w:lineRule="auto"/>
    </w:pPr>
    <w:rPr>
      <w:rFonts w:hint="eastAsia" w:ascii="宋体" w:hAnsi="宋体"/>
      <w:bCs/>
      <w:kern w:val="0"/>
      <w:sz w:val="24"/>
    </w:rPr>
  </w:style>
  <w:style w:type="paragraph" w:styleId="191">
    <w:name w:val="No Spacing"/>
    <w:qFormat/>
    <w:uiPriority w:val="1"/>
    <w:rPr>
      <w:rFonts w:ascii="Calibri" w:hAnsi="Calibri" w:eastAsia="宋体" w:cs="Times New Roman"/>
      <w:sz w:val="22"/>
      <w:szCs w:val="22"/>
      <w:lang w:val="en-US" w:eastAsia="zh-CN" w:bidi="ar-SA"/>
    </w:rPr>
  </w:style>
  <w:style w:type="paragraph" w:customStyle="1" w:styleId="192">
    <w:name w:val="表格内容"/>
    <w:basedOn w:val="1"/>
    <w:qFormat/>
    <w:uiPriority w:val="5"/>
    <w:pPr>
      <w:adjustRightInd w:val="0"/>
      <w:snapToGrid w:val="0"/>
    </w:pPr>
  </w:style>
  <w:style w:type="character" w:customStyle="1" w:styleId="193">
    <w:name w:val="标题 3 Char1"/>
    <w:semiHidden/>
    <w:qFormat/>
    <w:locked/>
    <w:uiPriority w:val="9"/>
    <w:rPr>
      <w:b/>
      <w:bCs/>
      <w:kern w:val="2"/>
      <w:sz w:val="32"/>
      <w:szCs w:val="32"/>
    </w:rPr>
  </w:style>
  <w:style w:type="character" w:customStyle="1" w:styleId="194">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B779B3-89D4-40A1-B0F0-DD514C3559F0}">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74</Pages>
  <Words>8516</Words>
  <Characters>48546</Characters>
  <Lines>404</Lines>
  <Paragraphs>113</Paragraphs>
  <TotalTime>198</TotalTime>
  <ScaleCrop>false</ScaleCrop>
  <LinksUpToDate>false</LinksUpToDate>
  <CharactersWithSpaces>56949</CharactersWithSpaces>
  <Application>WPS Office_11.8.2.12055_F1E327BC-269C-435d-A152-05C5408002CA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2023-11-03T05:56:00Z</dcterms:created>
  <dc:creator>Lenovo User</dc:creator>
  <cp:lastModifiedBy>蔡慧</cp:lastModifiedBy>
  <cp:lastPrinted>2020-07-17T07:24:00Z</cp:lastPrinted>
  <dcterms:modified xsi:type="dcterms:W3CDTF">2023-11-06T06:26:51Z</dcterms:modified>
  <dc:title>公开招标文件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478EB0F600F34A1189078B7C84D14B1A_13</vt:lpwstr>
  </property>
</Properties>
</file>