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color w:val="000000" w:themeColor="text1"/>
          <w:sz w:val="20"/>
          <w:highlight w:val="none"/>
          <w14:textFill>
            <w14:solidFill>
              <w14:schemeClr w14:val="tx1"/>
            </w14:solidFill>
          </w14:textFill>
        </w:rPr>
      </w:pPr>
      <w:bookmarkStart w:id="0" w:name="EBbdbdb2ecc657442cbe67f111e4ec3bd6"/>
      <w:bookmarkEnd w:id="0"/>
      <w:bookmarkStart w:id="1" w:name="EBc9805ac817ed4c6ea57019df46586509"/>
    </w:p>
    <w:p>
      <w:pPr>
        <w:rPr>
          <w:rFonts w:ascii="宋体" w:hAnsi="宋体"/>
          <w:color w:val="000000" w:themeColor="text1"/>
          <w:sz w:val="20"/>
          <w:highlight w:val="none"/>
          <w14:textFill>
            <w14:solidFill>
              <w14:schemeClr w14:val="tx1"/>
            </w14:solidFill>
          </w14:textFill>
        </w:rPr>
      </w:pPr>
    </w:p>
    <w:p>
      <w:pPr>
        <w:rPr>
          <w:rFonts w:ascii="宋体" w:hAnsi="宋体"/>
          <w:color w:val="000000" w:themeColor="text1"/>
          <w:sz w:val="20"/>
          <w:highlight w:val="none"/>
          <w14:textFill>
            <w14:solidFill>
              <w14:schemeClr w14:val="tx1"/>
            </w14:solidFill>
          </w14:textFill>
        </w:rPr>
      </w:pPr>
    </w:p>
    <w:p>
      <w:pPr>
        <w:rPr>
          <w:rFonts w:ascii="宋体" w:hAnsi="宋体"/>
          <w:color w:val="000000" w:themeColor="text1"/>
          <w:sz w:val="20"/>
          <w:highlight w:val="none"/>
          <w14:textFill>
            <w14:solidFill>
              <w14:schemeClr w14:val="tx1"/>
            </w14:solidFill>
          </w14:textFill>
        </w:rPr>
      </w:pPr>
    </w:p>
    <w:p>
      <w:pPr>
        <w:rPr>
          <w:rFonts w:ascii="宋体" w:hAnsi="宋体"/>
          <w:color w:val="000000" w:themeColor="text1"/>
          <w:sz w:val="20"/>
          <w:highlight w:val="none"/>
          <w14:textFill>
            <w14:solidFill>
              <w14:schemeClr w14:val="tx1"/>
            </w14:solidFill>
          </w14:textFill>
        </w:rPr>
      </w:pPr>
    </w:p>
    <w:p>
      <w:pPr>
        <w:rPr>
          <w:rFonts w:ascii="宋体" w:hAnsi="宋体"/>
          <w:color w:val="000000" w:themeColor="text1"/>
          <w:sz w:val="20"/>
          <w:highlight w:val="none"/>
          <w14:textFill>
            <w14:solidFill>
              <w14:schemeClr w14:val="tx1"/>
            </w14:solidFill>
          </w14:textFill>
        </w:rPr>
      </w:pPr>
    </w:p>
    <w:bookmarkEnd w:id="1"/>
    <w:p>
      <w:pPr>
        <w:rPr>
          <w:rFonts w:ascii="宋体" w:hAnsi="宋体"/>
          <w:color w:val="000000" w:themeColor="text1"/>
          <w:highlight w:val="none"/>
          <w14:textFill>
            <w14:solidFill>
              <w14:schemeClr w14:val="tx1"/>
            </w14:solidFill>
          </w14:textFill>
        </w:rPr>
      </w:pPr>
    </w:p>
    <w:p>
      <w:pPr>
        <w:spacing w:line="360" w:lineRule="auto"/>
        <w:jc w:val="center"/>
        <w:rPr>
          <w:rFonts w:ascii="宋体" w:hAnsi="宋体"/>
          <w:b/>
          <w:color w:val="000000" w:themeColor="text1"/>
          <w:sz w:val="84"/>
          <w:highlight w:val="none"/>
          <w14:textFill>
            <w14:solidFill>
              <w14:schemeClr w14:val="tx1"/>
            </w14:solidFill>
          </w14:textFill>
        </w:rPr>
      </w:pPr>
      <w:r>
        <w:rPr>
          <w:rFonts w:hint="eastAsia" w:ascii="宋体" w:hAnsi="宋体"/>
          <w:b/>
          <w:color w:val="000000" w:themeColor="text1"/>
          <w:sz w:val="84"/>
          <w:highlight w:val="none"/>
          <w14:textFill>
            <w14:solidFill>
              <w14:schemeClr w14:val="tx1"/>
            </w14:solidFill>
          </w14:textFill>
        </w:rPr>
        <w:t>招   标   文   件</w:t>
      </w:r>
    </w:p>
    <w:p>
      <w:pPr>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spacing w:line="360" w:lineRule="auto"/>
        <w:rPr>
          <w:rFonts w:ascii="宋体" w:hAnsi="宋体"/>
          <w:b/>
          <w:color w:val="000000" w:themeColor="text1"/>
          <w:sz w:val="36"/>
          <w:highlight w:val="none"/>
          <w14:textFill>
            <w14:solidFill>
              <w14:schemeClr w14:val="tx1"/>
            </w14:solidFill>
          </w14:textFill>
        </w:rPr>
      </w:pPr>
    </w:p>
    <w:p>
      <w:pPr>
        <w:spacing w:line="360" w:lineRule="auto"/>
        <w:ind w:firstLine="1606" w:firstLineChars="500"/>
        <w:rPr>
          <w:rFonts w:hint="eastAsia" w:ascii="宋体" w:hAnsi="宋体" w:eastAsia="宋体"/>
          <w:color w:val="000000" w:themeColor="text1"/>
          <w:sz w:val="28"/>
          <w:szCs w:val="21"/>
          <w:highlight w:val="none"/>
          <w:lang w:eastAsia="zh-CN"/>
          <w14:textFill>
            <w14:solidFill>
              <w14:schemeClr w14:val="tx1"/>
            </w14:solidFill>
          </w14:textFill>
        </w:rPr>
      </w:pPr>
      <w:r>
        <w:rPr>
          <w:rFonts w:hint="eastAsia" w:ascii="宋体" w:hAnsi="宋体"/>
          <w:b/>
          <w:color w:val="000000" w:themeColor="text1"/>
          <w:sz w:val="32"/>
          <w:szCs w:val="21"/>
          <w:highlight w:val="none"/>
          <w14:textFill>
            <w14:solidFill>
              <w14:schemeClr w14:val="tx1"/>
            </w14:solidFill>
          </w14:textFill>
        </w:rPr>
        <w:t>项目编号：</w:t>
      </w:r>
      <w:r>
        <w:rPr>
          <w:rFonts w:hint="eastAsia" w:ascii="宋体" w:hAnsi="宋体"/>
          <w:b/>
          <w:color w:val="000000" w:themeColor="text1"/>
          <w:sz w:val="32"/>
          <w:szCs w:val="21"/>
          <w:highlight w:val="none"/>
          <w:lang w:eastAsia="zh-CN"/>
          <w14:textFill>
            <w14:solidFill>
              <w14:schemeClr w14:val="tx1"/>
            </w14:solidFill>
          </w14:textFill>
        </w:rPr>
        <w:t>JSZC-321100-JSWX-G2023-0031</w:t>
      </w:r>
    </w:p>
    <w:p>
      <w:pPr>
        <w:spacing w:line="360" w:lineRule="auto"/>
        <w:jc w:val="center"/>
        <w:rPr>
          <w:rFonts w:ascii="宋体" w:hAnsi="宋体"/>
          <w:b/>
          <w:color w:val="000000" w:themeColor="text1"/>
          <w:sz w:val="32"/>
          <w:szCs w:val="21"/>
          <w:highlight w:val="none"/>
          <w14:textFill>
            <w14:solidFill>
              <w14:schemeClr w14:val="tx1"/>
            </w14:solidFill>
          </w14:textFill>
        </w:rPr>
      </w:pPr>
      <w:r>
        <w:rPr>
          <w:rFonts w:hint="eastAsia" w:ascii="宋体" w:hAnsi="宋体"/>
          <w:b/>
          <w:color w:val="000000" w:themeColor="text1"/>
          <w:sz w:val="32"/>
          <w:szCs w:val="21"/>
          <w:highlight w:val="none"/>
          <w14:textFill>
            <w14:solidFill>
              <w14:schemeClr w14:val="tx1"/>
            </w14:solidFill>
          </w14:textFill>
        </w:rPr>
        <w:t>项目名称：镇江市焚烧灰渣处置场飞灰填埋运营服务项目</w:t>
      </w:r>
    </w:p>
    <w:p>
      <w:pPr>
        <w:spacing w:line="360" w:lineRule="auto"/>
        <w:jc w:val="center"/>
        <w:rPr>
          <w:rFonts w:ascii="宋体" w:hAnsi="宋体"/>
          <w:b/>
          <w:color w:val="000000" w:themeColor="text1"/>
          <w:sz w:val="36"/>
          <w:highlight w:val="none"/>
          <w14:textFill>
            <w14:solidFill>
              <w14:schemeClr w14:val="tx1"/>
            </w14:solidFill>
          </w14:textFill>
        </w:rPr>
      </w:pPr>
    </w:p>
    <w:p>
      <w:pPr>
        <w:spacing w:line="360" w:lineRule="auto"/>
        <w:jc w:val="center"/>
        <w:rPr>
          <w:rFonts w:ascii="宋体" w:hAnsi="宋体"/>
          <w:b/>
          <w:color w:val="000000" w:themeColor="text1"/>
          <w:sz w:val="36"/>
          <w:highlight w:val="none"/>
          <w14:textFill>
            <w14:solidFill>
              <w14:schemeClr w14:val="tx1"/>
            </w14:solidFill>
          </w14:textFill>
        </w:rPr>
      </w:pPr>
    </w:p>
    <w:p>
      <w:pPr>
        <w:pStyle w:val="2"/>
        <w:rPr>
          <w:highlight w:val="none"/>
        </w:rPr>
      </w:pPr>
    </w:p>
    <w:p>
      <w:pPr>
        <w:pStyle w:val="2"/>
        <w:rPr>
          <w:highlight w:val="none"/>
        </w:rPr>
      </w:pPr>
    </w:p>
    <w:p>
      <w:pPr>
        <w:spacing w:line="360" w:lineRule="auto"/>
        <w:jc w:val="center"/>
        <w:rPr>
          <w:rFonts w:ascii="宋体" w:hAnsi="宋体"/>
          <w:b/>
          <w:color w:val="000000" w:themeColor="text1"/>
          <w:sz w:val="36"/>
          <w:highlight w:val="none"/>
          <w14:textFill>
            <w14:solidFill>
              <w14:schemeClr w14:val="tx1"/>
            </w14:solidFill>
          </w14:textFill>
        </w:rPr>
      </w:pPr>
    </w:p>
    <w:p>
      <w:pPr>
        <w:spacing w:line="360" w:lineRule="auto"/>
        <w:jc w:val="center"/>
        <w:rPr>
          <w:rFonts w:ascii="宋体" w:hAnsi="宋体"/>
          <w:b/>
          <w:color w:val="000000" w:themeColor="text1"/>
          <w:sz w:val="36"/>
          <w:highlight w:val="none"/>
          <w14:textFill>
            <w14:solidFill>
              <w14:schemeClr w14:val="tx1"/>
            </w14:solidFill>
          </w14:textFill>
        </w:rPr>
      </w:pPr>
    </w:p>
    <w:p>
      <w:pPr>
        <w:spacing w:line="360" w:lineRule="auto"/>
        <w:jc w:val="center"/>
        <w:rPr>
          <w:rFonts w:ascii="宋体" w:hAnsi="宋体"/>
          <w:b/>
          <w:color w:val="000000" w:themeColor="text1"/>
          <w:sz w:val="32"/>
          <w:szCs w:val="21"/>
          <w:highlight w:val="none"/>
          <w14:textFill>
            <w14:solidFill>
              <w14:schemeClr w14:val="tx1"/>
            </w14:solidFill>
          </w14:textFill>
        </w:rPr>
      </w:pPr>
      <w:r>
        <w:rPr>
          <w:rFonts w:hint="eastAsia" w:ascii="宋体" w:hAnsi="宋体"/>
          <w:b/>
          <w:color w:val="000000" w:themeColor="text1"/>
          <w:sz w:val="32"/>
          <w:szCs w:val="21"/>
          <w:highlight w:val="none"/>
          <w14:textFill>
            <w14:solidFill>
              <w14:schemeClr w14:val="tx1"/>
            </w14:solidFill>
          </w14:textFill>
        </w:rPr>
        <w:t>江苏巍信项目管理有限公司</w:t>
      </w:r>
    </w:p>
    <w:p>
      <w:pPr>
        <w:spacing w:after="240"/>
        <w:jc w:val="center"/>
        <w:rPr>
          <w:rFonts w:ascii="宋体" w:hAnsi="宋体"/>
          <w:color w:val="000000" w:themeColor="text1"/>
          <w:sz w:val="20"/>
          <w:szCs w:val="21"/>
          <w:highlight w:val="none"/>
          <w14:textFill>
            <w14:solidFill>
              <w14:schemeClr w14:val="tx1"/>
            </w14:solidFill>
          </w14:textFill>
        </w:rPr>
      </w:pPr>
      <w:r>
        <w:rPr>
          <w:rFonts w:hint="eastAsia" w:ascii="宋体" w:hAnsi="宋体"/>
          <w:b/>
          <w:color w:val="000000" w:themeColor="text1"/>
          <w:sz w:val="32"/>
          <w:szCs w:val="21"/>
          <w:highlight w:val="none"/>
          <w14:textFill>
            <w14:solidFill>
              <w14:schemeClr w14:val="tx1"/>
            </w14:solidFill>
          </w14:textFill>
        </w:rPr>
        <w:t>二○二三年十二月</w:t>
      </w:r>
      <w:bookmarkStart w:id="2" w:name="EB14c9ee370fd842a2af810ffbc38e119a"/>
      <w:bookmarkEnd w:id="2"/>
    </w:p>
    <w:p>
      <w:pPr>
        <w:keepNext/>
        <w:keepLines/>
        <w:pageBreakBefore/>
        <w:spacing w:line="360" w:lineRule="auto"/>
        <w:jc w:val="center"/>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文件目录</w:t>
      </w:r>
    </w:p>
    <w:p>
      <w:pPr>
        <w:pStyle w:val="27"/>
        <w:tabs>
          <w:tab w:val="right" w:leader="dot" w:pos="8297"/>
        </w:tabs>
        <w:spacing w:line="360" w:lineRule="auto"/>
        <w:rPr>
          <w:rFonts w:ascii="宋体" w:hAnsi="宋体" w:cstheme="minorBidi"/>
          <w:kern w:val="2"/>
          <w:highlight w:val="none"/>
          <w14:ligatures w14:val="standardContextual"/>
        </w:rPr>
      </w:pPr>
      <w:r>
        <w:rPr>
          <w:rFonts w:ascii="宋体" w:hAnsi="宋体"/>
          <w:color w:val="000000" w:themeColor="text1"/>
          <w:sz w:val="36"/>
          <w:szCs w:val="28"/>
          <w:highlight w:val="none"/>
          <w14:textFill>
            <w14:solidFill>
              <w14:schemeClr w14:val="tx1"/>
            </w14:solidFill>
          </w14:textFill>
        </w:rPr>
        <w:fldChar w:fldCharType="begin"/>
      </w:r>
      <w:r>
        <w:rPr>
          <w:rFonts w:ascii="宋体" w:hAnsi="宋体"/>
          <w:color w:val="000000" w:themeColor="text1"/>
          <w:sz w:val="36"/>
          <w:szCs w:val="28"/>
          <w:highlight w:val="none"/>
          <w14:textFill>
            <w14:solidFill>
              <w14:schemeClr w14:val="tx1"/>
            </w14:solidFill>
          </w14:textFill>
        </w:rPr>
        <w:instrText xml:space="preserve"> TOC \o "1-2" \h \z \u </w:instrText>
      </w:r>
      <w:r>
        <w:rPr>
          <w:rFonts w:ascii="宋体" w:hAnsi="宋体"/>
          <w:color w:val="000000" w:themeColor="text1"/>
          <w:sz w:val="36"/>
          <w:szCs w:val="28"/>
          <w:highlight w:val="none"/>
          <w14:textFill>
            <w14:solidFill>
              <w14:schemeClr w14:val="tx1"/>
            </w14:solidFill>
          </w14:textFill>
        </w:rPr>
        <w:fldChar w:fldCharType="separate"/>
      </w:r>
      <w:r>
        <w:rPr>
          <w:highlight w:val="none"/>
        </w:rPr>
        <w:fldChar w:fldCharType="begin"/>
      </w:r>
      <w:r>
        <w:rPr>
          <w:highlight w:val="none"/>
        </w:rPr>
        <w:instrText xml:space="preserve"> HYPERLINK \l "_Toc152531510" </w:instrText>
      </w:r>
      <w:r>
        <w:rPr>
          <w:highlight w:val="none"/>
        </w:rPr>
        <w:fldChar w:fldCharType="separate"/>
      </w:r>
      <w:r>
        <w:rPr>
          <w:rStyle w:val="45"/>
          <w:rFonts w:ascii="宋体" w:hAnsi="宋体"/>
          <w:highlight w:val="none"/>
        </w:rPr>
        <w:t>第一部分  投标邀请</w:t>
      </w:r>
      <w:r>
        <w:rPr>
          <w:rFonts w:ascii="宋体" w:hAnsi="宋体"/>
          <w:highlight w:val="none"/>
        </w:rPr>
        <w:tab/>
      </w:r>
      <w:r>
        <w:rPr>
          <w:rFonts w:ascii="宋体" w:hAnsi="宋体"/>
          <w:highlight w:val="none"/>
        </w:rPr>
        <w:fldChar w:fldCharType="begin"/>
      </w:r>
      <w:r>
        <w:rPr>
          <w:rFonts w:ascii="宋体" w:hAnsi="宋体"/>
          <w:highlight w:val="none"/>
        </w:rPr>
        <w:instrText xml:space="preserve"> PAGEREF _Toc152531510 \h </w:instrText>
      </w:r>
      <w:r>
        <w:rPr>
          <w:rFonts w:ascii="宋体" w:hAnsi="宋体"/>
          <w:highlight w:val="none"/>
        </w:rPr>
        <w:fldChar w:fldCharType="separate"/>
      </w:r>
      <w:r>
        <w:rPr>
          <w:rFonts w:ascii="宋体" w:hAnsi="宋体"/>
          <w:highlight w:val="none"/>
        </w:rPr>
        <w:t>3</w:t>
      </w:r>
      <w:r>
        <w:rPr>
          <w:rFonts w:ascii="宋体" w:hAnsi="宋体"/>
          <w:highlight w:val="none"/>
        </w:rPr>
        <w:fldChar w:fldCharType="end"/>
      </w:r>
      <w:r>
        <w:rPr>
          <w:rFonts w:ascii="宋体" w:hAnsi="宋体"/>
          <w:highlight w:val="none"/>
        </w:rPr>
        <w:fldChar w:fldCharType="end"/>
      </w:r>
    </w:p>
    <w:p>
      <w:pPr>
        <w:pStyle w:val="27"/>
        <w:tabs>
          <w:tab w:val="right" w:leader="dot" w:pos="8297"/>
        </w:tabs>
        <w:spacing w:line="360" w:lineRule="auto"/>
        <w:rPr>
          <w:rFonts w:ascii="宋体" w:hAnsi="宋体" w:cstheme="minorBidi"/>
          <w:kern w:val="2"/>
          <w:highlight w:val="none"/>
          <w14:ligatures w14:val="standardContextual"/>
        </w:rPr>
      </w:pPr>
      <w:r>
        <w:rPr>
          <w:highlight w:val="none"/>
        </w:rPr>
        <w:fldChar w:fldCharType="begin"/>
      </w:r>
      <w:r>
        <w:rPr>
          <w:highlight w:val="none"/>
        </w:rPr>
        <w:instrText xml:space="preserve"> HYPERLINK \l "_Toc152531519" </w:instrText>
      </w:r>
      <w:r>
        <w:rPr>
          <w:highlight w:val="none"/>
        </w:rPr>
        <w:fldChar w:fldCharType="separate"/>
      </w:r>
      <w:r>
        <w:rPr>
          <w:rStyle w:val="45"/>
          <w:rFonts w:ascii="宋体" w:hAnsi="宋体"/>
          <w:highlight w:val="none"/>
        </w:rPr>
        <w:t>第二部分  投标人须知</w:t>
      </w:r>
      <w:r>
        <w:rPr>
          <w:rFonts w:ascii="宋体" w:hAnsi="宋体"/>
          <w:highlight w:val="none"/>
        </w:rPr>
        <w:tab/>
      </w:r>
      <w:r>
        <w:rPr>
          <w:rFonts w:ascii="宋体" w:hAnsi="宋体"/>
          <w:highlight w:val="none"/>
        </w:rPr>
        <w:fldChar w:fldCharType="begin"/>
      </w:r>
      <w:r>
        <w:rPr>
          <w:rFonts w:ascii="宋体" w:hAnsi="宋体"/>
          <w:highlight w:val="none"/>
        </w:rPr>
        <w:instrText xml:space="preserve"> PAGEREF _Toc152531519 \h </w:instrText>
      </w:r>
      <w:r>
        <w:rPr>
          <w:rFonts w:ascii="宋体" w:hAnsi="宋体"/>
          <w:highlight w:val="none"/>
        </w:rPr>
        <w:fldChar w:fldCharType="separate"/>
      </w:r>
      <w:r>
        <w:rPr>
          <w:rFonts w:ascii="宋体" w:hAnsi="宋体"/>
          <w:highlight w:val="none"/>
        </w:rPr>
        <w:t>8</w:t>
      </w:r>
      <w:r>
        <w:rPr>
          <w:rFonts w:ascii="宋体" w:hAnsi="宋体"/>
          <w:highlight w:val="none"/>
        </w:rPr>
        <w:fldChar w:fldCharType="end"/>
      </w:r>
      <w:r>
        <w:rPr>
          <w:rFonts w:ascii="宋体" w:hAnsi="宋体"/>
          <w:highlight w:val="none"/>
        </w:rPr>
        <w:fldChar w:fldCharType="end"/>
      </w:r>
    </w:p>
    <w:p>
      <w:pPr>
        <w:pStyle w:val="27"/>
        <w:tabs>
          <w:tab w:val="right" w:leader="dot" w:pos="8297"/>
        </w:tabs>
        <w:spacing w:line="360" w:lineRule="auto"/>
        <w:rPr>
          <w:rFonts w:ascii="宋体" w:hAnsi="宋体" w:cstheme="minorBidi"/>
          <w:kern w:val="2"/>
          <w:highlight w:val="none"/>
          <w14:ligatures w14:val="standardContextual"/>
        </w:rPr>
      </w:pPr>
      <w:r>
        <w:rPr>
          <w:highlight w:val="none"/>
        </w:rPr>
        <w:fldChar w:fldCharType="begin"/>
      </w:r>
      <w:r>
        <w:rPr>
          <w:highlight w:val="none"/>
        </w:rPr>
        <w:instrText xml:space="preserve"> HYPERLINK \l "_Toc152531528" </w:instrText>
      </w:r>
      <w:r>
        <w:rPr>
          <w:highlight w:val="none"/>
        </w:rPr>
        <w:fldChar w:fldCharType="separate"/>
      </w:r>
      <w:r>
        <w:rPr>
          <w:rStyle w:val="45"/>
          <w:rFonts w:ascii="宋体" w:hAnsi="宋体"/>
          <w:highlight w:val="none"/>
        </w:rPr>
        <w:t>第三部分  拟签订的合同文本</w:t>
      </w:r>
      <w:r>
        <w:rPr>
          <w:rFonts w:ascii="宋体" w:hAnsi="宋体"/>
          <w:highlight w:val="none"/>
        </w:rPr>
        <w:tab/>
      </w:r>
      <w:r>
        <w:rPr>
          <w:rFonts w:ascii="宋体" w:hAnsi="宋体"/>
          <w:highlight w:val="none"/>
        </w:rPr>
        <w:fldChar w:fldCharType="begin"/>
      </w:r>
      <w:r>
        <w:rPr>
          <w:rFonts w:ascii="宋体" w:hAnsi="宋体"/>
          <w:highlight w:val="none"/>
        </w:rPr>
        <w:instrText xml:space="preserve"> PAGEREF _Toc152531528 \h </w:instrText>
      </w:r>
      <w:r>
        <w:rPr>
          <w:rFonts w:ascii="宋体" w:hAnsi="宋体"/>
          <w:highlight w:val="none"/>
        </w:rPr>
        <w:fldChar w:fldCharType="separate"/>
      </w:r>
      <w:r>
        <w:rPr>
          <w:rFonts w:ascii="宋体" w:hAnsi="宋体"/>
          <w:highlight w:val="none"/>
        </w:rPr>
        <w:t>24</w:t>
      </w:r>
      <w:r>
        <w:rPr>
          <w:rFonts w:ascii="宋体" w:hAnsi="宋体"/>
          <w:highlight w:val="none"/>
        </w:rPr>
        <w:fldChar w:fldCharType="end"/>
      </w:r>
      <w:r>
        <w:rPr>
          <w:rFonts w:ascii="宋体" w:hAnsi="宋体"/>
          <w:highlight w:val="none"/>
        </w:rPr>
        <w:fldChar w:fldCharType="end"/>
      </w:r>
    </w:p>
    <w:p>
      <w:pPr>
        <w:pStyle w:val="27"/>
        <w:tabs>
          <w:tab w:val="right" w:leader="dot" w:pos="8297"/>
        </w:tabs>
        <w:spacing w:line="360" w:lineRule="auto"/>
        <w:rPr>
          <w:rFonts w:ascii="宋体" w:hAnsi="宋体" w:cstheme="minorBidi"/>
          <w:kern w:val="2"/>
          <w:highlight w:val="none"/>
          <w14:ligatures w14:val="standardContextual"/>
        </w:rPr>
      </w:pPr>
      <w:r>
        <w:rPr>
          <w:highlight w:val="none"/>
        </w:rPr>
        <w:fldChar w:fldCharType="begin"/>
      </w:r>
      <w:r>
        <w:rPr>
          <w:highlight w:val="none"/>
        </w:rPr>
        <w:instrText xml:space="preserve"> HYPERLINK \l "_Toc152531540" </w:instrText>
      </w:r>
      <w:r>
        <w:rPr>
          <w:highlight w:val="none"/>
        </w:rPr>
        <w:fldChar w:fldCharType="separate"/>
      </w:r>
      <w:r>
        <w:rPr>
          <w:rStyle w:val="45"/>
          <w:rFonts w:ascii="宋体" w:hAnsi="宋体"/>
          <w:highlight w:val="none"/>
        </w:rPr>
        <w:t>第四部分  采购需求</w:t>
      </w:r>
      <w:r>
        <w:rPr>
          <w:rFonts w:ascii="宋体" w:hAnsi="宋体"/>
          <w:highlight w:val="none"/>
        </w:rPr>
        <w:tab/>
      </w:r>
      <w:r>
        <w:rPr>
          <w:rFonts w:ascii="宋体" w:hAnsi="宋体"/>
          <w:highlight w:val="none"/>
        </w:rPr>
        <w:fldChar w:fldCharType="begin"/>
      </w:r>
      <w:r>
        <w:rPr>
          <w:rFonts w:ascii="宋体" w:hAnsi="宋体"/>
          <w:highlight w:val="none"/>
        </w:rPr>
        <w:instrText xml:space="preserve"> PAGEREF _Toc152531540 \h </w:instrText>
      </w:r>
      <w:r>
        <w:rPr>
          <w:rFonts w:ascii="宋体" w:hAnsi="宋体"/>
          <w:highlight w:val="none"/>
        </w:rPr>
        <w:fldChar w:fldCharType="separate"/>
      </w:r>
      <w:r>
        <w:rPr>
          <w:rFonts w:ascii="宋体" w:hAnsi="宋体"/>
          <w:highlight w:val="none"/>
        </w:rPr>
        <w:t>41</w:t>
      </w:r>
      <w:r>
        <w:rPr>
          <w:rFonts w:ascii="宋体" w:hAnsi="宋体"/>
          <w:highlight w:val="none"/>
        </w:rPr>
        <w:fldChar w:fldCharType="end"/>
      </w:r>
      <w:r>
        <w:rPr>
          <w:rFonts w:ascii="宋体" w:hAnsi="宋体"/>
          <w:highlight w:val="none"/>
        </w:rPr>
        <w:fldChar w:fldCharType="end"/>
      </w:r>
    </w:p>
    <w:p>
      <w:pPr>
        <w:pStyle w:val="27"/>
        <w:tabs>
          <w:tab w:val="right" w:leader="dot" w:pos="8297"/>
        </w:tabs>
        <w:spacing w:line="360" w:lineRule="auto"/>
        <w:rPr>
          <w:rFonts w:ascii="宋体" w:hAnsi="宋体" w:cstheme="minorBidi"/>
          <w:kern w:val="2"/>
          <w:highlight w:val="none"/>
          <w14:ligatures w14:val="standardContextual"/>
        </w:rPr>
      </w:pPr>
      <w:r>
        <w:rPr>
          <w:highlight w:val="none"/>
        </w:rPr>
        <w:fldChar w:fldCharType="begin"/>
      </w:r>
      <w:r>
        <w:rPr>
          <w:highlight w:val="none"/>
        </w:rPr>
        <w:instrText xml:space="preserve"> HYPERLINK \l "_Toc152531546" </w:instrText>
      </w:r>
      <w:r>
        <w:rPr>
          <w:highlight w:val="none"/>
        </w:rPr>
        <w:fldChar w:fldCharType="separate"/>
      </w:r>
      <w:r>
        <w:rPr>
          <w:rStyle w:val="45"/>
          <w:rFonts w:ascii="宋体" w:hAnsi="宋体"/>
          <w:highlight w:val="none"/>
        </w:rPr>
        <w:t>第五部分  评标办法和标准</w:t>
      </w:r>
      <w:r>
        <w:rPr>
          <w:rFonts w:ascii="宋体" w:hAnsi="宋体"/>
          <w:highlight w:val="none"/>
        </w:rPr>
        <w:tab/>
      </w:r>
      <w:r>
        <w:rPr>
          <w:rFonts w:ascii="宋体" w:hAnsi="宋体"/>
          <w:highlight w:val="none"/>
        </w:rPr>
        <w:fldChar w:fldCharType="begin"/>
      </w:r>
      <w:r>
        <w:rPr>
          <w:rFonts w:ascii="宋体" w:hAnsi="宋体"/>
          <w:highlight w:val="none"/>
        </w:rPr>
        <w:instrText xml:space="preserve"> PAGEREF _Toc152531546 \h </w:instrText>
      </w:r>
      <w:r>
        <w:rPr>
          <w:rFonts w:ascii="宋体" w:hAnsi="宋体"/>
          <w:highlight w:val="none"/>
        </w:rPr>
        <w:fldChar w:fldCharType="separate"/>
      </w:r>
      <w:r>
        <w:rPr>
          <w:rFonts w:ascii="宋体" w:hAnsi="宋体"/>
          <w:highlight w:val="none"/>
        </w:rPr>
        <w:t>53</w:t>
      </w:r>
      <w:r>
        <w:rPr>
          <w:rFonts w:ascii="宋体" w:hAnsi="宋体"/>
          <w:highlight w:val="none"/>
        </w:rPr>
        <w:fldChar w:fldCharType="end"/>
      </w:r>
      <w:r>
        <w:rPr>
          <w:rFonts w:ascii="宋体" w:hAnsi="宋体"/>
          <w:highlight w:val="none"/>
        </w:rPr>
        <w:fldChar w:fldCharType="end"/>
      </w:r>
    </w:p>
    <w:p>
      <w:pPr>
        <w:pStyle w:val="27"/>
        <w:tabs>
          <w:tab w:val="right" w:leader="dot" w:pos="8297"/>
        </w:tabs>
        <w:spacing w:line="360" w:lineRule="auto"/>
        <w:rPr>
          <w:rFonts w:ascii="宋体" w:hAnsi="宋体" w:cstheme="minorBidi"/>
          <w:kern w:val="2"/>
          <w:highlight w:val="none"/>
          <w14:ligatures w14:val="standardContextual"/>
        </w:rPr>
      </w:pPr>
      <w:r>
        <w:rPr>
          <w:highlight w:val="none"/>
        </w:rPr>
        <w:fldChar w:fldCharType="begin"/>
      </w:r>
      <w:r>
        <w:rPr>
          <w:highlight w:val="none"/>
        </w:rPr>
        <w:instrText xml:space="preserve"> HYPERLINK \l "_Toc152531547" </w:instrText>
      </w:r>
      <w:r>
        <w:rPr>
          <w:highlight w:val="none"/>
        </w:rPr>
        <w:fldChar w:fldCharType="separate"/>
      </w:r>
      <w:r>
        <w:rPr>
          <w:rStyle w:val="45"/>
          <w:rFonts w:ascii="宋体" w:hAnsi="宋体"/>
          <w:highlight w:val="none"/>
        </w:rPr>
        <w:t>第六部分  投标文件（格式）</w:t>
      </w:r>
      <w:r>
        <w:rPr>
          <w:rFonts w:ascii="宋体" w:hAnsi="宋体"/>
          <w:highlight w:val="none"/>
        </w:rPr>
        <w:tab/>
      </w:r>
      <w:r>
        <w:rPr>
          <w:rFonts w:ascii="宋体" w:hAnsi="宋体"/>
          <w:highlight w:val="none"/>
        </w:rPr>
        <w:fldChar w:fldCharType="begin"/>
      </w:r>
      <w:r>
        <w:rPr>
          <w:rFonts w:ascii="宋体" w:hAnsi="宋体"/>
          <w:highlight w:val="none"/>
        </w:rPr>
        <w:instrText xml:space="preserve"> PAGEREF _Toc152531547 \h </w:instrText>
      </w:r>
      <w:r>
        <w:rPr>
          <w:rFonts w:ascii="宋体" w:hAnsi="宋体"/>
          <w:highlight w:val="none"/>
        </w:rPr>
        <w:fldChar w:fldCharType="separate"/>
      </w:r>
      <w:r>
        <w:rPr>
          <w:rFonts w:ascii="宋体" w:hAnsi="宋体"/>
          <w:highlight w:val="none"/>
        </w:rPr>
        <w:t>63</w:t>
      </w:r>
      <w:r>
        <w:rPr>
          <w:rFonts w:ascii="宋体" w:hAnsi="宋体"/>
          <w:highlight w:val="none"/>
        </w:rPr>
        <w:fldChar w:fldCharType="end"/>
      </w:r>
      <w:r>
        <w:rPr>
          <w:rFonts w:ascii="宋体" w:hAnsi="宋体"/>
          <w:highlight w:val="none"/>
        </w:rPr>
        <w:fldChar w:fldCharType="end"/>
      </w:r>
    </w:p>
    <w:p>
      <w:pPr>
        <w:pStyle w:val="287"/>
        <w:tabs>
          <w:tab w:val="right" w:leader="dot" w:pos="9403"/>
        </w:tabs>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sz w:val="24"/>
          <w:szCs w:val="28"/>
          <w:highlight w:val="none"/>
          <w14:textFill>
            <w14:solidFill>
              <w14:schemeClr w14:val="tx1"/>
            </w14:solidFill>
          </w14:textFill>
        </w:rPr>
        <w:fldChar w:fldCharType="end"/>
      </w:r>
      <w:r>
        <w:rPr>
          <w:rFonts w:ascii="宋体" w:hAnsi="宋体"/>
          <w:color w:val="000000" w:themeColor="text1"/>
          <w:highlight w:val="none"/>
          <w14:textFill>
            <w14:solidFill>
              <w14:schemeClr w14:val="tx1"/>
            </w14:solidFill>
          </w14:textFill>
        </w:rPr>
        <w:br w:type="page" w:clear="all"/>
      </w:r>
    </w:p>
    <w:p>
      <w:pPr>
        <w:pStyle w:val="1301"/>
        <w:widowControl w:val="0"/>
        <w:ind w:left="0" w:firstLine="0"/>
        <w:jc w:val="center"/>
        <w:rPr>
          <w:rFonts w:ascii="宋体" w:eastAsia="宋体"/>
          <w:color w:val="000000" w:themeColor="text1"/>
          <w:sz w:val="36"/>
          <w:szCs w:val="36"/>
          <w:highlight w:val="none"/>
          <w14:textFill>
            <w14:solidFill>
              <w14:schemeClr w14:val="tx1"/>
            </w14:solidFill>
          </w14:textFill>
        </w:rPr>
      </w:pPr>
      <w:bookmarkStart w:id="3" w:name="_Toc152531510"/>
      <w:r>
        <w:rPr>
          <w:rFonts w:hint="eastAsia" w:ascii="宋体" w:eastAsia="宋体"/>
          <w:color w:val="000000" w:themeColor="text1"/>
          <w:sz w:val="36"/>
          <w:szCs w:val="36"/>
          <w:highlight w:val="none"/>
          <w14:textFill>
            <w14:solidFill>
              <w14:schemeClr w14:val="tx1"/>
            </w14:solidFill>
          </w14:textFill>
        </w:rPr>
        <w:t>第一部分  投标邀请</w:t>
      </w:r>
      <w:bookmarkEnd w:id="3"/>
    </w:p>
    <w:p>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项目概况</w:t>
      </w:r>
    </w:p>
    <w:p>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000000" w:themeColor="text1"/>
          <w:sz w:val="24"/>
          <w:szCs w:val="28"/>
          <w:highlight w:val="none"/>
          <w:u w:val="single"/>
          <w14:textFill>
            <w14:solidFill>
              <w14:schemeClr w14:val="tx1"/>
            </w14:solidFill>
          </w14:textFill>
        </w:rPr>
      </w:pPr>
      <w:r>
        <w:rPr>
          <w:rFonts w:hint="eastAsia" w:ascii="宋体" w:hAnsi="宋体"/>
          <w:color w:val="000000" w:themeColor="text1"/>
          <w:sz w:val="24"/>
          <w:szCs w:val="28"/>
          <w:highlight w:val="none"/>
          <w:u w:val="single"/>
          <w14:textFill>
            <w14:solidFill>
              <w14:schemeClr w14:val="tx1"/>
            </w14:solidFill>
          </w14:textFill>
        </w:rPr>
        <w:t>镇江市焚烧灰渣处置场飞灰填埋运营服务</w:t>
      </w:r>
      <w:r>
        <w:rPr>
          <w:rFonts w:hint="eastAsia" w:ascii="宋体" w:hAnsi="宋体"/>
          <w:color w:val="000000" w:themeColor="text1"/>
          <w:sz w:val="24"/>
          <w:szCs w:val="28"/>
          <w:highlight w:val="none"/>
          <w14:textFill>
            <w14:solidFill>
              <w14:schemeClr w14:val="tx1"/>
            </w14:solidFill>
          </w14:textFill>
        </w:rPr>
        <w:t>项目的潜在投标人应在</w:t>
      </w:r>
      <w:r>
        <w:rPr>
          <w:rFonts w:hint="eastAsia" w:ascii="宋体" w:hAnsi="宋体" w:cs="宋体"/>
          <w:color w:val="000000" w:themeColor="text1"/>
          <w:sz w:val="24"/>
          <w:szCs w:val="28"/>
          <w:highlight w:val="none"/>
          <w:u w:val="single"/>
          <w14:textFill>
            <w14:solidFill>
              <w14:schemeClr w14:val="tx1"/>
            </w14:solidFill>
          </w14:textFill>
        </w:rPr>
        <w:t>“苏采云”电子交易平台http://jszfcg.jsczt.cn/</w:t>
      </w:r>
      <w:r>
        <w:rPr>
          <w:rFonts w:hint="eastAsia" w:ascii="宋体" w:hAnsi="宋体"/>
          <w:color w:val="000000" w:themeColor="text1"/>
          <w:sz w:val="24"/>
          <w:szCs w:val="28"/>
          <w:highlight w:val="none"/>
          <w14:textFill>
            <w14:solidFill>
              <w14:schemeClr w14:val="tx1"/>
            </w14:solidFill>
          </w14:textFill>
        </w:rPr>
        <w:t>获取招标文件，并于</w:t>
      </w:r>
      <w:bookmarkStart w:id="4" w:name="EB88d3380b55d64db3937e19ee7304f988"/>
      <w:r>
        <w:rPr>
          <w:rFonts w:hint="eastAsia" w:ascii="宋体" w:hAnsi="宋体"/>
          <w:color w:val="000000" w:themeColor="text1"/>
          <w:sz w:val="24"/>
          <w:szCs w:val="28"/>
          <w:highlight w:val="none"/>
          <w14:textFill>
            <w14:solidFill>
              <w14:schemeClr w14:val="tx1"/>
            </w14:solidFill>
          </w14:textFill>
        </w:rPr>
        <w:t>2023-12-</w:t>
      </w:r>
      <w:r>
        <w:rPr>
          <w:rFonts w:ascii="宋体" w:hAnsi="宋体"/>
          <w:color w:val="000000" w:themeColor="text1"/>
          <w:sz w:val="24"/>
          <w:szCs w:val="28"/>
          <w:highlight w:val="none"/>
          <w14:textFill>
            <w14:solidFill>
              <w14:schemeClr w14:val="tx1"/>
            </w14:solidFill>
          </w14:textFill>
        </w:rPr>
        <w:t>2</w:t>
      </w:r>
      <w:r>
        <w:rPr>
          <w:rFonts w:hint="eastAsia" w:ascii="宋体" w:hAnsi="宋体"/>
          <w:color w:val="000000" w:themeColor="text1"/>
          <w:sz w:val="24"/>
          <w:szCs w:val="28"/>
          <w:highlight w:val="none"/>
          <w:lang w:val="en-US" w:eastAsia="zh-CN"/>
          <w14:textFill>
            <w14:solidFill>
              <w14:schemeClr w14:val="tx1"/>
            </w14:solidFill>
          </w14:textFill>
        </w:rPr>
        <w:t>8</w:t>
      </w:r>
      <w:r>
        <w:rPr>
          <w:rFonts w:hint="eastAsia" w:ascii="宋体" w:hAnsi="宋体"/>
          <w:color w:val="000000" w:themeColor="text1"/>
          <w:sz w:val="24"/>
          <w:szCs w:val="28"/>
          <w:highlight w:val="none"/>
          <w14:textFill>
            <w14:solidFill>
              <w14:schemeClr w14:val="tx1"/>
            </w14:solidFill>
          </w14:textFill>
        </w:rPr>
        <w:t xml:space="preserve"> 09:30</w:t>
      </w:r>
      <w:bookmarkEnd w:id="4"/>
      <w:r>
        <w:rPr>
          <w:rFonts w:hint="eastAsia" w:ascii="宋体" w:hAnsi="宋体"/>
          <w:color w:val="000000" w:themeColor="text1"/>
          <w:sz w:val="24"/>
          <w:szCs w:val="28"/>
          <w:highlight w:val="none"/>
          <w14:textFill>
            <w14:solidFill>
              <w14:schemeClr w14:val="tx1"/>
            </w14:solidFill>
          </w14:textFill>
        </w:rPr>
        <w:t>（</w:t>
      </w:r>
      <w:r>
        <w:rPr>
          <w:rFonts w:hint="eastAsia" w:ascii="宋体" w:hAnsi="宋体"/>
          <w:bCs/>
          <w:color w:val="000000" w:themeColor="text1"/>
          <w:sz w:val="24"/>
          <w:szCs w:val="28"/>
          <w:highlight w:val="none"/>
          <w14:textFill>
            <w14:solidFill>
              <w14:schemeClr w14:val="tx1"/>
            </w14:solidFill>
          </w14:textFill>
        </w:rPr>
        <w:t>北京时间）前按要求递交投标文件</w:t>
      </w:r>
      <w:r>
        <w:rPr>
          <w:rFonts w:hint="eastAsia" w:ascii="宋体" w:hAnsi="宋体"/>
          <w:color w:val="000000" w:themeColor="text1"/>
          <w:sz w:val="24"/>
          <w:szCs w:val="28"/>
          <w:highlight w:val="none"/>
          <w14:textFill>
            <w14:solidFill>
              <w14:schemeClr w14:val="tx1"/>
            </w14:solidFill>
          </w14:textFill>
        </w:rPr>
        <w:t>。</w:t>
      </w:r>
    </w:p>
    <w:p>
      <w:pPr>
        <w:pStyle w:val="202"/>
        <w:spacing w:after="0" w:line="360" w:lineRule="auto"/>
        <w:ind w:left="-142"/>
        <w:jc w:val="both"/>
        <w:rPr>
          <w:rFonts w:ascii="宋体" w:hAnsi="宋体" w:eastAsia="宋体" w:cs="宋体"/>
          <w:bCs/>
          <w:color w:val="000000" w:themeColor="text1"/>
          <w:sz w:val="24"/>
          <w:szCs w:val="28"/>
          <w:highlight w:val="none"/>
          <w14:textFill>
            <w14:solidFill>
              <w14:schemeClr w14:val="tx1"/>
            </w14:solidFill>
          </w14:textFill>
        </w:rPr>
      </w:pPr>
      <w:bookmarkStart w:id="5" w:name="_Toc256000001"/>
      <w:bookmarkStart w:id="6" w:name="_Toc148961810"/>
      <w:bookmarkStart w:id="7" w:name="_Toc152531511"/>
      <w:bookmarkStart w:id="8" w:name="_Toc151931373"/>
      <w:r>
        <w:rPr>
          <w:rFonts w:hint="eastAsia" w:ascii="宋体" w:hAnsi="宋体" w:eastAsia="宋体" w:cs="宋体"/>
          <w:bCs/>
          <w:color w:val="000000" w:themeColor="text1"/>
          <w:sz w:val="24"/>
          <w:szCs w:val="28"/>
          <w:highlight w:val="none"/>
          <w14:textFill>
            <w14:solidFill>
              <w14:schemeClr w14:val="tx1"/>
            </w14:solidFill>
          </w14:textFill>
        </w:rPr>
        <w:t>一、项目基本情况</w:t>
      </w:r>
      <w:bookmarkEnd w:id="5"/>
      <w:bookmarkEnd w:id="6"/>
      <w:bookmarkEnd w:id="7"/>
      <w:bookmarkEnd w:id="8"/>
    </w:p>
    <w:p>
      <w:pPr>
        <w:spacing w:line="360" w:lineRule="auto"/>
        <w:ind w:firstLine="480"/>
        <w:rPr>
          <w:rFonts w:hint="eastAsia" w:ascii="宋体" w:hAnsi="宋体" w:eastAsia="宋体"/>
          <w:color w:val="000000" w:themeColor="text1"/>
          <w:sz w:val="24"/>
          <w:szCs w:val="28"/>
          <w:highlight w:val="none"/>
          <w:lang w:eastAsia="zh-CN"/>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项目编号：</w:t>
      </w:r>
      <w:r>
        <w:rPr>
          <w:rFonts w:hint="eastAsia" w:ascii="宋体" w:hAnsi="宋体"/>
          <w:color w:val="000000" w:themeColor="text1"/>
          <w:sz w:val="24"/>
          <w:szCs w:val="28"/>
          <w:highlight w:val="none"/>
          <w:lang w:eastAsia="zh-CN"/>
          <w14:textFill>
            <w14:solidFill>
              <w14:schemeClr w14:val="tx1"/>
            </w14:solidFill>
          </w14:textFill>
        </w:rPr>
        <w:t>JSZC-321100-JSWX-G2023-0031</w:t>
      </w:r>
    </w:p>
    <w:p>
      <w:pPr>
        <w:spacing w:line="360" w:lineRule="auto"/>
        <w:ind w:firstLine="48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项目名称：</w:t>
      </w:r>
      <w:r>
        <w:rPr>
          <w:rFonts w:hint="eastAsia" w:ascii="宋体" w:hAnsi="宋体"/>
          <w:color w:val="000000" w:themeColor="text1"/>
          <w:sz w:val="24"/>
          <w:szCs w:val="28"/>
          <w:highlight w:val="none"/>
          <w14:textFill>
            <w14:solidFill>
              <w14:schemeClr w14:val="tx1"/>
            </w14:solidFill>
          </w14:textFill>
        </w:rPr>
        <w:t>镇江市焚烧灰渣处置场飞灰填埋运营服务项目</w:t>
      </w:r>
    </w:p>
    <w:p>
      <w:pPr>
        <w:spacing w:line="360" w:lineRule="auto"/>
        <w:ind w:firstLine="48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预算金额：</w:t>
      </w:r>
      <w:r>
        <w:rPr>
          <w:rFonts w:hint="eastAsia" w:ascii="宋体" w:hAnsi="宋体"/>
          <w:color w:val="000000" w:themeColor="text1"/>
          <w:sz w:val="24"/>
          <w:szCs w:val="28"/>
          <w:highlight w:val="none"/>
          <w14:textFill>
            <w14:solidFill>
              <w14:schemeClr w14:val="tx1"/>
            </w14:solidFill>
          </w14:textFill>
        </w:rPr>
        <w:t>人民币400万元/年。按照单价报价，年处理量2.85万吨。报价超过预算金额的为无效报价，按照无效响应处理。</w:t>
      </w:r>
    </w:p>
    <w:p>
      <w:pPr>
        <w:spacing w:line="360" w:lineRule="auto"/>
        <w:ind w:firstLine="48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最高限价：人民币400万元/年，按照单价报价，年处理量2.85万吨。</w:t>
      </w:r>
    </w:p>
    <w:p>
      <w:pPr>
        <w:spacing w:line="360" w:lineRule="auto"/>
        <w:ind w:firstLine="48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采购需求：</w:t>
      </w:r>
      <w:bookmarkStart w:id="9" w:name="EB2bd1779d536a48269daa4fb5d46d3fc5"/>
      <w:r>
        <w:rPr>
          <w:rFonts w:hint="eastAsia" w:ascii="宋体" w:hAnsi="宋体"/>
          <w:color w:val="000000" w:themeColor="text1"/>
          <w:sz w:val="24"/>
          <w:szCs w:val="28"/>
          <w:highlight w:val="none"/>
          <w14:textFill>
            <w14:solidFill>
              <w14:schemeClr w14:val="tx1"/>
            </w14:solidFill>
          </w14:textFill>
        </w:rPr>
        <w:t>详细内容及要求见招标文件第四部分</w:t>
      </w:r>
      <w:bookmarkEnd w:id="9"/>
    </w:p>
    <w:p>
      <w:pPr>
        <w:spacing w:line="360" w:lineRule="auto"/>
        <w:ind w:firstLine="48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合同履行期限：</w:t>
      </w:r>
      <w:r>
        <w:rPr>
          <w:rFonts w:hint="eastAsia" w:ascii="宋体" w:hAnsi="宋体"/>
          <w:color w:val="000000" w:themeColor="text1"/>
          <w:sz w:val="24"/>
          <w:szCs w:val="28"/>
          <w:highlight w:val="none"/>
          <w14:textFill>
            <w14:solidFill>
              <w14:schemeClr w14:val="tx1"/>
            </w14:solidFill>
          </w14:textFill>
        </w:rPr>
        <w:t>本项目服务期为三年，合同一年一签。一年度合同服务期满后，采购人考核合格后续签下一年度合同，否则将重新组织招标。</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本项目是否接受联合体投标：</w:t>
      </w:r>
      <w:r>
        <w:rPr>
          <w:rFonts w:hint="eastAsia" w:ascii="宋体" w:hAnsi="宋体"/>
          <w:color w:val="000000" w:themeColor="text1"/>
          <w:sz w:val="24"/>
          <w:szCs w:val="28"/>
          <w:highlight w:val="none"/>
          <w14:textFill>
            <w14:solidFill>
              <w14:schemeClr w14:val="tx1"/>
            </w14:solidFill>
          </w14:textFill>
        </w:rPr>
        <w:t>不接受</w:t>
      </w:r>
    </w:p>
    <w:p>
      <w:pPr>
        <w:pStyle w:val="202"/>
        <w:spacing w:after="0" w:line="276" w:lineRule="auto"/>
        <w:ind w:left="-142"/>
        <w:jc w:val="both"/>
        <w:rPr>
          <w:rFonts w:ascii="宋体" w:hAnsi="宋体" w:eastAsia="宋体" w:cs="宋体"/>
          <w:bCs/>
          <w:color w:val="000000" w:themeColor="text1"/>
          <w:sz w:val="24"/>
          <w:szCs w:val="28"/>
          <w:highlight w:val="none"/>
          <w14:textFill>
            <w14:solidFill>
              <w14:schemeClr w14:val="tx1"/>
            </w14:solidFill>
          </w14:textFill>
        </w:rPr>
      </w:pPr>
      <w:bookmarkStart w:id="10" w:name="_Toc256000002"/>
      <w:bookmarkStart w:id="11" w:name="_Toc151931374"/>
      <w:bookmarkStart w:id="12" w:name="_Toc148961811"/>
      <w:bookmarkStart w:id="13" w:name="_Toc152531512"/>
      <w:r>
        <w:rPr>
          <w:rFonts w:hint="eastAsia" w:ascii="宋体" w:hAnsi="宋体" w:eastAsia="宋体" w:cs="宋体"/>
          <w:bCs/>
          <w:color w:val="000000" w:themeColor="text1"/>
          <w:sz w:val="24"/>
          <w:szCs w:val="28"/>
          <w:highlight w:val="none"/>
          <w14:textFill>
            <w14:solidFill>
              <w14:schemeClr w14:val="tx1"/>
            </w14:solidFill>
          </w14:textFill>
        </w:rPr>
        <w:t>二、申请人的资格要求：</w:t>
      </w:r>
      <w:bookmarkEnd w:id="10"/>
      <w:bookmarkEnd w:id="11"/>
      <w:bookmarkEnd w:id="12"/>
      <w:bookmarkEnd w:id="13"/>
    </w:p>
    <w:p>
      <w:pPr>
        <w:pStyle w:val="203"/>
        <w:spacing w:before="240" w:line="360" w:lineRule="auto"/>
        <w:ind w:firstLine="480"/>
        <w:rPr>
          <w:rFonts w:ascii="宋体" w:hAnsi="宋体"/>
          <w:color w:val="000000" w:themeColor="text1"/>
          <w:sz w:val="24"/>
          <w:szCs w:val="28"/>
          <w:highlight w:val="none"/>
          <w14:textFill>
            <w14:solidFill>
              <w14:schemeClr w14:val="tx1"/>
            </w14:solidFill>
          </w14:textFill>
        </w:rPr>
      </w:pPr>
      <w:bookmarkStart w:id="14" w:name="EBc023c818088a4a37830a656429416f13"/>
      <w:r>
        <w:rPr>
          <w:rFonts w:hint="eastAsia" w:ascii="宋体" w:hAnsi="宋体"/>
          <w:color w:val="000000" w:themeColor="text1"/>
          <w:sz w:val="24"/>
          <w:szCs w:val="28"/>
          <w:highlight w:val="none"/>
          <w14:textFill>
            <w14:solidFill>
              <w14:schemeClr w14:val="tx1"/>
            </w14:solidFill>
          </w14:textFill>
        </w:rPr>
        <w:t>1、满足《中华人民共和国政府采购法》第二十二条规定：</w:t>
      </w:r>
    </w:p>
    <w:p>
      <w:pPr>
        <w:pStyle w:val="203"/>
        <w:spacing w:line="360" w:lineRule="auto"/>
        <w:ind w:firstLine="48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（1）具有独立承担民事责任的能力（提供法人或者其他组织的营业执照等证明文件扫描件；投标人为自然人的，提供其身份证扫描件）；</w:t>
      </w:r>
    </w:p>
    <w:p>
      <w:pPr>
        <w:pStyle w:val="203"/>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（2）具有良好的商业信誉和健全的财务会计制度（提供资格承诺函，或</w:t>
      </w:r>
      <w:r>
        <w:rPr>
          <w:rFonts w:hint="eastAsia" w:ascii="宋体" w:hAnsi="宋体"/>
          <w:color w:val="000000" w:themeColor="text1"/>
          <w:sz w:val="24"/>
          <w:highlight w:val="none"/>
          <w14:textFill>
            <w14:solidFill>
              <w14:schemeClr w14:val="tx1"/>
            </w14:solidFill>
          </w14:textFill>
        </w:rPr>
        <w:t>2022年度财务报告，成立不满一年的提供至少一个月财务报告，或银行出具的资信证明，或财政部门认可的政府采购专业担保机构出具的投标担保函等）；</w:t>
      </w:r>
    </w:p>
    <w:p>
      <w:pPr>
        <w:pStyle w:val="203"/>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（3）具有履行合同所必需的设备和专业技术能力（提供资格承诺函，或投标人相关信息一览表）；</w:t>
      </w:r>
    </w:p>
    <w:p>
      <w:pPr>
        <w:pStyle w:val="203"/>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（4）有依法缴纳税收和社会保障资金的良好记录（提供资格承诺函，或参加本次政府采购活动前半年内至少一个月依法缴纳税收和社会保险的凭据）；</w:t>
      </w:r>
    </w:p>
    <w:p>
      <w:pPr>
        <w:pStyle w:val="203"/>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（5）参加政府采购活动前三年内，在经营活动中没有重大违法记录（提供资格承诺函）；</w:t>
      </w:r>
    </w:p>
    <w:p>
      <w:pPr>
        <w:pStyle w:val="203"/>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（6）法律、行政法规规定的其他条件。</w:t>
      </w:r>
    </w:p>
    <w:p>
      <w:pPr>
        <w:pStyle w:val="203"/>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2、落实政府采购政策需满足的资格要求：</w:t>
      </w:r>
    </w:p>
    <w:p>
      <w:pPr>
        <w:pStyle w:val="203"/>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本项目支持和适用节能环保产品（财库【2019】9号）、（财库【2019】19号）、（财库【2019】18号）；支持中小微企业（财库【2022】19号）、（苏财购【2022】45号）、（工信部联企业【2011】300）等政策。本项目属于服务类项目，采购标的对应的行业为其他未列明行业。本项目专门面向中小微企业，中小企业划型标准请对照《关于印发中小企业划型标准规定的通知》（工信部联企业〔2011〕300号）。</w:t>
      </w:r>
    </w:p>
    <w:p>
      <w:pPr>
        <w:pStyle w:val="203"/>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pPr>
        <w:pStyle w:val="203"/>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p>
    <w:p>
      <w:pPr>
        <w:pStyle w:val="203"/>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3、本项目的特定资格要求：无。</w:t>
      </w:r>
      <w:bookmarkEnd w:id="14"/>
    </w:p>
    <w:p>
      <w:pPr>
        <w:pStyle w:val="202"/>
        <w:spacing w:line="360" w:lineRule="auto"/>
        <w:ind w:left="-142"/>
        <w:jc w:val="both"/>
        <w:rPr>
          <w:rFonts w:ascii="宋体" w:hAnsi="宋体" w:eastAsia="宋体" w:cs="宋体"/>
          <w:bCs/>
          <w:color w:val="000000" w:themeColor="text1"/>
          <w:sz w:val="24"/>
          <w:szCs w:val="28"/>
          <w:highlight w:val="none"/>
          <w14:textFill>
            <w14:solidFill>
              <w14:schemeClr w14:val="tx1"/>
            </w14:solidFill>
          </w14:textFill>
        </w:rPr>
      </w:pPr>
      <w:bookmarkStart w:id="15" w:name="_Toc151931375"/>
      <w:bookmarkStart w:id="16" w:name="_Toc148961812"/>
      <w:bookmarkStart w:id="17" w:name="_Toc152531513"/>
      <w:bookmarkStart w:id="18" w:name="_Toc256000003"/>
      <w:r>
        <w:rPr>
          <w:rFonts w:hint="eastAsia" w:ascii="宋体" w:hAnsi="宋体" w:eastAsia="宋体" w:cs="宋体"/>
          <w:bCs/>
          <w:color w:val="000000" w:themeColor="text1"/>
          <w:sz w:val="24"/>
          <w:szCs w:val="28"/>
          <w:highlight w:val="none"/>
          <w14:textFill>
            <w14:solidFill>
              <w14:schemeClr w14:val="tx1"/>
            </w14:solidFill>
          </w14:textFill>
        </w:rPr>
        <w:t>三、获取招标文件</w:t>
      </w:r>
      <w:bookmarkEnd w:id="15"/>
      <w:bookmarkEnd w:id="16"/>
      <w:bookmarkEnd w:id="17"/>
      <w:bookmarkEnd w:id="18"/>
    </w:p>
    <w:p>
      <w:pPr>
        <w:spacing w:line="360" w:lineRule="auto"/>
        <w:ind w:firstLine="48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1、获取时间：公告之时起</w:t>
      </w:r>
      <w:r>
        <w:rPr>
          <w:rFonts w:hint="eastAsia" w:ascii="宋体" w:hAnsi="宋体"/>
          <w:color w:val="000000" w:themeColor="text1"/>
          <w:sz w:val="24"/>
          <w:szCs w:val="28"/>
          <w:highlight w:val="none"/>
          <w14:textFill>
            <w14:solidFill>
              <w14:schemeClr w14:val="tx1"/>
            </w14:solidFill>
          </w14:textFill>
        </w:rPr>
        <w:t>至</w:t>
      </w:r>
      <w:bookmarkStart w:id="19" w:name="EB5b76785362f44756aa7e3ae9a42cd84a"/>
      <w:r>
        <w:rPr>
          <w:rFonts w:hint="eastAsia" w:ascii="宋体" w:hAnsi="宋体"/>
          <w:color w:val="000000" w:themeColor="text1"/>
          <w:sz w:val="24"/>
          <w:szCs w:val="28"/>
          <w:highlight w:val="none"/>
          <w14:textFill>
            <w14:solidFill>
              <w14:schemeClr w14:val="tx1"/>
            </w14:solidFill>
          </w14:textFill>
        </w:rPr>
        <w:t>2023-12-</w:t>
      </w:r>
      <w:r>
        <w:rPr>
          <w:rFonts w:ascii="宋体" w:hAnsi="宋体"/>
          <w:color w:val="000000" w:themeColor="text1"/>
          <w:sz w:val="24"/>
          <w:szCs w:val="28"/>
          <w:highlight w:val="none"/>
          <w14:textFill>
            <w14:solidFill>
              <w14:schemeClr w14:val="tx1"/>
            </w14:solidFill>
          </w14:textFill>
        </w:rPr>
        <w:t>1</w:t>
      </w:r>
      <w:r>
        <w:rPr>
          <w:rFonts w:hint="eastAsia" w:ascii="宋体" w:hAnsi="宋体"/>
          <w:color w:val="000000" w:themeColor="text1"/>
          <w:sz w:val="24"/>
          <w:szCs w:val="28"/>
          <w:highlight w:val="none"/>
          <w:lang w:val="en-US" w:eastAsia="zh-CN"/>
          <w14:textFill>
            <w14:solidFill>
              <w14:schemeClr w14:val="tx1"/>
            </w14:solidFill>
          </w14:textFill>
        </w:rPr>
        <w:t>5</w:t>
      </w:r>
      <w:r>
        <w:rPr>
          <w:rFonts w:hint="eastAsia" w:ascii="宋体" w:hAnsi="宋体"/>
          <w:color w:val="000000" w:themeColor="text1"/>
          <w:sz w:val="24"/>
          <w:szCs w:val="28"/>
          <w:highlight w:val="none"/>
          <w14:textFill>
            <w14:solidFill>
              <w14:schemeClr w14:val="tx1"/>
            </w14:solidFill>
          </w14:textFill>
        </w:rPr>
        <w:t xml:space="preserve"> 17:30</w:t>
      </w:r>
      <w:bookmarkEnd w:id="19"/>
      <w:r>
        <w:rPr>
          <w:rFonts w:hint="eastAsia" w:ascii="宋体" w:hAnsi="宋体"/>
          <w:color w:val="000000" w:themeColor="text1"/>
          <w:sz w:val="24"/>
          <w:szCs w:val="28"/>
          <w:highlight w:val="none"/>
          <w14:textFill>
            <w14:solidFill>
              <w14:schemeClr w14:val="tx1"/>
            </w14:solidFill>
          </w14:textFill>
        </w:rPr>
        <w:t>（北京时间）</w:t>
      </w:r>
    </w:p>
    <w:p>
      <w:pPr>
        <w:spacing w:line="360" w:lineRule="auto"/>
        <w:ind w:firstLine="470"/>
        <w:jc w:val="left"/>
        <w:rPr>
          <w:rFonts w:ascii="宋体" w:hAnsi="宋体"/>
          <w:color w:val="000000" w:themeColor="text1"/>
          <w:sz w:val="24"/>
          <w:szCs w:val="24"/>
          <w:highlight w:val="none"/>
          <w14:textFill>
            <w14:solidFill>
              <w14:schemeClr w14:val="tx1"/>
            </w14:solidFill>
          </w14:textFill>
        </w:rPr>
      </w:pPr>
      <w:bookmarkStart w:id="20" w:name="_Hlk144975372"/>
      <w:bookmarkStart w:id="21" w:name="_Hlk144975348"/>
      <w:r>
        <w:rPr>
          <w:rFonts w:hint="eastAsia" w:ascii="宋体" w:hAnsi="宋体"/>
          <w:color w:val="000000" w:themeColor="text1"/>
          <w:sz w:val="24"/>
          <w:szCs w:val="24"/>
          <w:highlight w:val="none"/>
          <w14:textFill>
            <w14:solidFill>
              <w14:schemeClr w14:val="tx1"/>
            </w14:solidFill>
          </w14:textFill>
        </w:rPr>
        <w:t>2</w:t>
      </w:r>
      <w:r>
        <w:rPr>
          <w:rFonts w:ascii="宋体" w:hAnsi="宋体"/>
          <w:color w:val="000000" w:themeColor="text1"/>
          <w:sz w:val="24"/>
          <w:szCs w:val="24"/>
          <w:highlight w:val="none"/>
          <w14:textFill>
            <w14:solidFill>
              <w14:schemeClr w14:val="tx1"/>
            </w14:solidFill>
          </w14:textFill>
        </w:rPr>
        <w:t>、潜在</w:t>
      </w:r>
      <w:r>
        <w:rPr>
          <w:rFonts w:hint="eastAsia" w:ascii="宋体" w:hAnsi="宋体"/>
          <w:color w:val="000000" w:themeColor="text1"/>
          <w:sz w:val="24"/>
          <w:szCs w:val="24"/>
          <w:highlight w:val="none"/>
          <w14:textFill>
            <w14:solidFill>
              <w14:schemeClr w14:val="tx1"/>
            </w14:solidFill>
          </w14:textFill>
        </w:rPr>
        <w:t>投标人</w:t>
      </w:r>
      <w:r>
        <w:rPr>
          <w:rFonts w:ascii="宋体" w:hAnsi="宋体"/>
          <w:color w:val="000000" w:themeColor="text1"/>
          <w:sz w:val="24"/>
          <w:szCs w:val="24"/>
          <w:highlight w:val="none"/>
          <w14:textFill>
            <w14:solidFill>
              <w14:schemeClr w14:val="tx1"/>
            </w14:solidFill>
          </w14:textFill>
        </w:rPr>
        <w:t>访问电子招标投标交易平台的网络地址和方法：</w:t>
      </w:r>
    </w:p>
    <w:p>
      <w:pPr>
        <w:spacing w:line="360" w:lineRule="auto"/>
        <w:ind w:firstLine="36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（1）登</w:t>
      </w:r>
      <w:r>
        <w:rPr>
          <w:rFonts w:ascii="宋体" w:hAnsi="宋体"/>
          <w:color w:val="000000" w:themeColor="text1"/>
          <w:sz w:val="24"/>
          <w:szCs w:val="24"/>
          <w:highlight w:val="none"/>
          <w:u w:val="none"/>
          <w14:textFill>
            <w14:solidFill>
              <w14:schemeClr w14:val="tx1"/>
            </w14:solidFill>
          </w14:textFill>
        </w:rPr>
        <w:t>录</w:t>
      </w:r>
      <w:r>
        <w:rPr>
          <w:highlight w:val="none"/>
          <w:u w:val="none"/>
        </w:rPr>
        <w:fldChar w:fldCharType="begin"/>
      </w:r>
      <w:r>
        <w:rPr>
          <w:highlight w:val="none"/>
          <w:u w:val="none"/>
        </w:rPr>
        <w:instrText xml:space="preserve"> HYPERLINK "http://jszfcg.jscz.gov.cn/jszc/login" </w:instrText>
      </w:r>
      <w:r>
        <w:rPr>
          <w:highlight w:val="none"/>
          <w:u w:val="none"/>
        </w:rPr>
        <w:fldChar w:fldCharType="separate"/>
      </w:r>
      <w:r>
        <w:rPr>
          <w:rStyle w:val="316"/>
          <w:rFonts w:ascii="宋体" w:hAnsi="宋体"/>
          <w:color w:val="000000" w:themeColor="text1"/>
          <w:sz w:val="24"/>
          <w:szCs w:val="24"/>
          <w:highlight w:val="none"/>
          <w:u w:val="none"/>
          <w14:textFill>
            <w14:solidFill>
              <w14:schemeClr w14:val="tx1"/>
            </w14:solidFill>
          </w14:textFill>
        </w:rPr>
        <w:t>http://jszfcg.jscz.gov.cn/jszc/login</w:t>
      </w:r>
      <w:r>
        <w:rPr>
          <w:rStyle w:val="316"/>
          <w:rFonts w:ascii="宋体" w:hAnsi="宋体"/>
          <w:color w:val="000000" w:themeColor="text1"/>
          <w:sz w:val="24"/>
          <w:szCs w:val="24"/>
          <w:highlight w:val="none"/>
          <w:u w:val="none"/>
          <w14:textFill>
            <w14:solidFill>
              <w14:schemeClr w14:val="tx1"/>
            </w14:solidFill>
          </w14:textFill>
        </w:rPr>
        <w:fldChar w:fldCharType="end"/>
      </w:r>
      <w:r>
        <w:rPr>
          <w:rFonts w:hint="eastAsia" w:ascii="宋体" w:hAnsi="宋体"/>
          <w:color w:val="000000" w:themeColor="text1"/>
          <w:sz w:val="24"/>
          <w:szCs w:val="24"/>
          <w:highlight w:val="none"/>
          <w:u w:val="none"/>
          <w14:textFill>
            <w14:solidFill>
              <w14:schemeClr w14:val="tx1"/>
            </w14:solidFill>
          </w14:textFill>
        </w:rPr>
        <w:t>（苏采云系统使</w:t>
      </w:r>
      <w:r>
        <w:rPr>
          <w:rFonts w:hint="eastAsia" w:ascii="宋体" w:hAnsi="宋体"/>
          <w:color w:val="000000" w:themeColor="text1"/>
          <w:sz w:val="24"/>
          <w:szCs w:val="24"/>
          <w:highlight w:val="none"/>
          <w14:textFill>
            <w14:solidFill>
              <w14:schemeClr w14:val="tx1"/>
            </w14:solidFill>
          </w14:textFill>
        </w:rPr>
        <w:t>用谷歌浏览器）</w:t>
      </w:r>
      <w:r>
        <w:rPr>
          <w:rFonts w:ascii="宋体" w:hAnsi="宋体"/>
          <w:color w:val="000000" w:themeColor="text1"/>
          <w:sz w:val="24"/>
          <w:szCs w:val="24"/>
          <w:highlight w:val="none"/>
          <w14:textFill>
            <w14:solidFill>
              <w14:schemeClr w14:val="tx1"/>
            </w14:solidFill>
          </w14:textFill>
        </w:rPr>
        <w:t>。</w:t>
      </w:r>
    </w:p>
    <w:p>
      <w:pPr>
        <w:spacing w:line="360" w:lineRule="auto"/>
        <w:ind w:firstLine="36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（2）获取招标文件的方式：“苏采云”系统用户注册--获取“CA数字证书”--CA绑定与登录--网上报名--下载招标文件(后缀名为</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.kedt’)。</w:t>
      </w:r>
    </w:p>
    <w:p>
      <w:pPr>
        <w:spacing w:line="360" w:lineRule="auto"/>
        <w:ind w:firstLine="48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3、CA数字证书的办理：</w:t>
      </w:r>
    </w:p>
    <w:p>
      <w:pPr>
        <w:spacing w:line="360" w:lineRule="auto"/>
        <w:ind w:firstLine="48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镇江地区意源（方正）C</w:t>
      </w:r>
      <w:r>
        <w:rPr>
          <w:rFonts w:ascii="宋体" w:hAnsi="宋体"/>
          <w:color w:val="000000" w:themeColor="text1"/>
          <w:sz w:val="24"/>
          <w:szCs w:val="28"/>
          <w:highlight w:val="none"/>
          <w14:textFill>
            <w14:solidFill>
              <w14:schemeClr w14:val="tx1"/>
            </w14:solidFill>
          </w14:textFill>
        </w:rPr>
        <w:t>A</w:t>
      </w:r>
      <w:r>
        <w:rPr>
          <w:rFonts w:hint="eastAsia" w:ascii="宋体" w:hAnsi="宋体"/>
          <w:color w:val="000000" w:themeColor="text1"/>
          <w:sz w:val="24"/>
          <w:szCs w:val="28"/>
          <w:highlight w:val="none"/>
          <w14:textFill>
            <w14:solidFill>
              <w14:schemeClr w14:val="tx1"/>
            </w14:solidFill>
          </w14:textFill>
        </w:rPr>
        <w:t>办理方式：镇江市润州区冠城路8号工人大厦7楼公共资源交易中心大厅CA窗口。</w:t>
      </w:r>
    </w:p>
    <w:p>
      <w:pPr>
        <w:spacing w:line="360" w:lineRule="auto"/>
        <w:ind w:firstLine="48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工作日办公时间：9:00-12:00、13:30-17:30。</w:t>
      </w:r>
    </w:p>
    <w:p>
      <w:pPr>
        <w:spacing w:line="360" w:lineRule="auto"/>
        <w:ind w:firstLine="48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联系人：邵娟，联系电话：13655287962。</w:t>
      </w:r>
    </w:p>
    <w:p>
      <w:pPr>
        <w:pStyle w:val="66"/>
        <w:rPr>
          <w:rFonts w:ascii="宋体" w:hAnsi="宋体"/>
          <w:color w:val="000000" w:themeColor="text1"/>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“苏采云”投标人操作手册可至镇江市公共资源交易—政府采购网下载中心下载。</w:t>
      </w:r>
    </w:p>
    <w:p>
      <w:pPr>
        <w:spacing w:line="360" w:lineRule="auto"/>
        <w:ind w:firstLine="48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4、招标文件(后缀名为“.kedt”)、投标人操作手册及政府采购客户端工具可通过“苏采云”系统--已报名项目--报名详情页面内相应链接进行下载。</w:t>
      </w:r>
    </w:p>
    <w:p>
      <w:pPr>
        <w:spacing w:line="360" w:lineRule="auto"/>
        <w:ind w:firstLine="48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5、招标代理机构将数据电文形式的招标</w:t>
      </w:r>
      <w:r>
        <w:rPr>
          <w:rFonts w:hint="eastAsia" w:ascii="宋体" w:hAnsi="宋体"/>
          <w:color w:val="000000" w:themeColor="text1"/>
          <w:sz w:val="24"/>
          <w:szCs w:val="28"/>
          <w:highlight w:val="none"/>
          <w14:textFill>
            <w14:solidFill>
              <w14:schemeClr w14:val="tx1"/>
            </w14:solidFill>
          </w14:textFill>
        </w:rPr>
        <w:t>文件</w:t>
      </w:r>
      <w:r>
        <w:rPr>
          <w:rFonts w:hint="eastAsia" w:ascii="宋体" w:hAnsi="宋体"/>
          <w:color w:val="000000" w:themeColor="text1"/>
          <w:sz w:val="24"/>
          <w:szCs w:val="28"/>
          <w:highlight w:val="none"/>
          <w14:textFill>
            <w14:solidFill>
              <w14:schemeClr w14:val="tx1"/>
            </w14:solidFill>
          </w14:textFill>
        </w:rPr>
        <w:t>加载至电子招标投标交易平台，供潜在投标人下载或者查阅，各投标人应在规定的时间内完成招标文件的下载，逾期可能会造成招标文件无法下载以及投标文件无法上传的情形，由此导致的后果由各投标人自行承担。</w:t>
      </w:r>
    </w:p>
    <w:bookmarkEnd w:id="20"/>
    <w:p>
      <w:pPr>
        <w:spacing w:line="360" w:lineRule="auto"/>
        <w:ind w:firstLine="480"/>
        <w:rPr>
          <w:rFonts w:ascii="宋体" w:hAnsi="宋体"/>
          <w:color w:val="000000" w:themeColor="text1"/>
          <w:sz w:val="24"/>
          <w:szCs w:val="28"/>
          <w:highlight w:val="none"/>
          <w14:textFill>
            <w14:solidFill>
              <w14:schemeClr w14:val="tx1"/>
            </w14:solidFill>
          </w14:textFill>
        </w:rPr>
      </w:pPr>
      <w:bookmarkStart w:id="22" w:name="_Hlk144975419"/>
      <w:r>
        <w:rPr>
          <w:rFonts w:hint="eastAsia" w:ascii="宋体" w:hAnsi="宋体"/>
          <w:color w:val="000000" w:themeColor="text1"/>
          <w:sz w:val="24"/>
          <w:szCs w:val="28"/>
          <w:highlight w:val="none"/>
          <w14:textFill>
            <w14:solidFill>
              <w14:schemeClr w14:val="tx1"/>
            </w14:solidFill>
          </w14:textFill>
        </w:rPr>
        <w:t>6、</w:t>
      </w:r>
      <w:r>
        <w:rPr>
          <w:rFonts w:hint="eastAsia" w:ascii="宋体" w:hAnsi="宋体"/>
          <w:color w:val="000000" w:themeColor="text1"/>
          <w:sz w:val="24"/>
          <w:szCs w:val="28"/>
          <w:highlight w:val="none"/>
          <w14:textFill>
            <w14:solidFill>
              <w14:schemeClr w14:val="tx1"/>
            </w14:solidFill>
          </w14:textFill>
        </w:rPr>
        <w:t>招标文件售价：</w:t>
      </w:r>
      <w:bookmarkStart w:id="23" w:name="EB263751bfbe2d462f84f54b87d73fe0c3"/>
      <w:r>
        <w:rPr>
          <w:rFonts w:hint="eastAsia" w:ascii="宋体" w:hAnsi="宋体"/>
          <w:color w:val="000000" w:themeColor="text1"/>
          <w:sz w:val="24"/>
          <w:szCs w:val="28"/>
          <w:highlight w:val="none"/>
          <w14:textFill>
            <w14:solidFill>
              <w14:schemeClr w14:val="tx1"/>
            </w14:solidFill>
          </w14:textFill>
        </w:rPr>
        <w:t>免费</w:t>
      </w:r>
      <w:bookmarkEnd w:id="23"/>
      <w:r>
        <w:rPr>
          <w:rFonts w:hint="eastAsia" w:ascii="宋体" w:hAnsi="宋体"/>
          <w:color w:val="000000" w:themeColor="text1"/>
          <w:sz w:val="24"/>
          <w:szCs w:val="28"/>
          <w:highlight w:val="none"/>
          <w14:textFill>
            <w14:solidFill>
              <w14:schemeClr w14:val="tx1"/>
            </w14:solidFill>
          </w14:textFill>
        </w:rPr>
        <w:t>。</w:t>
      </w:r>
    </w:p>
    <w:bookmarkEnd w:id="21"/>
    <w:bookmarkEnd w:id="22"/>
    <w:p>
      <w:pPr>
        <w:pStyle w:val="202"/>
        <w:spacing w:line="360" w:lineRule="auto"/>
        <w:ind w:left="-142"/>
        <w:jc w:val="both"/>
        <w:rPr>
          <w:rFonts w:ascii="宋体" w:hAnsi="宋体" w:eastAsia="宋体" w:cs="宋体"/>
          <w:bCs/>
          <w:color w:val="000000" w:themeColor="text1"/>
          <w:sz w:val="24"/>
          <w:szCs w:val="28"/>
          <w:highlight w:val="none"/>
          <w14:textFill>
            <w14:solidFill>
              <w14:schemeClr w14:val="tx1"/>
            </w14:solidFill>
          </w14:textFill>
        </w:rPr>
      </w:pPr>
      <w:bookmarkStart w:id="24" w:name="_Toc256000004"/>
      <w:bookmarkStart w:id="25" w:name="_Toc148961813"/>
      <w:bookmarkStart w:id="26" w:name="_Toc152531514"/>
      <w:bookmarkStart w:id="27" w:name="_Toc151931376"/>
      <w:r>
        <w:rPr>
          <w:rFonts w:hint="eastAsia" w:ascii="宋体" w:hAnsi="宋体" w:eastAsia="宋体" w:cs="宋体"/>
          <w:bCs/>
          <w:color w:val="000000" w:themeColor="text1"/>
          <w:sz w:val="24"/>
          <w:szCs w:val="28"/>
          <w:highlight w:val="none"/>
          <w14:textFill>
            <w14:solidFill>
              <w14:schemeClr w14:val="tx1"/>
            </w14:solidFill>
          </w14:textFill>
        </w:rPr>
        <w:t>四、提交投标文件截止时间、开标时间和地点</w:t>
      </w:r>
      <w:bookmarkEnd w:id="24"/>
      <w:bookmarkEnd w:id="25"/>
      <w:bookmarkEnd w:id="26"/>
      <w:bookmarkEnd w:id="27"/>
    </w:p>
    <w:p>
      <w:pPr>
        <w:spacing w:line="360" w:lineRule="auto"/>
        <w:ind w:firstLine="480"/>
        <w:rPr>
          <w:rFonts w:ascii="宋体" w:hAnsi="宋体"/>
          <w:bCs/>
          <w:color w:val="000000" w:themeColor="text1"/>
          <w:sz w:val="24"/>
          <w:szCs w:val="28"/>
          <w:highlight w:val="none"/>
          <w:u w:val="single"/>
          <w14:textFill>
            <w14:solidFill>
              <w14:schemeClr w14:val="tx1"/>
            </w14:solidFill>
          </w14:textFill>
        </w:rPr>
      </w:pPr>
      <w:r>
        <w:rPr>
          <w:rFonts w:hint="eastAsia" w:ascii="宋体" w:hAnsi="宋体"/>
          <w:bCs/>
          <w:color w:val="000000" w:themeColor="text1"/>
          <w:sz w:val="24"/>
          <w:szCs w:val="28"/>
          <w:highlight w:val="none"/>
          <w14:textFill>
            <w14:solidFill>
              <w14:schemeClr w14:val="tx1"/>
            </w14:solidFill>
          </w14:textFill>
        </w:rPr>
        <w:t>1、提交截止时间及开标时间：</w:t>
      </w:r>
      <w:bookmarkStart w:id="28" w:name="EB428f87493181411b9a39d0ec7414e136"/>
      <w:r>
        <w:rPr>
          <w:rFonts w:hint="eastAsia" w:ascii="宋体" w:hAnsi="宋体"/>
          <w:bCs/>
          <w:color w:val="000000" w:themeColor="text1"/>
          <w:sz w:val="24"/>
          <w:szCs w:val="28"/>
          <w:highlight w:val="none"/>
          <w14:textFill>
            <w14:solidFill>
              <w14:schemeClr w14:val="tx1"/>
            </w14:solidFill>
          </w14:textFill>
        </w:rPr>
        <w:t>2023-12-</w:t>
      </w:r>
      <w:r>
        <w:rPr>
          <w:rFonts w:ascii="宋体" w:hAnsi="宋体"/>
          <w:bCs/>
          <w:color w:val="000000" w:themeColor="text1"/>
          <w:sz w:val="24"/>
          <w:szCs w:val="28"/>
          <w:highlight w:val="none"/>
          <w14:textFill>
            <w14:solidFill>
              <w14:schemeClr w14:val="tx1"/>
            </w14:solidFill>
          </w14:textFill>
        </w:rPr>
        <w:t>2</w:t>
      </w:r>
      <w:r>
        <w:rPr>
          <w:rFonts w:hint="eastAsia" w:ascii="宋体" w:hAnsi="宋体"/>
          <w:bCs/>
          <w:color w:val="000000" w:themeColor="text1"/>
          <w:sz w:val="24"/>
          <w:szCs w:val="28"/>
          <w:highlight w:val="none"/>
          <w:lang w:val="en-US" w:eastAsia="zh-CN"/>
          <w14:textFill>
            <w14:solidFill>
              <w14:schemeClr w14:val="tx1"/>
            </w14:solidFill>
          </w14:textFill>
        </w:rPr>
        <w:t>8</w:t>
      </w:r>
      <w:r>
        <w:rPr>
          <w:rFonts w:hint="eastAsia" w:ascii="宋体" w:hAnsi="宋体"/>
          <w:bCs/>
          <w:color w:val="000000" w:themeColor="text1"/>
          <w:sz w:val="24"/>
          <w:szCs w:val="28"/>
          <w:highlight w:val="none"/>
          <w14:textFill>
            <w14:solidFill>
              <w14:schemeClr w14:val="tx1"/>
            </w14:solidFill>
          </w14:textFill>
        </w:rPr>
        <w:t xml:space="preserve"> 09:30</w:t>
      </w:r>
      <w:bookmarkEnd w:id="28"/>
      <w:r>
        <w:rPr>
          <w:rFonts w:hint="eastAsia" w:ascii="宋体" w:hAnsi="宋体"/>
          <w:bCs/>
          <w:color w:val="000000" w:themeColor="text1"/>
          <w:sz w:val="24"/>
          <w:szCs w:val="28"/>
          <w:highlight w:val="none"/>
          <w14:textFill>
            <w14:solidFill>
              <w14:schemeClr w14:val="tx1"/>
            </w14:solidFill>
          </w14:textFill>
        </w:rPr>
        <w:t>（</w:t>
      </w:r>
      <w:r>
        <w:rPr>
          <w:rFonts w:hint="eastAsia" w:ascii="宋体" w:hAnsi="宋体"/>
          <w:bCs/>
          <w:color w:val="000000" w:themeColor="text1"/>
          <w:sz w:val="24"/>
          <w:szCs w:val="28"/>
          <w:highlight w:val="none"/>
          <w14:textFill>
            <w14:solidFill>
              <w14:schemeClr w14:val="tx1"/>
            </w14:solidFill>
          </w14:textFill>
        </w:rPr>
        <w:t>北京时间）</w:t>
      </w:r>
    </w:p>
    <w:p>
      <w:pPr>
        <w:spacing w:line="360" w:lineRule="auto"/>
        <w:ind w:firstLine="48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2、提交地点：</w:t>
      </w:r>
      <w:r>
        <w:rPr>
          <w:rFonts w:hint="eastAsia" w:ascii="宋体" w:hAnsi="宋体"/>
          <w:color w:val="000000" w:themeColor="text1"/>
          <w:sz w:val="24"/>
          <w:szCs w:val="28"/>
          <w:highlight w:val="none"/>
          <w14:textFill>
            <w14:solidFill>
              <w14:schemeClr w14:val="tx1"/>
            </w14:solidFill>
          </w14:textFill>
        </w:rPr>
        <w:t>将后缀名为“.kedt”的投标文件导入政府采购客户端工具--制作投标文件--导出加密的投标文件(后缀名为zip)--通过“苏采云”系统上传投标文件。具体详见《江苏省政府采购管理交易系统(苏采云)投标人操作手册》。</w:t>
      </w:r>
    </w:p>
    <w:p>
      <w:pPr>
        <w:spacing w:line="360" w:lineRule="auto"/>
        <w:ind w:firstLine="48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3、开标地点：</w:t>
      </w:r>
      <w:r>
        <w:rPr>
          <w:rFonts w:hint="eastAsia" w:ascii="宋体" w:hAnsi="宋体" w:cs="宋体"/>
          <w:color w:val="000000" w:themeColor="text1"/>
          <w:sz w:val="24"/>
          <w:szCs w:val="28"/>
          <w:highlight w:val="none"/>
          <w14:textFill>
            <w14:solidFill>
              <w14:schemeClr w14:val="tx1"/>
            </w14:solidFill>
          </w14:textFill>
        </w:rPr>
        <w:t>“苏采云”系统（网址：http://jszfcg.jsczt.cn/）“开标大厅”进入系统“开标大厅”。</w:t>
      </w:r>
    </w:p>
    <w:p>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注意事项：</w:t>
      </w:r>
    </w:p>
    <w:p>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8"/>
          <w:highlight w:val="none"/>
          <w14:textFill>
            <w14:solidFill>
              <w14:schemeClr w14:val="tx1"/>
            </w14:solidFill>
          </w14:textFill>
        </w:rPr>
        <w:t>1、</w:t>
      </w:r>
      <w:r>
        <w:rPr>
          <w:rFonts w:hint="eastAsia" w:ascii="宋体" w:hAnsi="宋体"/>
          <w:color w:val="000000" w:themeColor="text1"/>
          <w:sz w:val="24"/>
          <w:szCs w:val="24"/>
          <w:highlight w:val="none"/>
          <w14:textFill>
            <w14:solidFill>
              <w14:schemeClr w14:val="tx1"/>
            </w14:solidFill>
          </w14:textFill>
        </w:rPr>
        <w:t>本项目通过电子交易平台进行采购，投标人须通过“苏采云”系统制作并提交投标文件。截至投标截止时间，电子交易平台投标通道将关闭，投标人未完成电子投标文件有效提交的，其投标将被拒绝。</w:t>
      </w:r>
    </w:p>
    <w:p>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8"/>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本项目采用网上开标方式，请投标人事先做好电脑环境准备，自行选择互联网连接畅通的场地，在规定的开标时间登录网上开标大厅进行投标文件解密。</w:t>
      </w:r>
    </w:p>
    <w:p>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8"/>
          <w:highlight w:val="none"/>
          <w14:textFill>
            <w14:solidFill>
              <w14:schemeClr w14:val="tx1"/>
            </w14:solidFill>
          </w14:textFill>
        </w:rPr>
        <w:t>3、</w:t>
      </w:r>
      <w:r>
        <w:rPr>
          <w:rFonts w:hint="eastAsia" w:ascii="宋体" w:hAnsi="宋体"/>
          <w:color w:val="000000" w:themeColor="text1"/>
          <w:sz w:val="24"/>
          <w:szCs w:val="24"/>
          <w:highlight w:val="none"/>
          <w14:textFill>
            <w14:solidFill>
              <w14:schemeClr w14:val="tx1"/>
            </w14:solidFill>
          </w14:textFill>
        </w:rPr>
        <w:t>不见面交易相关要求和说明如下：</w:t>
      </w:r>
    </w:p>
    <w:p>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（1）不见面开标项目的时间均以国家授时中心发布的时间为准；</w:t>
      </w:r>
    </w:p>
    <w:p>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（2）开标当日，投标人不必抵达开标现场，仅需在任意地点通过“苏采云”系统（网址：http://jszfcg.jsczt.cn/）“开标大厅”进入系统“开标大厅”参与开标过程；</w:t>
      </w:r>
    </w:p>
    <w:p>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p>
    <w:p>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投标文件递交截止时间后，招标人或招标代理机构将在系统内公布投标人名单然后通过开标会议区发出投标文件解密的指令，投标人在各自地点按规定时间自行实施远程解密，投标人解密限定在投标截止时间后</w:t>
      </w:r>
      <w:r>
        <w:rPr>
          <w:rFonts w:ascii="宋体" w:hAnsi="宋体"/>
          <w:color w:val="000000" w:themeColor="text1"/>
          <w:sz w:val="24"/>
          <w:szCs w:val="28"/>
          <w:highlight w:val="none"/>
          <w14:textFill>
            <w14:solidFill>
              <w14:schemeClr w14:val="tx1"/>
            </w14:solidFill>
          </w14:textFill>
        </w:rPr>
        <w:t>30</w:t>
      </w:r>
      <w:r>
        <w:rPr>
          <w:rFonts w:hint="eastAsia" w:ascii="宋体" w:hAnsi="宋体"/>
          <w:color w:val="000000" w:themeColor="text1"/>
          <w:sz w:val="24"/>
          <w:szCs w:val="24"/>
          <w:highlight w:val="none"/>
          <w14:textFill>
            <w14:solidFill>
              <w14:schemeClr w14:val="tx1"/>
            </w14:solidFill>
          </w14:textFill>
        </w:rPr>
        <w:t>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p>
    <w:p>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（5）因投标人自身软硬件配备不齐全或发生故障等问题而导致在交互过程中出现不稳定或中断等情况的，由投标人自行承担一切后果。</w:t>
      </w:r>
    </w:p>
    <w:p>
      <w:pPr>
        <w:pStyle w:val="202"/>
        <w:spacing w:line="360" w:lineRule="auto"/>
        <w:ind w:left="-142"/>
        <w:jc w:val="both"/>
        <w:rPr>
          <w:rFonts w:ascii="宋体" w:hAnsi="宋体" w:eastAsia="宋体" w:cs="宋体"/>
          <w:bCs/>
          <w:color w:val="000000" w:themeColor="text1"/>
          <w:sz w:val="24"/>
          <w:szCs w:val="28"/>
          <w:highlight w:val="none"/>
          <w14:textFill>
            <w14:solidFill>
              <w14:schemeClr w14:val="tx1"/>
            </w14:solidFill>
          </w14:textFill>
        </w:rPr>
      </w:pPr>
      <w:bookmarkStart w:id="29" w:name="_Toc151931377"/>
      <w:bookmarkStart w:id="30" w:name="_Toc148961814"/>
      <w:bookmarkStart w:id="31" w:name="_Toc152531515"/>
      <w:bookmarkStart w:id="32" w:name="_Toc256000005"/>
      <w:r>
        <w:rPr>
          <w:rFonts w:hint="eastAsia" w:ascii="宋体" w:hAnsi="宋体" w:eastAsia="宋体" w:cs="宋体"/>
          <w:bCs/>
          <w:color w:val="000000" w:themeColor="text1"/>
          <w:sz w:val="24"/>
          <w:szCs w:val="28"/>
          <w:highlight w:val="none"/>
          <w14:textFill>
            <w14:solidFill>
              <w14:schemeClr w14:val="tx1"/>
            </w14:solidFill>
          </w14:textFill>
        </w:rPr>
        <w:t>五、公告期限</w:t>
      </w:r>
      <w:bookmarkEnd w:id="29"/>
      <w:bookmarkEnd w:id="30"/>
      <w:bookmarkEnd w:id="31"/>
      <w:bookmarkEnd w:id="32"/>
    </w:p>
    <w:p>
      <w:pPr>
        <w:spacing w:line="360" w:lineRule="auto"/>
        <w:ind w:firstLine="480"/>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自本公告发布之日起5个工作日。</w:t>
      </w:r>
    </w:p>
    <w:p>
      <w:pPr>
        <w:pStyle w:val="202"/>
        <w:spacing w:line="360" w:lineRule="auto"/>
        <w:ind w:left="-142"/>
        <w:jc w:val="both"/>
        <w:rPr>
          <w:rFonts w:ascii="宋体" w:hAnsi="宋体" w:eastAsia="宋体" w:cs="宋体"/>
          <w:bCs/>
          <w:color w:val="000000" w:themeColor="text1"/>
          <w:sz w:val="24"/>
          <w:szCs w:val="28"/>
          <w:highlight w:val="none"/>
          <w14:textFill>
            <w14:solidFill>
              <w14:schemeClr w14:val="tx1"/>
            </w14:solidFill>
          </w14:textFill>
        </w:rPr>
      </w:pPr>
      <w:bookmarkStart w:id="33" w:name="_Toc151931378"/>
      <w:bookmarkStart w:id="34" w:name="_Toc256000006"/>
      <w:bookmarkStart w:id="35" w:name="_Toc148961815"/>
      <w:bookmarkStart w:id="36" w:name="_Toc152531516"/>
      <w:r>
        <w:rPr>
          <w:rFonts w:hint="eastAsia" w:ascii="宋体" w:hAnsi="宋体" w:eastAsia="宋体" w:cs="宋体"/>
          <w:bCs/>
          <w:color w:val="000000" w:themeColor="text1"/>
          <w:sz w:val="24"/>
          <w:szCs w:val="28"/>
          <w:highlight w:val="none"/>
          <w14:textFill>
            <w14:solidFill>
              <w14:schemeClr w14:val="tx1"/>
            </w14:solidFill>
          </w14:textFill>
        </w:rPr>
        <w:t>六、其他补充事宜</w:t>
      </w:r>
      <w:bookmarkEnd w:id="33"/>
      <w:bookmarkEnd w:id="34"/>
      <w:bookmarkEnd w:id="35"/>
      <w:bookmarkEnd w:id="36"/>
    </w:p>
    <w:p>
      <w:pPr>
        <w:spacing w:line="360" w:lineRule="auto"/>
        <w:ind w:firstLine="480"/>
        <w:jc w:val="left"/>
        <w:rPr>
          <w:rFonts w:ascii="宋体" w:hAnsi="宋体" w:cs="宋体"/>
          <w:color w:val="000000" w:themeColor="text1"/>
          <w:sz w:val="24"/>
          <w:szCs w:val="28"/>
          <w:highlight w:val="none"/>
          <w14:textFill>
            <w14:solidFill>
              <w14:schemeClr w14:val="tx1"/>
            </w14:solidFill>
          </w14:textFill>
        </w:rPr>
      </w:pPr>
      <w:bookmarkStart w:id="37" w:name="_Hlk144975269"/>
      <w:r>
        <w:rPr>
          <w:rFonts w:hint="eastAsia" w:ascii="宋体" w:hAnsi="宋体" w:cs="宋体"/>
          <w:color w:val="000000" w:themeColor="text1"/>
          <w:sz w:val="24"/>
          <w:szCs w:val="28"/>
          <w:highlight w:val="none"/>
          <w14:textFill>
            <w14:solidFill>
              <w14:schemeClr w14:val="tx1"/>
            </w14:solidFill>
          </w14:textFill>
        </w:rPr>
        <w:t xml:space="preserve">1、投标人请随时关注江苏政府采购网 </w:t>
      </w:r>
      <w:r>
        <w:rPr>
          <w:highlight w:val="none"/>
        </w:rPr>
        <w:fldChar w:fldCharType="begin"/>
      </w:r>
      <w:r>
        <w:rPr>
          <w:highlight w:val="none"/>
        </w:rPr>
        <w:instrText xml:space="preserve"> HYPERLINK "http://www.ccgp-jiangsu.gov.cn/发布的更正公告，如因未关注更正公告发生的任何问题，由投标人自行承担一切后果。" </w:instrText>
      </w:r>
      <w:r>
        <w:rPr>
          <w:highlight w:val="none"/>
        </w:rPr>
        <w:fldChar w:fldCharType="separate"/>
      </w:r>
      <w:r>
        <w:rPr>
          <w:rStyle w:val="45"/>
          <w:rFonts w:ascii="宋体" w:hAnsi="宋体" w:cs="宋体"/>
          <w:color w:val="000000" w:themeColor="text1"/>
          <w:sz w:val="24"/>
          <w:szCs w:val="28"/>
          <w:highlight w:val="none"/>
          <w:u w:val="none"/>
          <w14:textFill>
            <w14:solidFill>
              <w14:schemeClr w14:val="tx1"/>
            </w14:solidFill>
          </w14:textFill>
        </w:rPr>
        <w:t>http://www.ccgp-jiangsu.gov.cn/</w:t>
      </w:r>
      <w:r>
        <w:rPr>
          <w:rFonts w:hint="eastAsia" w:ascii="宋体" w:hAnsi="宋体" w:cs="宋体"/>
          <w:color w:val="000000" w:themeColor="text1"/>
          <w:sz w:val="24"/>
          <w:szCs w:val="28"/>
          <w:highlight w:val="none"/>
          <w14:textFill>
            <w14:solidFill>
              <w14:schemeClr w14:val="tx1"/>
            </w14:solidFill>
          </w14:textFill>
        </w:rPr>
        <w:t>发布的更正公告，如因未关注更正公告发生的任何问题，由投标人自行承担一切后果。</w:t>
      </w:r>
      <w:r>
        <w:rPr>
          <w:rFonts w:hint="eastAsia" w:ascii="宋体" w:hAnsi="宋体" w:cs="宋体"/>
          <w:color w:val="000000" w:themeColor="text1"/>
          <w:sz w:val="24"/>
          <w:szCs w:val="28"/>
          <w:highlight w:val="none"/>
          <w14:textFill>
            <w14:solidFill>
              <w14:schemeClr w14:val="tx1"/>
            </w14:solidFill>
          </w14:textFill>
        </w:rPr>
        <w:fldChar w:fldCharType="end"/>
      </w:r>
    </w:p>
    <w:p>
      <w:pPr>
        <w:spacing w:line="360" w:lineRule="auto"/>
        <w:ind w:firstLine="480"/>
        <w:jc w:val="left"/>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2、本项目招标人</w:t>
      </w:r>
      <w:r>
        <w:rPr>
          <w:rFonts w:ascii="宋体" w:hAnsi="宋体" w:cs="宋体"/>
          <w:color w:val="000000" w:themeColor="text1"/>
          <w:sz w:val="24"/>
          <w:szCs w:val="28"/>
          <w:highlight w:val="none"/>
          <w14:textFill>
            <w14:solidFill>
              <w14:schemeClr w14:val="tx1"/>
            </w14:solidFill>
          </w14:textFill>
        </w:rPr>
        <w:t>不组织现场</w:t>
      </w:r>
      <w:r>
        <w:rPr>
          <w:rFonts w:hint="eastAsia" w:ascii="宋体" w:hAnsi="宋体" w:cs="宋体"/>
          <w:color w:val="000000" w:themeColor="text1"/>
          <w:sz w:val="24"/>
          <w:szCs w:val="28"/>
          <w:highlight w:val="none"/>
          <w14:textFill>
            <w14:solidFill>
              <w14:schemeClr w14:val="tx1"/>
            </w14:solidFill>
          </w14:textFill>
        </w:rPr>
        <w:t>集中</w:t>
      </w:r>
      <w:r>
        <w:rPr>
          <w:rFonts w:ascii="宋体" w:hAnsi="宋体" w:cs="宋体"/>
          <w:color w:val="000000" w:themeColor="text1"/>
          <w:sz w:val="24"/>
          <w:szCs w:val="28"/>
          <w:highlight w:val="none"/>
          <w14:textFill>
            <w14:solidFill>
              <w14:schemeClr w14:val="tx1"/>
            </w14:solidFill>
          </w14:textFill>
        </w:rPr>
        <w:t>踏勘。投标人如有必要可自行前往现场考察</w:t>
      </w:r>
      <w:r>
        <w:rPr>
          <w:rFonts w:hint="eastAsia" w:ascii="宋体" w:hAnsi="宋体" w:cs="宋体"/>
          <w:color w:val="000000" w:themeColor="text1"/>
          <w:sz w:val="24"/>
          <w:szCs w:val="28"/>
          <w:highlight w:val="none"/>
          <w14:textFill>
            <w14:solidFill>
              <w14:schemeClr w14:val="tx1"/>
            </w14:solidFill>
          </w14:textFill>
        </w:rPr>
        <w:t>，</w:t>
      </w:r>
      <w:r>
        <w:rPr>
          <w:rFonts w:ascii="宋体" w:hAnsi="宋体" w:cs="宋体"/>
          <w:color w:val="000000" w:themeColor="text1"/>
          <w:sz w:val="24"/>
          <w:szCs w:val="28"/>
          <w:highlight w:val="none"/>
          <w14:textFill>
            <w14:solidFill>
              <w14:schemeClr w14:val="tx1"/>
            </w14:solidFill>
          </w14:textFill>
        </w:rPr>
        <w:t>发生费用自理。</w:t>
      </w:r>
    </w:p>
    <w:bookmarkEnd w:id="37"/>
    <w:p>
      <w:pPr>
        <w:pStyle w:val="202"/>
        <w:spacing w:line="360" w:lineRule="auto"/>
        <w:ind w:left="-142"/>
        <w:jc w:val="both"/>
        <w:rPr>
          <w:rFonts w:ascii="宋体" w:hAnsi="宋体" w:eastAsia="宋体" w:cs="宋体"/>
          <w:bCs/>
          <w:color w:val="000000" w:themeColor="text1"/>
          <w:sz w:val="24"/>
          <w:szCs w:val="28"/>
          <w:highlight w:val="none"/>
          <w14:textFill>
            <w14:solidFill>
              <w14:schemeClr w14:val="tx1"/>
            </w14:solidFill>
          </w14:textFill>
        </w:rPr>
      </w:pPr>
      <w:bookmarkStart w:id="38" w:name="_Toc151931379"/>
      <w:bookmarkStart w:id="39" w:name="_Toc148961816"/>
      <w:bookmarkStart w:id="40" w:name="_Toc256000007"/>
      <w:bookmarkStart w:id="41" w:name="_Toc152531517"/>
      <w:r>
        <w:rPr>
          <w:rFonts w:hint="eastAsia" w:ascii="宋体" w:hAnsi="宋体" w:eastAsia="宋体" w:cs="宋体"/>
          <w:bCs/>
          <w:color w:val="000000" w:themeColor="text1"/>
          <w:sz w:val="24"/>
          <w:szCs w:val="28"/>
          <w:highlight w:val="none"/>
          <w14:textFill>
            <w14:solidFill>
              <w14:schemeClr w14:val="tx1"/>
            </w14:solidFill>
          </w14:textFill>
        </w:rPr>
        <w:t>七、对本次招标提出询问，请按以下方式联系。</w:t>
      </w:r>
      <w:bookmarkEnd w:id="38"/>
      <w:bookmarkEnd w:id="39"/>
      <w:bookmarkEnd w:id="40"/>
      <w:bookmarkEnd w:id="41"/>
    </w:p>
    <w:p>
      <w:pPr>
        <w:adjustRightInd w:val="0"/>
        <w:snapToGrid w:val="0"/>
        <w:spacing w:line="360" w:lineRule="auto"/>
        <w:ind w:left="720" w:leftChars="200" w:hanging="300"/>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1、招标人信息</w:t>
      </w:r>
    </w:p>
    <w:p>
      <w:pPr>
        <w:adjustRightInd w:val="0"/>
        <w:snapToGrid w:val="0"/>
        <w:spacing w:line="360" w:lineRule="auto"/>
        <w:ind w:left="720" w:leftChars="200" w:hanging="30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名称：镇江市环境卫生管理服务中心</w:t>
      </w:r>
    </w:p>
    <w:p>
      <w:pPr>
        <w:adjustRightInd w:val="0"/>
        <w:snapToGrid w:val="0"/>
        <w:spacing w:line="360" w:lineRule="auto"/>
        <w:ind w:left="720" w:leftChars="200" w:hanging="30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地址：</w:t>
      </w:r>
      <w:r>
        <w:rPr>
          <w:rFonts w:hint="eastAsia" w:ascii="宋体" w:hAnsi="宋体"/>
          <w:color w:val="000000" w:themeColor="text1"/>
          <w:sz w:val="24"/>
          <w:szCs w:val="28"/>
          <w:highlight w:val="none"/>
          <w14:textFill>
            <w14:solidFill>
              <w14:schemeClr w14:val="tx1"/>
            </w14:solidFill>
          </w14:textFill>
        </w:rPr>
        <w:t>镇江市运河路47号</w:t>
      </w:r>
    </w:p>
    <w:p>
      <w:pPr>
        <w:adjustRightInd w:val="0"/>
        <w:snapToGrid w:val="0"/>
        <w:spacing w:line="360" w:lineRule="auto"/>
        <w:ind w:left="720" w:leftChars="200" w:hanging="30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电话：0511-84402889</w:t>
      </w:r>
    </w:p>
    <w:p>
      <w:pPr>
        <w:adjustRightInd w:val="0"/>
        <w:snapToGrid w:val="0"/>
        <w:spacing w:line="360" w:lineRule="auto"/>
        <w:ind w:left="720" w:leftChars="200" w:hanging="300"/>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2、招标代理机构信息</w:t>
      </w:r>
    </w:p>
    <w:p>
      <w:pPr>
        <w:adjustRightInd w:val="0"/>
        <w:snapToGrid w:val="0"/>
        <w:spacing w:line="360" w:lineRule="auto"/>
        <w:ind w:left="720" w:leftChars="200" w:hanging="30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名称：江苏巍信项目管理有限公司</w:t>
      </w:r>
    </w:p>
    <w:p>
      <w:pPr>
        <w:adjustRightInd w:val="0"/>
        <w:snapToGrid w:val="0"/>
        <w:spacing w:line="360" w:lineRule="auto"/>
        <w:ind w:left="720" w:leftChars="200" w:hanging="30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地址：镇江市润州区常发广场6号1313室</w:t>
      </w:r>
    </w:p>
    <w:p>
      <w:pPr>
        <w:adjustRightInd w:val="0"/>
        <w:snapToGrid w:val="0"/>
        <w:spacing w:line="360" w:lineRule="auto"/>
        <w:ind w:left="720" w:leftChars="200" w:hanging="30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联系方式：0511-85906696</w:t>
      </w:r>
    </w:p>
    <w:p>
      <w:pPr>
        <w:adjustRightInd w:val="0"/>
        <w:snapToGrid w:val="0"/>
        <w:spacing w:line="360" w:lineRule="auto"/>
        <w:ind w:left="720" w:leftChars="200" w:hanging="300"/>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3、项目联系方式</w:t>
      </w:r>
    </w:p>
    <w:p>
      <w:pPr>
        <w:adjustRightInd w:val="0"/>
        <w:snapToGrid w:val="0"/>
        <w:spacing w:line="360" w:lineRule="auto"/>
        <w:ind w:left="720" w:leftChars="200" w:hanging="30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项目联系人：</w:t>
      </w:r>
      <w:r>
        <w:rPr>
          <w:rFonts w:hint="eastAsia" w:ascii="宋体" w:hAnsi="宋体"/>
          <w:color w:val="000000" w:themeColor="text1"/>
          <w:sz w:val="24"/>
          <w:szCs w:val="28"/>
          <w:highlight w:val="none"/>
          <w14:textFill>
            <w14:solidFill>
              <w14:schemeClr w14:val="tx1"/>
            </w14:solidFill>
          </w14:textFill>
        </w:rPr>
        <w:t>郭工</w:t>
      </w:r>
    </w:p>
    <w:p>
      <w:pPr>
        <w:adjustRightInd w:val="0"/>
        <w:snapToGrid w:val="0"/>
        <w:spacing w:line="360" w:lineRule="auto"/>
        <w:ind w:left="720" w:leftChars="200" w:hanging="30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电 话：0511-85906696</w:t>
      </w:r>
    </w:p>
    <w:p>
      <w:pPr>
        <w:pStyle w:val="202"/>
        <w:spacing w:line="360" w:lineRule="auto"/>
        <w:ind w:left="-142"/>
        <w:jc w:val="both"/>
        <w:rPr>
          <w:rFonts w:ascii="宋体" w:hAnsi="宋体" w:eastAsia="宋体" w:cs="宋体"/>
          <w:bCs/>
          <w:color w:val="000000" w:themeColor="text1"/>
          <w:sz w:val="24"/>
          <w:szCs w:val="28"/>
          <w:highlight w:val="none"/>
          <w14:textFill>
            <w14:solidFill>
              <w14:schemeClr w14:val="tx1"/>
            </w14:solidFill>
          </w14:textFill>
        </w:rPr>
      </w:pPr>
      <w:bookmarkStart w:id="42" w:name="_Toc152531518"/>
      <w:bookmarkStart w:id="43" w:name="_Toc148961817"/>
      <w:bookmarkStart w:id="44" w:name="_Toc256000008"/>
      <w:bookmarkStart w:id="45" w:name="_Toc151931380"/>
      <w:r>
        <w:rPr>
          <w:rFonts w:hint="eastAsia" w:ascii="宋体" w:hAnsi="宋体" w:eastAsia="宋体" w:cs="宋体"/>
          <w:bCs/>
          <w:color w:val="000000" w:themeColor="text1"/>
          <w:sz w:val="24"/>
          <w:szCs w:val="28"/>
          <w:highlight w:val="none"/>
          <w14:textFill>
            <w14:solidFill>
              <w14:schemeClr w14:val="tx1"/>
            </w14:solidFill>
          </w14:textFill>
        </w:rPr>
        <w:t>八、投标注意事项</w:t>
      </w:r>
      <w:bookmarkEnd w:id="42"/>
      <w:bookmarkEnd w:id="43"/>
      <w:bookmarkEnd w:id="44"/>
      <w:bookmarkEnd w:id="45"/>
    </w:p>
    <w:p>
      <w:pPr>
        <w:spacing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6" w:name="EBf4663ba5e9a84929b2f417e3d1a001d9"/>
      <w:r>
        <w:rPr>
          <w:rFonts w:hint="eastAsia" w:ascii="宋体" w:hAnsi="宋体"/>
          <w:color w:val="000000" w:themeColor="text1"/>
          <w:sz w:val="24"/>
          <w:szCs w:val="24"/>
          <w:highlight w:val="none"/>
          <w14:textFill>
            <w14:solidFill>
              <w14:schemeClr w14:val="tx1"/>
            </w14:solidFill>
          </w14:textFill>
        </w:rPr>
        <w:t>本项目通过电子交易平台进行采购，请在投标前详细阅读“苏采云”平台操作指南；投标人在使用系统进行投标的过程中如遇到涉及平台使用的任何问题，应在工作日上午9：00-12:00</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下午13:30-17:30期间致电技术支持热线咨询，苏采云系统联系方式：</w:t>
      </w:r>
      <w:r>
        <w:rPr>
          <w:rFonts w:hint="eastAsia" w:ascii="宋体" w:hAnsi="宋体"/>
          <w:color w:val="000000" w:themeColor="text1"/>
          <w:sz w:val="24"/>
          <w:szCs w:val="24"/>
          <w:highlight w:val="none"/>
          <w14:textFill>
            <w14:solidFill>
              <w14:schemeClr w14:val="tx1"/>
            </w14:solidFill>
          </w14:textFill>
        </w:rPr>
        <w:t>0519-86722803（参见平台首页“联系客服”）</w:t>
      </w:r>
      <w:r>
        <w:rPr>
          <w:rFonts w:hint="eastAsia" w:ascii="宋体" w:hAnsi="宋体"/>
          <w:color w:val="000000" w:themeColor="text1"/>
          <w:sz w:val="24"/>
          <w:szCs w:val="24"/>
          <w:highlight w:val="none"/>
          <w14:textFill>
            <w14:solidFill>
              <w14:schemeClr w14:val="tx1"/>
            </w14:solidFill>
          </w14:textFill>
        </w:rPr>
        <w:t>。</w:t>
      </w:r>
      <w:bookmarkStart w:id="166" w:name="_GoBack"/>
      <w:bookmarkEnd w:id="166"/>
    </w:p>
    <w:bookmarkEnd w:id="46"/>
    <w:p>
      <w:pPr>
        <w:pStyle w:val="1301"/>
        <w:keepNext/>
        <w:keepLines/>
        <w:pageBreakBefore/>
        <w:widowControl w:val="0"/>
        <w:ind w:left="0" w:firstLine="0"/>
        <w:jc w:val="center"/>
        <w:rPr>
          <w:rFonts w:ascii="宋体" w:eastAsia="宋体"/>
          <w:color w:val="000000" w:themeColor="text1"/>
          <w:highlight w:val="none"/>
          <w14:textFill>
            <w14:solidFill>
              <w14:schemeClr w14:val="tx1"/>
            </w14:solidFill>
          </w14:textFill>
        </w:rPr>
      </w:pPr>
      <w:bookmarkStart w:id="47" w:name="_Toc152531519"/>
      <w:r>
        <w:rPr>
          <w:rFonts w:hint="eastAsia" w:ascii="宋体" w:eastAsia="宋体"/>
          <w:color w:val="000000" w:themeColor="text1"/>
          <w:highlight w:val="none"/>
          <w14:textFill>
            <w14:solidFill>
              <w14:schemeClr w14:val="tx1"/>
            </w14:solidFill>
          </w14:textFill>
        </w:rPr>
        <w:t>第二部分  投标人须知</w:t>
      </w:r>
      <w:bookmarkEnd w:id="47"/>
    </w:p>
    <w:p>
      <w:pPr>
        <w:pStyle w:val="5"/>
        <w:keepNext w:val="0"/>
        <w:keepLines w:val="0"/>
        <w:adjustRightInd w:val="0"/>
        <w:snapToGrid w:val="0"/>
        <w:spacing w:before="0" w:after="0" w:line="360" w:lineRule="auto"/>
        <w:jc w:val="center"/>
        <w:rPr>
          <w:rFonts w:ascii="宋体" w:hAnsi="宋体" w:eastAsia="宋体" w:cs="宋体"/>
          <w:b/>
          <w:color w:val="000000" w:themeColor="text1"/>
          <w:kern w:val="2"/>
          <w:sz w:val="36"/>
          <w:szCs w:val="24"/>
          <w:highlight w:val="none"/>
          <w14:textFill>
            <w14:solidFill>
              <w14:schemeClr w14:val="tx1"/>
            </w14:solidFill>
          </w14:textFill>
        </w:rPr>
      </w:pPr>
      <w:bookmarkStart w:id="48" w:name="_Toc256000010"/>
      <w:bookmarkStart w:id="49" w:name="_Toc148961819"/>
      <w:r>
        <w:rPr>
          <w:rFonts w:hint="eastAsia" w:ascii="宋体" w:hAnsi="宋体" w:eastAsia="宋体" w:cs="宋体"/>
          <w:b/>
          <w:color w:val="000000" w:themeColor="text1"/>
          <w:kern w:val="2"/>
          <w:sz w:val="36"/>
          <w:szCs w:val="24"/>
          <w:highlight w:val="none"/>
          <w14:textFill>
            <w14:solidFill>
              <w14:schemeClr w14:val="tx1"/>
            </w14:solidFill>
          </w14:textFill>
        </w:rPr>
        <w:t>前附表</w:t>
      </w:r>
    </w:p>
    <w:tbl>
      <w:tblPr>
        <w:tblStyle w:val="3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1765"/>
        <w:gridCol w:w="60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pPr>
              <w:jc w:val="cente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序号</w:t>
            </w:r>
          </w:p>
        </w:tc>
        <w:tc>
          <w:tcPr>
            <w:tcW w:w="1035" w:type="pct"/>
            <w:vAlign w:val="center"/>
          </w:tcPr>
          <w:p>
            <w:pPr>
              <w:jc w:val="cente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事项</w:t>
            </w:r>
          </w:p>
        </w:tc>
        <w:tc>
          <w:tcPr>
            <w:tcW w:w="3540" w:type="pct"/>
            <w:vAlign w:val="center"/>
          </w:tcPr>
          <w:p>
            <w:pPr>
              <w:jc w:val="cente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本项目规定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pPr>
              <w:jc w:val="cente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1</w:t>
            </w:r>
          </w:p>
        </w:tc>
        <w:tc>
          <w:tcPr>
            <w:tcW w:w="1035" w:type="pct"/>
            <w:vAlign w:val="center"/>
          </w:tcPr>
          <w:p>
            <w:pPr>
              <w:jc w:val="cente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报价要求</w:t>
            </w:r>
          </w:p>
        </w:tc>
        <w:tc>
          <w:tcPr>
            <w:tcW w:w="3540" w:type="pct"/>
            <w:vAlign w:val="center"/>
          </w:tcPr>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本次投标报价的币种为人民币。</w:t>
            </w:r>
          </w:p>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投标人应按招标文件所提供的各报价表格式报价。</w:t>
            </w:r>
          </w:p>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投标人应对本项目报出最具有竞争力的价格，应包括本次招标要求提供的服务（货物）已支付或将支付的所有费用（含税费）。</w:t>
            </w:r>
          </w:p>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最低投标报价不能作为中标的保证。</w:t>
            </w:r>
          </w:p>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中标价即为合同签约价。</w:t>
            </w:r>
          </w:p>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如出现报价前后不一致的，将按招标文件第五部分“评标办法和标准”第5项规定进行修正。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3" w:type="pct"/>
            <w:vAlign w:val="center"/>
          </w:tcPr>
          <w:p>
            <w:pPr>
              <w:jc w:val="cente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2</w:t>
            </w:r>
          </w:p>
        </w:tc>
        <w:tc>
          <w:tcPr>
            <w:tcW w:w="1035" w:type="pct"/>
            <w:vAlign w:val="center"/>
          </w:tcPr>
          <w:p>
            <w:pPr>
              <w:jc w:val="cente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转包及分包</w:t>
            </w:r>
          </w:p>
        </w:tc>
        <w:tc>
          <w:tcPr>
            <w:tcW w:w="3540" w:type="pct"/>
            <w:vAlign w:val="center"/>
          </w:tcPr>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项目依法不得转包</w:t>
            </w:r>
          </w:p>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sym w:font="Wingdings 2" w:char="0052"/>
            </w:r>
            <w:r>
              <w:rPr>
                <w:rFonts w:hint="eastAsia" w:ascii="宋体" w:hAnsi="宋体" w:cs="宋体"/>
                <w:color w:val="000000" w:themeColor="text1"/>
                <w:kern w:val="2"/>
                <w:sz w:val="24"/>
                <w:szCs w:val="24"/>
                <w:highlight w:val="none"/>
                <w14:textFill>
                  <w14:solidFill>
                    <w14:schemeClr w14:val="tx1"/>
                  </w14:solidFill>
                </w14:textFill>
              </w:rPr>
              <w:t>A本项目不同意分包。</w:t>
            </w:r>
          </w:p>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sym w:font="Wingdings 2" w:char="00A3"/>
            </w:r>
            <w:r>
              <w:rPr>
                <w:rFonts w:hint="eastAsia" w:ascii="宋体" w:hAnsi="宋体" w:cs="宋体"/>
                <w:color w:val="000000" w:themeColor="text1"/>
                <w:kern w:val="2"/>
                <w:sz w:val="24"/>
                <w:szCs w:val="24"/>
                <w:highlight w:val="none"/>
                <w14:textFill>
                  <w14:solidFill>
                    <w14:schemeClr w14:val="tx1"/>
                  </w14:solidFill>
                </w14:textFill>
              </w:rPr>
              <w:t>B同意将非主体、非关键性的工作分包。投标人应当在投标文件中载明分包承担主体，分包承担主体应当具备相应资质条件且不得再次分包。</w:t>
            </w:r>
            <w:r>
              <w:rPr>
                <w:rFonts w:hint="eastAsia" w:ascii="宋体" w:hAnsi="宋体" w:cs="宋体"/>
                <w:color w:val="000000" w:themeColor="text1"/>
                <w:kern w:val="2"/>
                <w:sz w:val="24"/>
                <w:szCs w:val="24"/>
                <w:highlight w:val="none"/>
                <w:shd w:val="clear" w:color="auto" w:fill="FFFFFF"/>
                <w14:textFill>
                  <w14:solidFill>
                    <w14:schemeClr w14:val="tx1"/>
                  </w14:solidFill>
                </w14:textFill>
              </w:rPr>
              <w:t>享受中小企业扶持政策获得政府采购合同的，小微企业不得将合同分包给大中型企业，中型企业不得将合同分包给大型企业。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3" w:type="pct"/>
            <w:vAlign w:val="center"/>
          </w:tcPr>
          <w:p>
            <w:pPr>
              <w:jc w:val="cente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3</w:t>
            </w:r>
          </w:p>
        </w:tc>
        <w:tc>
          <w:tcPr>
            <w:tcW w:w="1035" w:type="pct"/>
            <w:vAlign w:val="center"/>
          </w:tcPr>
          <w:p>
            <w:pPr>
              <w:jc w:val="cente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开标前答疑会</w:t>
            </w:r>
          </w:p>
        </w:tc>
        <w:tc>
          <w:tcPr>
            <w:tcW w:w="3540" w:type="pct"/>
            <w:vAlign w:val="center"/>
          </w:tcPr>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sym w:font="Wingdings 2" w:char="0052"/>
            </w:r>
            <w:r>
              <w:rPr>
                <w:rFonts w:hint="eastAsia" w:ascii="宋体" w:hAnsi="宋体" w:cs="宋体"/>
                <w:color w:val="000000" w:themeColor="text1"/>
                <w:kern w:val="2"/>
                <w:sz w:val="24"/>
                <w:szCs w:val="24"/>
                <w:highlight w:val="none"/>
                <w14:textFill>
                  <w14:solidFill>
                    <w14:schemeClr w14:val="tx1"/>
                  </w14:solidFill>
                </w14:textFill>
              </w:rPr>
              <w:t>A不组织</w:t>
            </w:r>
          </w:p>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sym w:font="Wingdings 2" w:char="00A3"/>
            </w:r>
            <w:r>
              <w:rPr>
                <w:rFonts w:hint="eastAsia" w:ascii="宋体" w:hAnsi="宋体" w:cs="宋体"/>
                <w:color w:val="000000" w:themeColor="text1"/>
                <w:kern w:val="2"/>
                <w:sz w:val="24"/>
                <w:szCs w:val="24"/>
                <w:highlight w:val="none"/>
                <w14:textFill>
                  <w14:solidFill>
                    <w14:schemeClr w14:val="tx1"/>
                  </w14:solidFill>
                </w14:textFill>
              </w:rPr>
              <w:t>B组织</w:t>
            </w:r>
          </w:p>
          <w:p>
            <w:pPr>
              <w:rPr>
                <w:rFonts w:ascii="宋体" w:hAnsi="宋体" w:cs="宋体"/>
                <w:color w:val="000000" w:themeColor="text1"/>
                <w:kern w:val="2"/>
                <w:sz w:val="24"/>
                <w:szCs w:val="24"/>
                <w:highlight w:val="none"/>
                <w:u w:val="singl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时间：</w:t>
            </w:r>
            <w:r>
              <w:rPr>
                <w:rFonts w:hint="eastAsia" w:ascii="宋体" w:hAnsi="宋体" w:cs="宋体"/>
                <w:color w:val="000000" w:themeColor="text1"/>
                <w:kern w:val="2"/>
                <w:sz w:val="24"/>
                <w:szCs w:val="24"/>
                <w:highlight w:val="none"/>
                <w:u w:val="single"/>
                <w14:textFill>
                  <w14:solidFill>
                    <w14:schemeClr w14:val="tx1"/>
                  </w14:solidFill>
                </w14:textFill>
              </w:rPr>
              <w:t xml:space="preserve"> </w:t>
            </w:r>
            <w:r>
              <w:rPr>
                <w:rFonts w:ascii="宋体" w:hAnsi="宋体" w:cs="宋体"/>
                <w:color w:val="000000" w:themeColor="text1"/>
                <w:kern w:val="2"/>
                <w:sz w:val="24"/>
                <w:szCs w:val="24"/>
                <w:highlight w:val="none"/>
                <w:u w:val="single"/>
                <w14:textFill>
                  <w14:solidFill>
                    <w14:schemeClr w14:val="tx1"/>
                  </w14:solidFill>
                </w14:textFill>
              </w:rPr>
              <w:t xml:space="preserve">        </w:t>
            </w:r>
          </w:p>
          <w:p>
            <w:pPr>
              <w:rPr>
                <w:rFonts w:ascii="宋体" w:hAnsi="宋体" w:cs="宋体"/>
                <w:color w:val="000000" w:themeColor="text1"/>
                <w:kern w:val="2"/>
                <w:sz w:val="24"/>
                <w:szCs w:val="24"/>
                <w:highlight w:val="none"/>
                <w:u w:val="singl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 xml:space="preserve">地点： </w:t>
            </w:r>
            <w:r>
              <w:rPr>
                <w:rFonts w:hint="eastAsia" w:ascii="宋体" w:hAnsi="宋体" w:cs="宋体"/>
                <w:color w:val="000000" w:themeColor="text1"/>
                <w:kern w:val="2"/>
                <w:sz w:val="24"/>
                <w:szCs w:val="24"/>
                <w:highlight w:val="none"/>
                <w:u w:val="single"/>
                <w14:textFill>
                  <w14:solidFill>
                    <w14:schemeClr w14:val="tx1"/>
                  </w14:solidFill>
                </w14:textFill>
              </w:rPr>
              <w:t xml:space="preserve"> </w:t>
            </w:r>
            <w:r>
              <w:rPr>
                <w:rFonts w:ascii="宋体" w:hAnsi="宋体" w:cs="宋体"/>
                <w:color w:val="000000" w:themeColor="text1"/>
                <w:kern w:val="2"/>
                <w:sz w:val="24"/>
                <w:szCs w:val="24"/>
                <w:highlight w:val="none"/>
                <w:u w:val="single"/>
                <w14:textFill>
                  <w14:solidFill>
                    <w14:schemeClr w14:val="tx1"/>
                  </w14:solidFill>
                </w14:textFill>
              </w:rPr>
              <w:t xml:space="preserve">        </w:t>
            </w:r>
            <w:r>
              <w:rPr>
                <w:rFonts w:ascii="宋体" w:hAnsi="宋体" w:cs="宋体"/>
                <w:color w:val="000000" w:themeColor="text1"/>
                <w:kern w:val="2"/>
                <w:sz w:val="24"/>
                <w:szCs w:val="24"/>
                <w:highlight w:val="none"/>
                <w14:textFill>
                  <w14:solidFill>
                    <w14:schemeClr w14:val="tx1"/>
                  </w14:solidFill>
                </w14:textFill>
              </w:rPr>
              <w:t xml:space="preserve">   </w:t>
            </w:r>
          </w:p>
          <w:p>
            <w:pPr>
              <w:rPr>
                <w:rFonts w:ascii="宋体" w:hAnsi="宋体" w:cs="宋体"/>
                <w:b/>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联系人：</w:t>
            </w:r>
            <w:r>
              <w:rPr>
                <w:rFonts w:hint="eastAsia" w:ascii="宋体" w:hAnsi="宋体" w:cs="宋体"/>
                <w:color w:val="000000" w:themeColor="text1"/>
                <w:kern w:val="2"/>
                <w:sz w:val="24"/>
                <w:szCs w:val="24"/>
                <w:highlight w:val="none"/>
                <w:u w:val="single"/>
                <w14:textFill>
                  <w14:solidFill>
                    <w14:schemeClr w14:val="tx1"/>
                  </w14:solidFill>
                </w14:textFill>
              </w:rPr>
              <w:t xml:space="preserve"> </w:t>
            </w:r>
            <w:r>
              <w:rPr>
                <w:rFonts w:ascii="宋体" w:hAnsi="宋体" w:cs="宋体"/>
                <w:color w:val="000000" w:themeColor="text1"/>
                <w:kern w:val="2"/>
                <w:sz w:val="24"/>
                <w:szCs w:val="24"/>
                <w:highlight w:val="none"/>
                <w:u w:val="single"/>
                <w14:textFill>
                  <w14:solidFill>
                    <w14:schemeClr w14:val="tx1"/>
                  </w14:solidFill>
                </w14:textFill>
              </w:rPr>
              <w:t xml:space="preserve">        </w:t>
            </w:r>
            <w:r>
              <w:rPr>
                <w:rFonts w:hint="eastAsia" w:ascii="宋体" w:hAnsi="宋体" w:cs="宋体"/>
                <w:color w:val="000000" w:themeColor="text1"/>
                <w:kern w:val="2"/>
                <w:sz w:val="24"/>
                <w:szCs w:val="24"/>
                <w:highlight w:val="none"/>
                <w14:textFill>
                  <w14:solidFill>
                    <w14:schemeClr w14:val="tx1"/>
                  </w14:solidFill>
                </w14:textFill>
              </w:rPr>
              <w:t xml:space="preserve"> </w:t>
            </w:r>
            <w:r>
              <w:rPr>
                <w:rFonts w:ascii="宋体" w:hAnsi="宋体" w:cs="宋体"/>
                <w:color w:val="000000" w:themeColor="text1"/>
                <w:kern w:val="2"/>
                <w:sz w:val="24"/>
                <w:szCs w:val="24"/>
                <w:highlight w:val="none"/>
                <w14:textFill>
                  <w14:solidFill>
                    <w14:schemeClr w14:val="tx1"/>
                  </w14:solidFill>
                </w14:textFill>
              </w:rPr>
              <w:t xml:space="preserve"> </w:t>
            </w:r>
            <w:r>
              <w:rPr>
                <w:rFonts w:hint="eastAsia" w:ascii="宋体" w:hAnsi="宋体" w:cs="宋体"/>
                <w:color w:val="000000" w:themeColor="text1"/>
                <w:kern w:val="2"/>
                <w:sz w:val="24"/>
                <w:szCs w:val="24"/>
                <w:highlight w:val="none"/>
                <w14:textFill>
                  <w14:solidFill>
                    <w14:schemeClr w14:val="tx1"/>
                  </w14:solidFill>
                </w14:textFill>
              </w:rPr>
              <w:t>联系方式：</w:t>
            </w:r>
            <w:r>
              <w:rPr>
                <w:rFonts w:hint="eastAsia" w:ascii="宋体" w:hAnsi="宋体" w:cs="宋体"/>
                <w:color w:val="000000" w:themeColor="text1"/>
                <w:kern w:val="2"/>
                <w:sz w:val="24"/>
                <w:szCs w:val="24"/>
                <w:highlight w:val="none"/>
                <w:u w:val="single"/>
                <w14:textFill>
                  <w14:solidFill>
                    <w14:schemeClr w14:val="tx1"/>
                  </w14:solidFill>
                </w14:textFill>
              </w:rPr>
              <w:t xml:space="preserve"> </w:t>
            </w:r>
            <w:r>
              <w:rPr>
                <w:rFonts w:ascii="宋体" w:hAnsi="宋体" w:cs="宋体"/>
                <w:color w:val="000000" w:themeColor="text1"/>
                <w:kern w:val="2"/>
                <w:sz w:val="24"/>
                <w:szCs w:val="24"/>
                <w:highlight w:val="none"/>
                <w:u w:val="single"/>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6" w:hRule="atLeast"/>
        </w:trPr>
        <w:tc>
          <w:tcPr>
            <w:tcW w:w="423" w:type="pct"/>
            <w:vAlign w:val="center"/>
          </w:tcPr>
          <w:p>
            <w:pPr>
              <w:jc w:val="cente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4</w:t>
            </w:r>
          </w:p>
        </w:tc>
        <w:tc>
          <w:tcPr>
            <w:tcW w:w="1035" w:type="pct"/>
            <w:vAlign w:val="center"/>
          </w:tcPr>
          <w:p>
            <w:pPr>
              <w:jc w:val="cente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现场踏勘</w:t>
            </w:r>
          </w:p>
        </w:tc>
        <w:tc>
          <w:tcPr>
            <w:tcW w:w="3540" w:type="pct"/>
            <w:vAlign w:val="center"/>
          </w:tcPr>
          <w:p>
            <w:pPr>
              <w:jc w:val="left"/>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sym w:font="Wingdings 2" w:char="0052"/>
            </w:r>
            <w:r>
              <w:rPr>
                <w:rFonts w:hint="eastAsia" w:ascii="宋体" w:hAnsi="宋体" w:cs="宋体"/>
                <w:color w:val="000000" w:themeColor="text1"/>
                <w:kern w:val="2"/>
                <w:sz w:val="24"/>
                <w:szCs w:val="24"/>
                <w:highlight w:val="none"/>
                <w14:textFill>
                  <w14:solidFill>
                    <w14:schemeClr w14:val="tx1"/>
                  </w14:solidFill>
                </w14:textFill>
              </w:rPr>
              <w:t>A不统一组织</w:t>
            </w:r>
          </w:p>
          <w:p>
            <w:pPr>
              <w:jc w:val="left"/>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sym w:font="Wingdings 2" w:char="00A3"/>
            </w:r>
            <w:r>
              <w:rPr>
                <w:rFonts w:hint="eastAsia" w:ascii="宋体" w:hAnsi="宋体" w:cs="宋体"/>
                <w:color w:val="000000" w:themeColor="text1"/>
                <w:kern w:val="2"/>
                <w:sz w:val="24"/>
                <w:szCs w:val="24"/>
                <w:highlight w:val="none"/>
                <w14:textFill>
                  <w14:solidFill>
                    <w14:schemeClr w14:val="tx1"/>
                  </w14:solidFill>
                </w14:textFill>
              </w:rPr>
              <w:t>B统一组织</w:t>
            </w:r>
          </w:p>
          <w:p>
            <w:pPr>
              <w:jc w:val="left"/>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时间：</w:t>
            </w:r>
            <w:r>
              <w:rPr>
                <w:rFonts w:hint="eastAsia" w:ascii="宋体" w:hAnsi="宋体" w:cs="宋体"/>
                <w:color w:val="000000" w:themeColor="text1"/>
                <w:kern w:val="2"/>
                <w:sz w:val="24"/>
                <w:szCs w:val="24"/>
                <w:highlight w:val="none"/>
                <w:u w:val="single"/>
                <w14:textFill>
                  <w14:solidFill>
                    <w14:schemeClr w14:val="tx1"/>
                  </w14:solidFill>
                </w14:textFill>
              </w:rPr>
              <w:t xml:space="preserve"> </w:t>
            </w:r>
            <w:r>
              <w:rPr>
                <w:rFonts w:ascii="宋体" w:hAnsi="宋体" w:cs="宋体"/>
                <w:color w:val="000000" w:themeColor="text1"/>
                <w:kern w:val="2"/>
                <w:sz w:val="24"/>
                <w:szCs w:val="24"/>
                <w:highlight w:val="none"/>
                <w:u w:val="single"/>
                <w14:textFill>
                  <w14:solidFill>
                    <w14:schemeClr w14:val="tx1"/>
                  </w14:solidFill>
                </w14:textFill>
              </w:rPr>
              <w:t xml:space="preserve">        </w:t>
            </w:r>
            <w:r>
              <w:rPr>
                <w:rFonts w:hint="eastAsia" w:ascii="宋体" w:hAnsi="宋体" w:cs="宋体"/>
                <w:color w:val="000000" w:themeColor="text1"/>
                <w:kern w:val="2"/>
                <w:sz w:val="24"/>
                <w:szCs w:val="24"/>
                <w:highlight w:val="none"/>
                <w14:textFill>
                  <w14:solidFill>
                    <w14:schemeClr w14:val="tx1"/>
                  </w14:solidFill>
                </w14:textFill>
              </w:rPr>
              <w:t>地点：</w:t>
            </w:r>
            <w:r>
              <w:rPr>
                <w:rFonts w:hint="eastAsia" w:ascii="宋体" w:hAnsi="宋体" w:cs="宋体"/>
                <w:color w:val="000000" w:themeColor="text1"/>
                <w:kern w:val="2"/>
                <w:sz w:val="24"/>
                <w:szCs w:val="24"/>
                <w:highlight w:val="none"/>
                <w:u w:val="single"/>
                <w14:textFill>
                  <w14:solidFill>
                    <w14:schemeClr w14:val="tx1"/>
                  </w14:solidFill>
                </w14:textFill>
              </w:rPr>
              <w:t xml:space="preserve"> </w:t>
            </w:r>
            <w:r>
              <w:rPr>
                <w:rFonts w:ascii="宋体" w:hAnsi="宋体" w:cs="宋体"/>
                <w:color w:val="000000" w:themeColor="text1"/>
                <w:kern w:val="2"/>
                <w:sz w:val="24"/>
                <w:szCs w:val="24"/>
                <w:highlight w:val="none"/>
                <w:u w:val="single"/>
                <w14:textFill>
                  <w14:solidFill>
                    <w14:schemeClr w14:val="tx1"/>
                  </w14:solidFill>
                </w14:textFill>
              </w:rPr>
              <w:t xml:space="preserve">        </w:t>
            </w:r>
            <w:r>
              <w:rPr>
                <w:rFonts w:hint="eastAsia" w:ascii="宋体" w:hAnsi="宋体" w:cs="宋体"/>
                <w:color w:val="000000" w:themeColor="text1"/>
                <w:kern w:val="2"/>
                <w:sz w:val="24"/>
                <w:szCs w:val="24"/>
                <w:highlight w:val="none"/>
                <w14:textFill>
                  <w14:solidFill>
                    <w14:schemeClr w14:val="tx1"/>
                  </w14:solidFill>
                </w14:textFill>
              </w:rPr>
              <w:t xml:space="preserve">       </w:t>
            </w:r>
          </w:p>
          <w:p>
            <w:pPr>
              <w:jc w:val="left"/>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联系人：</w:t>
            </w:r>
            <w:r>
              <w:rPr>
                <w:rFonts w:hint="eastAsia" w:ascii="宋体" w:hAnsi="宋体" w:cs="宋体"/>
                <w:color w:val="000000" w:themeColor="text1"/>
                <w:kern w:val="2"/>
                <w:sz w:val="24"/>
                <w:szCs w:val="24"/>
                <w:highlight w:val="none"/>
                <w:u w:val="single"/>
                <w14:textFill>
                  <w14:solidFill>
                    <w14:schemeClr w14:val="tx1"/>
                  </w14:solidFill>
                </w14:textFill>
              </w:rPr>
              <w:t xml:space="preserve"> </w:t>
            </w:r>
            <w:r>
              <w:rPr>
                <w:rFonts w:ascii="宋体" w:hAnsi="宋体" w:cs="宋体"/>
                <w:color w:val="000000" w:themeColor="text1"/>
                <w:kern w:val="2"/>
                <w:sz w:val="24"/>
                <w:szCs w:val="24"/>
                <w:highlight w:val="none"/>
                <w:u w:val="single"/>
                <w14:textFill>
                  <w14:solidFill>
                    <w14:schemeClr w14:val="tx1"/>
                  </w14:solidFill>
                </w14:textFill>
              </w:rPr>
              <w:t xml:space="preserve">        </w:t>
            </w:r>
            <w:r>
              <w:rPr>
                <w:rFonts w:hint="eastAsia" w:ascii="宋体" w:hAnsi="宋体" w:cs="宋体"/>
                <w:color w:val="000000" w:themeColor="text1"/>
                <w:kern w:val="2"/>
                <w:sz w:val="24"/>
                <w:szCs w:val="24"/>
                <w:highlight w:val="none"/>
                <w14:textFill>
                  <w14:solidFill>
                    <w14:schemeClr w14:val="tx1"/>
                  </w14:solidFill>
                </w14:textFill>
              </w:rPr>
              <w:t xml:space="preserve"> 联系方式：</w:t>
            </w:r>
            <w:r>
              <w:rPr>
                <w:rFonts w:hint="eastAsia" w:ascii="宋体" w:hAnsi="宋体" w:cs="宋体"/>
                <w:color w:val="000000" w:themeColor="text1"/>
                <w:kern w:val="2"/>
                <w:sz w:val="24"/>
                <w:szCs w:val="24"/>
                <w:highlight w:val="none"/>
                <w:u w:val="single"/>
                <w14:textFill>
                  <w14:solidFill>
                    <w14:schemeClr w14:val="tx1"/>
                  </w14:solidFill>
                </w14:textFill>
              </w:rPr>
              <w:t xml:space="preserve"> </w:t>
            </w:r>
            <w:r>
              <w:rPr>
                <w:rFonts w:ascii="宋体" w:hAnsi="宋体" w:cs="宋体"/>
                <w:color w:val="000000" w:themeColor="text1"/>
                <w:kern w:val="2"/>
                <w:sz w:val="24"/>
                <w:szCs w:val="24"/>
                <w:highlight w:val="none"/>
                <w:u w:val="single"/>
                <w14:textFill>
                  <w14:solidFill>
                    <w14:schemeClr w14:val="tx1"/>
                  </w14:solidFill>
                </w14:textFill>
              </w:rPr>
              <w:t xml:space="preserve">        </w:t>
            </w:r>
            <w:r>
              <w:rPr>
                <w:rFonts w:hint="eastAsia" w:ascii="宋体" w:hAnsi="宋体" w:cs="宋体"/>
                <w:color w:val="000000" w:themeColor="text1"/>
                <w:kern w:val="2"/>
                <w:sz w:val="24"/>
                <w:szCs w:val="24"/>
                <w:highlight w:val="none"/>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3" w:type="pct"/>
            <w:vAlign w:val="center"/>
          </w:tcPr>
          <w:p>
            <w:pPr>
              <w:jc w:val="cente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5</w:t>
            </w:r>
          </w:p>
        </w:tc>
        <w:tc>
          <w:tcPr>
            <w:tcW w:w="1035" w:type="pct"/>
            <w:vAlign w:val="center"/>
          </w:tcPr>
          <w:p>
            <w:pPr>
              <w:jc w:val="cente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演示</w:t>
            </w:r>
          </w:p>
        </w:tc>
        <w:tc>
          <w:tcPr>
            <w:tcW w:w="3540" w:type="pct"/>
            <w:vAlign w:val="center"/>
          </w:tcPr>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sym w:font="Wingdings 2" w:char="0052"/>
            </w:r>
            <w:r>
              <w:rPr>
                <w:rFonts w:hint="eastAsia" w:ascii="宋体" w:hAnsi="宋体" w:cs="宋体"/>
                <w:color w:val="000000" w:themeColor="text1"/>
                <w:kern w:val="2"/>
                <w:sz w:val="24"/>
                <w:szCs w:val="24"/>
                <w:highlight w:val="none"/>
                <w14:textFill>
                  <w14:solidFill>
                    <w14:schemeClr w14:val="tx1"/>
                  </w14:solidFill>
                </w14:textFill>
              </w:rPr>
              <w:t>A无</w:t>
            </w:r>
          </w:p>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sym w:font="Wingdings 2" w:char="00A3"/>
            </w:r>
            <w:r>
              <w:rPr>
                <w:rFonts w:hint="eastAsia" w:ascii="宋体" w:hAnsi="宋体" w:cs="宋体"/>
                <w:color w:val="000000" w:themeColor="text1"/>
                <w:kern w:val="2"/>
                <w:sz w:val="24"/>
                <w:szCs w:val="24"/>
                <w:highlight w:val="none"/>
                <w14:textFill>
                  <w14:solidFill>
                    <w14:schemeClr w14:val="tx1"/>
                  </w14:solidFill>
                </w14:textFill>
              </w:rPr>
              <w:t>B有，本项目演示使用录播上传形式，各投标人自行将录播内容上传至苏采云平台的上传模块。操作指南详见</w:t>
            </w:r>
            <w:r>
              <w:rPr>
                <w:rFonts w:hint="eastAsia" w:ascii="宋体" w:hAnsi="宋体"/>
                <w:color w:val="000000" w:themeColor="text1"/>
                <w:kern w:val="2"/>
                <w:sz w:val="24"/>
                <w:szCs w:val="28"/>
                <w:highlight w:val="none"/>
                <w14:textFill>
                  <w14:solidFill>
                    <w14:schemeClr w14:val="tx1"/>
                  </w14:solidFill>
                </w14:textFill>
              </w:rPr>
              <w:t>《苏采云系统投标人操作手册》</w:t>
            </w:r>
            <w:r>
              <w:rPr>
                <w:rFonts w:hint="eastAsia" w:ascii="宋体" w:hAnsi="宋体" w:cs="宋体"/>
                <w:color w:val="000000" w:themeColor="text1"/>
                <w:kern w:val="2"/>
                <w:sz w:val="24"/>
                <w:szCs w:val="24"/>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pPr>
              <w:jc w:val="cente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6</w:t>
            </w:r>
          </w:p>
        </w:tc>
        <w:tc>
          <w:tcPr>
            <w:tcW w:w="1035" w:type="pct"/>
            <w:vAlign w:val="center"/>
          </w:tcPr>
          <w:p>
            <w:pPr>
              <w:jc w:val="cente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样品</w:t>
            </w:r>
          </w:p>
        </w:tc>
        <w:tc>
          <w:tcPr>
            <w:tcW w:w="3540" w:type="pct"/>
            <w:vAlign w:val="center"/>
          </w:tcPr>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sym w:font="Wingdings 2" w:char="0052"/>
            </w:r>
            <w:r>
              <w:rPr>
                <w:rFonts w:hint="eastAsia" w:ascii="宋体" w:hAnsi="宋体" w:cs="宋体"/>
                <w:color w:val="000000" w:themeColor="text1"/>
                <w:kern w:val="2"/>
                <w:sz w:val="24"/>
                <w:szCs w:val="24"/>
                <w:highlight w:val="none"/>
                <w14:textFill>
                  <w14:solidFill>
                    <w14:schemeClr w14:val="tx1"/>
                  </w14:solidFill>
                </w14:textFill>
              </w:rPr>
              <w:t>A不要求提供。</w:t>
            </w:r>
          </w:p>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sym w:font="Wingdings 2" w:char="00A3"/>
            </w:r>
            <w:r>
              <w:rPr>
                <w:rFonts w:hint="eastAsia" w:ascii="宋体" w:hAnsi="宋体" w:cs="宋体"/>
                <w:color w:val="000000" w:themeColor="text1"/>
                <w:kern w:val="2"/>
                <w:sz w:val="24"/>
                <w:szCs w:val="24"/>
                <w:highlight w:val="none"/>
                <w14:textFill>
                  <w14:solidFill>
                    <w14:schemeClr w14:val="tx1"/>
                  </w14:solidFill>
                </w14:textFill>
              </w:rPr>
              <w:t>B要求提供。</w:t>
            </w:r>
          </w:p>
          <w:p>
            <w:pPr>
              <w:rPr>
                <w:rFonts w:ascii="宋体" w:hAnsi="宋体" w:cs="宋体"/>
                <w:color w:val="000000" w:themeColor="text1"/>
                <w:kern w:val="2"/>
                <w:sz w:val="24"/>
                <w:szCs w:val="24"/>
                <w:highlight w:val="none"/>
                <w:u w:val="singl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（1）样品：</w:t>
            </w:r>
            <w:r>
              <w:rPr>
                <w:rFonts w:hint="eastAsia" w:ascii="宋体" w:hAnsi="宋体" w:cs="宋体"/>
                <w:color w:val="000000" w:themeColor="text1"/>
                <w:kern w:val="2"/>
                <w:sz w:val="24"/>
                <w:szCs w:val="24"/>
                <w:highlight w:val="none"/>
                <w:u w:val="single"/>
                <w14:textFill>
                  <w14:solidFill>
                    <w14:schemeClr w14:val="tx1"/>
                  </w14:solidFill>
                </w14:textFill>
              </w:rPr>
              <w:t xml:space="preserve"> </w:t>
            </w:r>
            <w:r>
              <w:rPr>
                <w:rFonts w:ascii="宋体" w:hAnsi="宋体" w:cs="宋体"/>
                <w:color w:val="000000" w:themeColor="text1"/>
                <w:kern w:val="2"/>
                <w:sz w:val="24"/>
                <w:szCs w:val="24"/>
                <w:highlight w:val="none"/>
                <w:u w:val="single"/>
                <w14:textFill>
                  <w14:solidFill>
                    <w14:schemeClr w14:val="tx1"/>
                  </w14:solidFill>
                </w14:textFill>
              </w:rPr>
              <w:t xml:space="preserve">        </w:t>
            </w:r>
            <w:r>
              <w:rPr>
                <w:rFonts w:hint="eastAsia" w:ascii="宋体" w:hAnsi="宋体" w:cs="宋体"/>
                <w:color w:val="000000" w:themeColor="text1"/>
                <w:kern w:val="2"/>
                <w:sz w:val="24"/>
                <w:szCs w:val="24"/>
                <w:highlight w:val="none"/>
                <w14:textFill>
                  <w14:solidFill>
                    <w14:schemeClr w14:val="tx1"/>
                  </w14:solidFill>
                </w14:textFill>
              </w:rPr>
              <w:t>；</w:t>
            </w:r>
          </w:p>
          <w:p>
            <w:pPr>
              <w:rPr>
                <w:rFonts w:ascii="宋体" w:hAnsi="宋体" w:cs="宋体"/>
                <w:color w:val="000000" w:themeColor="text1"/>
                <w:kern w:val="2"/>
                <w:sz w:val="24"/>
                <w:szCs w:val="24"/>
                <w:highlight w:val="none"/>
                <w:u w:val="singl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（2）样品制作的标准和要求：</w:t>
            </w:r>
            <w:r>
              <w:rPr>
                <w:rFonts w:hint="eastAsia" w:ascii="宋体" w:hAnsi="宋体" w:cs="宋体"/>
                <w:color w:val="000000" w:themeColor="text1"/>
                <w:kern w:val="2"/>
                <w:sz w:val="24"/>
                <w:szCs w:val="24"/>
                <w:highlight w:val="none"/>
                <w:u w:val="single"/>
                <w14:textFill>
                  <w14:solidFill>
                    <w14:schemeClr w14:val="tx1"/>
                  </w14:solidFill>
                </w14:textFill>
              </w:rPr>
              <w:t xml:space="preserve"> </w:t>
            </w:r>
            <w:r>
              <w:rPr>
                <w:rFonts w:ascii="宋体" w:hAnsi="宋体" w:cs="宋体"/>
                <w:color w:val="000000" w:themeColor="text1"/>
                <w:kern w:val="2"/>
                <w:sz w:val="24"/>
                <w:szCs w:val="24"/>
                <w:highlight w:val="none"/>
                <w:u w:val="single"/>
                <w14:textFill>
                  <w14:solidFill>
                    <w14:schemeClr w14:val="tx1"/>
                  </w14:solidFill>
                </w14:textFill>
              </w:rPr>
              <w:t xml:space="preserve">        </w:t>
            </w:r>
            <w:r>
              <w:rPr>
                <w:rFonts w:hint="eastAsia" w:ascii="宋体" w:hAnsi="宋体" w:cs="宋体"/>
                <w:color w:val="000000" w:themeColor="text1"/>
                <w:kern w:val="2"/>
                <w:sz w:val="24"/>
                <w:szCs w:val="24"/>
                <w:highlight w:val="none"/>
                <w14:textFill>
                  <w14:solidFill>
                    <w14:schemeClr w14:val="tx1"/>
                  </w14:solidFill>
                </w14:textFill>
              </w:rPr>
              <w:t>；</w:t>
            </w:r>
          </w:p>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（3）样品的评审方法以及评审标准：详见评标办法；</w:t>
            </w:r>
          </w:p>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（4）是否需要随样品提交检测报告：</w:t>
            </w:r>
            <w:r>
              <w:rPr>
                <w:rFonts w:hint="eastAsia" w:ascii="宋体" w:hAnsi="宋体" w:cs="宋体"/>
                <w:color w:val="000000" w:themeColor="text1"/>
                <w:kern w:val="2"/>
                <w:sz w:val="24"/>
                <w:szCs w:val="24"/>
                <w:highlight w:val="none"/>
                <w14:textFill>
                  <w14:solidFill>
                    <w14:schemeClr w14:val="tx1"/>
                  </w14:solidFill>
                </w14:textFill>
              </w:rPr>
              <w:sym w:font="Wingdings 2" w:char="00A3"/>
            </w:r>
            <w:r>
              <w:rPr>
                <w:rFonts w:hint="eastAsia" w:ascii="宋体" w:hAnsi="宋体" w:cs="宋体"/>
                <w:color w:val="000000" w:themeColor="text1"/>
                <w:kern w:val="2"/>
                <w:sz w:val="24"/>
                <w:szCs w:val="24"/>
                <w:highlight w:val="none"/>
                <w14:textFill>
                  <w14:solidFill>
                    <w14:schemeClr w14:val="tx1"/>
                  </w14:solidFill>
                </w14:textFill>
              </w:rPr>
              <w:t>否；</w:t>
            </w:r>
            <w:r>
              <w:rPr>
                <w:rFonts w:hint="eastAsia" w:ascii="宋体" w:hAnsi="宋体" w:cs="宋体"/>
                <w:color w:val="000000" w:themeColor="text1"/>
                <w:kern w:val="2"/>
                <w:sz w:val="24"/>
                <w:szCs w:val="24"/>
                <w:highlight w:val="none"/>
                <w14:textFill>
                  <w14:solidFill>
                    <w14:schemeClr w14:val="tx1"/>
                  </w14:solidFill>
                </w14:textFill>
              </w:rPr>
              <w:sym w:font="Wingdings 2" w:char="00A3"/>
            </w:r>
            <w:r>
              <w:rPr>
                <w:rFonts w:hint="eastAsia" w:ascii="宋体" w:hAnsi="宋体" w:cs="宋体"/>
                <w:color w:val="000000" w:themeColor="text1"/>
                <w:kern w:val="2"/>
                <w:sz w:val="24"/>
                <w:szCs w:val="24"/>
                <w:highlight w:val="none"/>
                <w14:textFill>
                  <w14:solidFill>
                    <w14:schemeClr w14:val="tx1"/>
                  </w14:solidFill>
                </w14:textFill>
              </w:rPr>
              <w:t>是，检测机构的要求：</w:t>
            </w:r>
            <w:r>
              <w:rPr>
                <w:rFonts w:hint="eastAsia" w:ascii="宋体" w:hAnsi="宋体" w:cs="宋体"/>
                <w:color w:val="000000" w:themeColor="text1"/>
                <w:kern w:val="2"/>
                <w:sz w:val="24"/>
                <w:szCs w:val="24"/>
                <w:highlight w:val="none"/>
                <w:u w:val="single"/>
                <w14:textFill>
                  <w14:solidFill>
                    <w14:schemeClr w14:val="tx1"/>
                  </w14:solidFill>
                </w14:textFill>
              </w:rPr>
              <w:t xml:space="preserve"> </w:t>
            </w:r>
            <w:r>
              <w:rPr>
                <w:rFonts w:ascii="宋体" w:hAnsi="宋体" w:cs="宋体"/>
                <w:color w:val="000000" w:themeColor="text1"/>
                <w:kern w:val="2"/>
                <w:sz w:val="24"/>
                <w:szCs w:val="24"/>
                <w:highlight w:val="none"/>
                <w:u w:val="single"/>
                <w14:textFill>
                  <w14:solidFill>
                    <w14:schemeClr w14:val="tx1"/>
                  </w14:solidFill>
                </w14:textFill>
              </w:rPr>
              <w:t xml:space="preserve">        </w:t>
            </w:r>
            <w:r>
              <w:rPr>
                <w:rFonts w:hint="eastAsia" w:ascii="宋体" w:hAnsi="宋体" w:cs="宋体"/>
                <w:color w:val="000000" w:themeColor="text1"/>
                <w:kern w:val="2"/>
                <w:sz w:val="24"/>
                <w:szCs w:val="24"/>
                <w:highlight w:val="none"/>
                <w14:textFill>
                  <w14:solidFill>
                    <w14:schemeClr w14:val="tx1"/>
                  </w14:solidFill>
                </w14:textFill>
              </w:rPr>
              <w:t>；检测内容：</w:t>
            </w:r>
            <w:r>
              <w:rPr>
                <w:rFonts w:hint="eastAsia" w:ascii="宋体" w:hAnsi="宋体" w:cs="宋体"/>
                <w:color w:val="000000" w:themeColor="text1"/>
                <w:kern w:val="2"/>
                <w:sz w:val="24"/>
                <w:szCs w:val="24"/>
                <w:highlight w:val="none"/>
                <w:u w:val="single"/>
                <w14:textFill>
                  <w14:solidFill>
                    <w14:schemeClr w14:val="tx1"/>
                  </w14:solidFill>
                </w14:textFill>
              </w:rPr>
              <w:t xml:space="preserve"> </w:t>
            </w:r>
            <w:r>
              <w:rPr>
                <w:rFonts w:ascii="宋体" w:hAnsi="宋体" w:cs="宋体"/>
                <w:color w:val="000000" w:themeColor="text1"/>
                <w:kern w:val="2"/>
                <w:sz w:val="24"/>
                <w:szCs w:val="24"/>
                <w:highlight w:val="none"/>
                <w:u w:val="single"/>
                <w14:textFill>
                  <w14:solidFill>
                    <w14:schemeClr w14:val="tx1"/>
                  </w14:solidFill>
                </w14:textFill>
              </w:rPr>
              <w:t xml:space="preserve">        </w:t>
            </w:r>
            <w:r>
              <w:rPr>
                <w:rFonts w:hint="eastAsia" w:ascii="宋体" w:hAnsi="宋体" w:cs="宋体"/>
                <w:color w:val="000000" w:themeColor="text1"/>
                <w:kern w:val="2"/>
                <w:sz w:val="24"/>
                <w:szCs w:val="24"/>
                <w:highlight w:val="none"/>
                <w14:textFill>
                  <w14:solidFill>
                    <w14:schemeClr w14:val="tx1"/>
                  </w14:solidFill>
                </w14:textFill>
              </w:rPr>
              <w:t>。</w:t>
            </w:r>
          </w:p>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（5）提供样品的时间：</w:t>
            </w:r>
            <w:r>
              <w:rPr>
                <w:rFonts w:hint="eastAsia" w:ascii="宋体" w:hAnsi="宋体" w:cs="宋体"/>
                <w:color w:val="000000" w:themeColor="text1"/>
                <w:kern w:val="2"/>
                <w:sz w:val="24"/>
                <w:szCs w:val="24"/>
                <w:highlight w:val="none"/>
                <w:u w:val="single"/>
                <w14:textFill>
                  <w14:solidFill>
                    <w14:schemeClr w14:val="tx1"/>
                  </w14:solidFill>
                </w14:textFill>
              </w:rPr>
              <w:t xml:space="preserve"> </w:t>
            </w:r>
            <w:r>
              <w:rPr>
                <w:rFonts w:ascii="宋体" w:hAnsi="宋体" w:cs="宋体"/>
                <w:color w:val="000000" w:themeColor="text1"/>
                <w:kern w:val="2"/>
                <w:sz w:val="24"/>
                <w:szCs w:val="24"/>
                <w:highlight w:val="none"/>
                <w:u w:val="single"/>
                <w14:textFill>
                  <w14:solidFill>
                    <w14:schemeClr w14:val="tx1"/>
                  </w14:solidFill>
                </w14:textFill>
              </w:rPr>
              <w:t xml:space="preserve">        </w:t>
            </w:r>
            <w:r>
              <w:rPr>
                <w:rFonts w:hint="eastAsia" w:ascii="宋体" w:hAnsi="宋体" w:cs="宋体"/>
                <w:color w:val="000000" w:themeColor="text1"/>
                <w:kern w:val="2"/>
                <w:sz w:val="24"/>
                <w:szCs w:val="24"/>
                <w:highlight w:val="none"/>
                <w14:textFill>
                  <w14:solidFill>
                    <w14:schemeClr w14:val="tx1"/>
                  </w14:solidFill>
                </w14:textFill>
              </w:rPr>
              <w:t>；地点：</w:t>
            </w:r>
            <w:r>
              <w:rPr>
                <w:rFonts w:hint="eastAsia" w:ascii="宋体" w:hAnsi="宋体" w:cs="宋体"/>
                <w:color w:val="000000" w:themeColor="text1"/>
                <w:kern w:val="2"/>
                <w:sz w:val="24"/>
                <w:szCs w:val="24"/>
                <w:highlight w:val="none"/>
                <w:u w:val="single"/>
                <w14:textFill>
                  <w14:solidFill>
                    <w14:schemeClr w14:val="tx1"/>
                  </w14:solidFill>
                </w14:textFill>
              </w:rPr>
              <w:t xml:space="preserve"> </w:t>
            </w:r>
            <w:r>
              <w:rPr>
                <w:rFonts w:ascii="宋体" w:hAnsi="宋体" w:cs="宋体"/>
                <w:color w:val="000000" w:themeColor="text1"/>
                <w:kern w:val="2"/>
                <w:sz w:val="24"/>
                <w:szCs w:val="24"/>
                <w:highlight w:val="none"/>
                <w:u w:val="single"/>
                <w14:textFill>
                  <w14:solidFill>
                    <w14:schemeClr w14:val="tx1"/>
                  </w14:solidFill>
                </w14:textFill>
              </w:rPr>
              <w:t xml:space="preserve">        </w:t>
            </w:r>
            <w:r>
              <w:rPr>
                <w:rFonts w:hint="eastAsia" w:ascii="宋体" w:hAnsi="宋体" w:cs="宋体"/>
                <w:color w:val="000000" w:themeColor="text1"/>
                <w:kern w:val="2"/>
                <w:sz w:val="24"/>
                <w:szCs w:val="24"/>
                <w:highlight w:val="none"/>
                <w14:textFill>
                  <w14:solidFill>
                    <w14:schemeClr w14:val="tx1"/>
                  </w14:solidFill>
                </w14:textFill>
              </w:rPr>
              <w:t>；联系人：</w:t>
            </w:r>
            <w:r>
              <w:rPr>
                <w:rFonts w:hint="eastAsia" w:ascii="宋体" w:hAnsi="宋体" w:cs="宋体"/>
                <w:color w:val="000000" w:themeColor="text1"/>
                <w:kern w:val="2"/>
                <w:sz w:val="24"/>
                <w:szCs w:val="24"/>
                <w:highlight w:val="none"/>
                <w:u w:val="single"/>
                <w14:textFill>
                  <w14:solidFill>
                    <w14:schemeClr w14:val="tx1"/>
                  </w14:solidFill>
                </w14:textFill>
              </w:rPr>
              <w:t xml:space="preserve"> </w:t>
            </w:r>
            <w:r>
              <w:rPr>
                <w:rFonts w:ascii="宋体" w:hAnsi="宋体" w:cs="宋体"/>
                <w:color w:val="000000" w:themeColor="text1"/>
                <w:kern w:val="2"/>
                <w:sz w:val="24"/>
                <w:szCs w:val="24"/>
                <w:highlight w:val="none"/>
                <w:u w:val="single"/>
                <w14:textFill>
                  <w14:solidFill>
                    <w14:schemeClr w14:val="tx1"/>
                  </w14:solidFill>
                </w14:textFill>
              </w:rPr>
              <w:t xml:space="preserve">        </w:t>
            </w:r>
            <w:r>
              <w:rPr>
                <w:rFonts w:hint="eastAsia" w:ascii="宋体" w:hAnsi="宋体" w:cs="宋体"/>
                <w:color w:val="000000" w:themeColor="text1"/>
                <w:kern w:val="2"/>
                <w:sz w:val="24"/>
                <w:szCs w:val="24"/>
                <w:highlight w:val="none"/>
                <w14:textFill>
                  <w14:solidFill>
                    <w14:schemeClr w14:val="tx1"/>
                  </w14:solidFill>
                </w14:textFill>
              </w:rPr>
              <w:t>，联系电话：</w:t>
            </w:r>
            <w:r>
              <w:rPr>
                <w:rFonts w:hint="eastAsia" w:ascii="宋体" w:hAnsi="宋体" w:cs="宋体"/>
                <w:color w:val="000000" w:themeColor="text1"/>
                <w:kern w:val="2"/>
                <w:sz w:val="24"/>
                <w:szCs w:val="24"/>
                <w:highlight w:val="none"/>
                <w:u w:val="single"/>
                <w14:textFill>
                  <w14:solidFill>
                    <w14:schemeClr w14:val="tx1"/>
                  </w14:solidFill>
                </w14:textFill>
              </w:rPr>
              <w:t xml:space="preserve"> </w:t>
            </w:r>
            <w:r>
              <w:rPr>
                <w:rFonts w:ascii="宋体" w:hAnsi="宋体" w:cs="宋体"/>
                <w:color w:val="000000" w:themeColor="text1"/>
                <w:kern w:val="2"/>
                <w:sz w:val="24"/>
                <w:szCs w:val="24"/>
                <w:highlight w:val="none"/>
                <w:u w:val="single"/>
                <w14:textFill>
                  <w14:solidFill>
                    <w14:schemeClr w14:val="tx1"/>
                  </w14:solidFill>
                </w14:textFill>
              </w:rPr>
              <w:t xml:space="preserve">        </w:t>
            </w:r>
            <w:r>
              <w:rPr>
                <w:rFonts w:hint="eastAsia" w:ascii="宋体" w:hAnsi="宋体" w:cs="宋体"/>
                <w:color w:val="000000" w:themeColor="text1"/>
                <w:kern w:val="2"/>
                <w:sz w:val="24"/>
                <w:szCs w:val="24"/>
                <w:highlight w:val="none"/>
                <w14:textFill>
                  <w14:solidFill>
                    <w14:schemeClr w14:val="tx1"/>
                  </w14:solidFill>
                </w14:textFill>
              </w:rPr>
              <w:t>。请投标人在上述时间内提供样品并按规定位置安装完毕。超过截止时间的，采购人或采购代理机构将不予接收及安装，并将清场并封闭样品现场。</w:t>
            </w:r>
          </w:p>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p>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（7）制作、运输、安装和保管样品所发生的一切费用由投标人自理。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pPr>
              <w:jc w:val="cente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7</w:t>
            </w:r>
          </w:p>
        </w:tc>
        <w:tc>
          <w:tcPr>
            <w:tcW w:w="1035" w:type="pct"/>
            <w:vAlign w:val="center"/>
          </w:tcPr>
          <w:p>
            <w:pPr>
              <w:jc w:val="cente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是否允许采购进口产品</w:t>
            </w:r>
          </w:p>
        </w:tc>
        <w:tc>
          <w:tcPr>
            <w:tcW w:w="3540" w:type="pct"/>
            <w:vAlign w:val="center"/>
          </w:tcPr>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sym w:font="Wingdings 2" w:char="0052"/>
            </w:r>
            <w:r>
              <w:rPr>
                <w:rFonts w:hint="eastAsia" w:ascii="宋体" w:hAnsi="宋体" w:cs="宋体"/>
                <w:color w:val="000000" w:themeColor="text1"/>
                <w:kern w:val="2"/>
                <w:sz w:val="24"/>
                <w:szCs w:val="24"/>
                <w:highlight w:val="none"/>
                <w14:textFill>
                  <w14:solidFill>
                    <w14:schemeClr w14:val="tx1"/>
                  </w14:solidFill>
                </w14:textFill>
              </w:rPr>
              <w:t>A本项目不允许采购进口产品。</w:t>
            </w:r>
          </w:p>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sym w:font="Wingdings 2" w:char="00A3"/>
            </w:r>
            <w:r>
              <w:rPr>
                <w:rFonts w:hint="eastAsia" w:ascii="宋体" w:hAnsi="宋体" w:cs="宋体"/>
                <w:color w:val="000000" w:themeColor="text1"/>
                <w:kern w:val="2"/>
                <w:sz w:val="24"/>
                <w:szCs w:val="24"/>
                <w:highlight w:val="none"/>
                <w14:textFill>
                  <w14:solidFill>
                    <w14:schemeClr w14:val="tx1"/>
                  </w14:solidFill>
                </w14:textFill>
              </w:rPr>
              <w:t>B可以采购进口产品，优先采购向我国企业转让技术、与我国企业签订消化吸收再创新方案的投标人的进口产品；但如果因信息不对称等原因，仍有满足需求的国内产品要求参与采购竞争的，采购人及其委托的采购代理机构不对其加以限制，将按照公平竞争原则实施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vAlign w:val="center"/>
          </w:tcPr>
          <w:p>
            <w:pPr>
              <w:jc w:val="cente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8</w:t>
            </w:r>
          </w:p>
        </w:tc>
        <w:tc>
          <w:tcPr>
            <w:tcW w:w="1035" w:type="pct"/>
            <w:vAlign w:val="center"/>
          </w:tcPr>
          <w:p>
            <w:pPr>
              <w:jc w:val="cente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项目属性与</w:t>
            </w:r>
          </w:p>
          <w:p>
            <w:pPr>
              <w:jc w:val="cente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核心产品</w:t>
            </w:r>
          </w:p>
        </w:tc>
        <w:tc>
          <w:tcPr>
            <w:tcW w:w="3540" w:type="pct"/>
            <w:vAlign w:val="center"/>
          </w:tcPr>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sym w:font="Wingdings 2" w:char="00A3"/>
            </w:r>
            <w:r>
              <w:rPr>
                <w:rFonts w:hint="eastAsia" w:ascii="宋体" w:hAnsi="宋体" w:cs="宋体"/>
                <w:color w:val="000000" w:themeColor="text1"/>
                <w:kern w:val="2"/>
                <w:sz w:val="24"/>
                <w:szCs w:val="24"/>
                <w:highlight w:val="none"/>
                <w14:textFill>
                  <w14:solidFill>
                    <w14:schemeClr w14:val="tx1"/>
                  </w14:solidFill>
                </w14:textFill>
              </w:rPr>
              <w:t>A货物类。</w:t>
            </w:r>
          </w:p>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sym w:font="Wingdings 2" w:char="0052"/>
            </w:r>
            <w:r>
              <w:rPr>
                <w:rFonts w:hint="eastAsia" w:ascii="宋体" w:hAnsi="宋体" w:cs="宋体"/>
                <w:color w:val="000000" w:themeColor="text1"/>
                <w:kern w:val="2"/>
                <w:sz w:val="24"/>
                <w:szCs w:val="24"/>
                <w:highlight w:val="none"/>
                <w14:textFill>
                  <w14:solidFill>
                    <w14:schemeClr w14:val="tx1"/>
                  </w14:solidFill>
                </w14:textFill>
              </w:rPr>
              <w:t>B服务类。</w:t>
            </w:r>
          </w:p>
          <w:p>
            <w:pPr>
              <w:widowControl/>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本项目核心产品为：</w:t>
            </w:r>
            <w:r>
              <w:rPr>
                <w:rFonts w:hint="eastAsia" w:ascii="宋体" w:hAnsi="宋体" w:cs="宋体"/>
                <w:color w:val="000000" w:themeColor="text1"/>
                <w:kern w:val="2"/>
                <w:sz w:val="24"/>
                <w:szCs w:val="24"/>
                <w:highlight w:val="none"/>
                <w:u w:val="single"/>
                <w14:textFill>
                  <w14:solidFill>
                    <w14:schemeClr w14:val="tx1"/>
                  </w14:solidFill>
                </w14:textFill>
              </w:rPr>
              <w:t>镇江市焚烧灰渣处置场飞灰填埋运营服务。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pPr>
              <w:jc w:val="cente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9</w:t>
            </w:r>
          </w:p>
        </w:tc>
        <w:tc>
          <w:tcPr>
            <w:tcW w:w="1035" w:type="pct"/>
            <w:vAlign w:val="center"/>
          </w:tcPr>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Cs w:val="21"/>
                <w:highlight w:val="none"/>
                <w14:textFill>
                  <w14:solidFill>
                    <w14:schemeClr w14:val="tx1"/>
                  </w14:solidFill>
                </w14:textFill>
              </w:rPr>
              <w:t>采购标的对应的中小企业划分标准所属行业</w:t>
            </w:r>
          </w:p>
        </w:tc>
        <w:tc>
          <w:tcPr>
            <w:tcW w:w="3540" w:type="pct"/>
            <w:vAlign w:val="center"/>
          </w:tcPr>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（1）标的：</w:t>
            </w:r>
            <w:r>
              <w:rPr>
                <w:rFonts w:hint="eastAsia" w:ascii="宋体" w:hAnsi="宋体" w:cs="宋体"/>
                <w:color w:val="000000" w:themeColor="text1"/>
                <w:kern w:val="2"/>
                <w:sz w:val="24"/>
                <w:szCs w:val="24"/>
                <w:highlight w:val="none"/>
                <w:u w:val="single"/>
                <w14:textFill>
                  <w14:solidFill>
                    <w14:schemeClr w14:val="tx1"/>
                  </w14:solidFill>
                </w14:textFill>
              </w:rPr>
              <w:t>焚烧灰渣处置场飞灰填埋运营服务</w:t>
            </w:r>
            <w:r>
              <w:rPr>
                <w:rFonts w:hint="eastAsia" w:ascii="宋体" w:hAnsi="宋体" w:cs="宋体"/>
                <w:color w:val="000000" w:themeColor="text1"/>
                <w:kern w:val="2"/>
                <w:sz w:val="24"/>
                <w:szCs w:val="24"/>
                <w:highlight w:val="none"/>
                <w14:textFill>
                  <w14:solidFill>
                    <w14:schemeClr w14:val="tx1"/>
                  </w14:solidFill>
                </w14:textFill>
              </w:rPr>
              <w:t>，属于</w:t>
            </w:r>
            <w:r>
              <w:rPr>
                <w:rFonts w:hint="eastAsia" w:ascii="宋体" w:hAnsi="宋体" w:cs="宋体"/>
                <w:color w:val="000000" w:themeColor="text1"/>
                <w:kern w:val="2"/>
                <w:sz w:val="24"/>
                <w:szCs w:val="24"/>
                <w:highlight w:val="none"/>
                <w:u w:val="single"/>
                <w14:textFill>
                  <w14:solidFill>
                    <w14:schemeClr w14:val="tx1"/>
                  </w14:solidFill>
                </w14:textFill>
              </w:rPr>
              <w:t>其他未列明行业</w:t>
            </w:r>
            <w:r>
              <w:rPr>
                <w:rFonts w:hint="eastAsia" w:ascii="宋体" w:hAnsi="宋体" w:cs="宋体"/>
                <w:color w:val="000000" w:themeColor="text1"/>
                <w:kern w:val="2"/>
                <w:sz w:val="24"/>
                <w:szCs w:val="24"/>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pPr>
              <w:jc w:val="cente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10</w:t>
            </w:r>
          </w:p>
        </w:tc>
        <w:tc>
          <w:tcPr>
            <w:tcW w:w="1035" w:type="pct"/>
            <w:vAlign w:val="center"/>
          </w:tcPr>
          <w:p>
            <w:pPr>
              <w:jc w:val="cente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节能产品、环境标志产品</w:t>
            </w:r>
          </w:p>
        </w:tc>
        <w:tc>
          <w:tcPr>
            <w:tcW w:w="3540" w:type="pct"/>
            <w:vAlign w:val="center"/>
          </w:tcPr>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投标人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pPr>
              <w:jc w:val="cente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11</w:t>
            </w:r>
          </w:p>
        </w:tc>
        <w:tc>
          <w:tcPr>
            <w:tcW w:w="1035" w:type="pct"/>
            <w:vAlign w:val="center"/>
          </w:tcPr>
          <w:p>
            <w:pPr>
              <w:jc w:val="cente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中小企业信用融资</w:t>
            </w:r>
          </w:p>
        </w:tc>
        <w:tc>
          <w:tcPr>
            <w:tcW w:w="3540" w:type="pct"/>
            <w:vAlign w:val="center"/>
          </w:tcPr>
          <w:p>
            <w:pP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为进一步发挥政府采购政策导向作用，有效缓解企业融资难题，推进完善应收账款融资服务平台的融资服务功能，促进中小微企业平稳健康发展，</w:t>
            </w:r>
            <w:bookmarkStart w:id="50" w:name="_Hlk136445673"/>
            <w:r>
              <w:rPr>
                <w:rFonts w:hint="eastAsia" w:ascii="宋体" w:hAnsi="宋体" w:cs="宋体"/>
                <w:color w:val="000000" w:themeColor="text1"/>
                <w:kern w:val="2"/>
                <w:sz w:val="24"/>
                <w:szCs w:val="24"/>
                <w:highlight w:val="none"/>
                <w14:textFill>
                  <w14:solidFill>
                    <w14:schemeClr w14:val="tx1"/>
                  </w14:solidFill>
                </w14:textFill>
              </w:rPr>
              <w:t>镇江市财政局和中国人民银行镇江市中心支行联合印发《关于转发〈关于深入推进政府采购线上合同信用融资工作的通知〉的通知》</w:t>
            </w:r>
            <w:bookmarkEnd w:id="50"/>
            <w:r>
              <w:rPr>
                <w:rFonts w:hint="eastAsia" w:ascii="宋体" w:hAnsi="宋体" w:cs="宋体"/>
                <w:color w:val="000000" w:themeColor="text1"/>
                <w:kern w:val="2"/>
                <w:sz w:val="24"/>
                <w:szCs w:val="24"/>
                <w:highlight w:val="none"/>
                <w14:textFill>
                  <w14:solidFill>
                    <w14:schemeClr w14:val="tx1"/>
                  </w14:solidFill>
                </w14:textFill>
              </w:rPr>
              <w:t>，</w:t>
            </w:r>
            <w:bookmarkStart w:id="51" w:name="_Hlk136444446"/>
            <w:r>
              <w:rPr>
                <w:rFonts w:hint="eastAsia" w:ascii="宋体" w:hAnsi="宋体" w:cs="宋体"/>
                <w:color w:val="000000" w:themeColor="text1"/>
                <w:kern w:val="2"/>
                <w:sz w:val="24"/>
                <w:szCs w:val="24"/>
                <w:highlight w:val="none"/>
                <w14:textFill>
                  <w14:solidFill>
                    <w14:schemeClr w14:val="tx1"/>
                  </w14:solidFill>
                </w14:textFill>
              </w:rPr>
              <w:t>采购项目中标人如有融资需求，可在签订政府采购合同时向采购人说明融资需求，由采购人在录入合同时标注融资需求后，凭政府采购合同在相关金融机构办理无抵押、低利率授信申请。</w:t>
            </w:r>
            <w:bookmarkEnd w:id="51"/>
            <w:r>
              <w:rPr>
                <w:rFonts w:hint="eastAsia" w:ascii="宋体" w:hAnsi="宋体" w:cs="宋体"/>
                <w:color w:val="000000" w:themeColor="text1"/>
                <w:kern w:val="2"/>
                <w:sz w:val="24"/>
                <w:szCs w:val="24"/>
                <w:highlight w:val="none"/>
                <w14:textFill>
                  <w14:solidFill>
                    <w14:schemeClr w14:val="tx1"/>
                  </w14:solidFill>
                </w14:textFill>
              </w:rPr>
              <w:t>办理流程详见江苏政府采购网“政采贷”栏目，网址：http://www.ccgp-jiangsu.gov.cn/jiangsu/paying.html咨询电话：镇江市财政局政府采购处0511-80909958。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pPr>
              <w:jc w:val="cente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12</w:t>
            </w:r>
          </w:p>
        </w:tc>
        <w:tc>
          <w:tcPr>
            <w:tcW w:w="1035" w:type="pct"/>
            <w:vAlign w:val="center"/>
          </w:tcPr>
          <w:p>
            <w:pPr>
              <w:jc w:val="center"/>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特别说明</w:t>
            </w:r>
          </w:p>
        </w:tc>
        <w:tc>
          <w:tcPr>
            <w:tcW w:w="3540" w:type="pct"/>
            <w:vAlign w:val="center"/>
          </w:tcPr>
          <w:p>
            <w:pPr>
              <w:rPr>
                <w:rFonts w:ascii="宋体" w:hAnsi="宋体" w:cs="宋体"/>
                <w:i/>
                <w:iCs/>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无。</w:t>
            </w:r>
          </w:p>
        </w:tc>
      </w:tr>
    </w:tbl>
    <w:p>
      <w:pPr>
        <w:pStyle w:val="1302"/>
        <w:spacing w:before="240"/>
        <w:jc w:val="center"/>
        <w:rPr>
          <w:rFonts w:ascii="宋体" w:eastAsia="宋体"/>
          <w:b/>
          <w:bCs/>
          <w:color w:val="000000" w:themeColor="text1"/>
          <w:highlight w:val="none"/>
          <w14:textFill>
            <w14:solidFill>
              <w14:schemeClr w14:val="tx1"/>
            </w14:solidFill>
          </w14:textFill>
        </w:rPr>
      </w:pPr>
      <w:bookmarkStart w:id="52" w:name="_Toc152531520"/>
      <w:bookmarkStart w:id="53" w:name="_Toc151931382"/>
    </w:p>
    <w:p>
      <w:pPr>
        <w:pStyle w:val="1302"/>
        <w:spacing w:before="240"/>
        <w:jc w:val="center"/>
        <w:rPr>
          <w:rFonts w:ascii="宋体" w:eastAsia="宋体"/>
          <w:b/>
          <w:bCs/>
          <w:color w:val="000000" w:themeColor="text1"/>
          <w:highlight w:val="none"/>
          <w14:textFill>
            <w14:solidFill>
              <w14:schemeClr w14:val="tx1"/>
            </w14:solidFill>
          </w14:textFill>
        </w:rPr>
      </w:pPr>
      <w:r>
        <w:rPr>
          <w:rFonts w:hint="eastAsia" w:ascii="宋体" w:eastAsia="宋体"/>
          <w:b/>
          <w:bCs/>
          <w:color w:val="000000" w:themeColor="text1"/>
          <w:highlight w:val="none"/>
          <w14:textFill>
            <w14:solidFill>
              <w14:schemeClr w14:val="tx1"/>
            </w14:solidFill>
          </w14:textFill>
        </w:rPr>
        <w:t>一、总  则</w:t>
      </w:r>
      <w:bookmarkEnd w:id="48"/>
      <w:bookmarkEnd w:id="49"/>
      <w:bookmarkEnd w:id="52"/>
      <w:bookmarkEnd w:id="53"/>
    </w:p>
    <w:p>
      <w:pPr>
        <w:pStyle w:val="206"/>
        <w:keepNext w:val="0"/>
        <w:keepLines w:val="0"/>
        <w:spacing w:before="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1．适用范围</w:t>
      </w:r>
    </w:p>
    <w:p>
      <w:pPr>
        <w:spacing w:line="360" w:lineRule="auto"/>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1.1本招标文件仅适用于</w:t>
      </w:r>
      <w:r>
        <w:rPr>
          <w:rFonts w:hint="eastAsia" w:ascii="宋体" w:hAnsi="宋体"/>
          <w:b/>
          <w:bCs/>
          <w:color w:val="000000" w:themeColor="text1"/>
          <w:sz w:val="24"/>
          <w:highlight w:val="none"/>
          <w14:textFill>
            <w14:solidFill>
              <w14:schemeClr w14:val="tx1"/>
            </w14:solidFill>
          </w14:textFill>
        </w:rPr>
        <w:t>镇江市焚烧灰渣处置场飞灰填埋运营服务项目</w:t>
      </w:r>
      <w:r>
        <w:rPr>
          <w:rFonts w:hint="eastAsia" w:ascii="宋体" w:hAnsi="宋体"/>
          <w:color w:val="000000" w:themeColor="text1"/>
          <w:sz w:val="24"/>
          <w:highlight w:val="none"/>
          <w14:textFill>
            <w14:solidFill>
              <w14:schemeClr w14:val="tx1"/>
            </w14:solidFill>
          </w14:textFill>
        </w:rPr>
        <w:t>。</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2．定义</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招标文件中下列术语应解释为：</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 “招标组织方”系指招标代理机构或采购单位，即：</w:t>
      </w:r>
      <w:r>
        <w:rPr>
          <w:rFonts w:hint="eastAsia" w:ascii="宋体" w:hAnsi="宋体"/>
          <w:b/>
          <w:bCs/>
          <w:color w:val="000000" w:themeColor="text1"/>
          <w:sz w:val="24"/>
          <w:highlight w:val="none"/>
          <w14:textFill>
            <w14:solidFill>
              <w14:schemeClr w14:val="tx1"/>
            </w14:solidFill>
          </w14:textFill>
        </w:rPr>
        <w:t>江苏巍信项目管理有限公司</w:t>
      </w:r>
      <w:r>
        <w:rPr>
          <w:rFonts w:hint="eastAsia" w:ascii="宋体" w:hAnsi="宋体"/>
          <w:color w:val="000000" w:themeColor="text1"/>
          <w:sz w:val="24"/>
          <w:highlight w:val="none"/>
          <w14:textFill>
            <w14:solidFill>
              <w14:schemeClr w14:val="tx1"/>
            </w14:solidFill>
          </w14:textFill>
        </w:rPr>
        <w:t>。</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2.2“投标人”系指响应招标、参加投标竞争的法人、其他组织或者自然人。</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2.3“招标人”系指依法进行政府采购的国家机关、事业单位、团体组织，即：</w:t>
      </w:r>
      <w:r>
        <w:rPr>
          <w:rFonts w:hint="eastAsia" w:ascii="宋体" w:hAnsi="宋体"/>
          <w:b/>
          <w:bCs/>
          <w:color w:val="000000" w:themeColor="text1"/>
          <w:sz w:val="24"/>
          <w:highlight w:val="none"/>
          <w14:textFill>
            <w14:solidFill>
              <w14:schemeClr w14:val="tx1"/>
            </w14:solidFill>
          </w14:textFill>
        </w:rPr>
        <w:t>镇江市环境卫生管理服务中心</w:t>
      </w:r>
      <w:r>
        <w:rPr>
          <w:rFonts w:hint="eastAsia" w:ascii="宋体" w:hAnsi="宋体"/>
          <w:color w:val="000000" w:themeColor="text1"/>
          <w:sz w:val="24"/>
          <w:highlight w:val="none"/>
          <w14:textFill>
            <w14:solidFill>
              <w14:schemeClr w14:val="tx1"/>
            </w14:solidFill>
          </w14:textFill>
        </w:rPr>
        <w:t>。</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 xml:space="preserve">“服务”系指本招标文件所述采购标的，即镇江市焚烧灰渣处置场飞灰填埋运营服务。 </w:t>
      </w:r>
    </w:p>
    <w:p>
      <w:pPr>
        <w:pStyle w:val="206"/>
        <w:keepNext w:val="0"/>
        <w:keepLines w:val="0"/>
        <w:spacing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3．采购方式</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3.1 本次采购采取公开招标方式</w:t>
      </w:r>
      <w:bookmarkStart w:id="54" w:name="EB2789ee8243454d5fb316ed3bd47bfc0a"/>
      <w:bookmarkEnd w:id="54"/>
      <w:bookmarkStart w:id="55" w:name="EBe28b21dffc944333b358f50ce01022e1"/>
      <w:r>
        <w:rPr>
          <w:rFonts w:ascii="Segoe UI Symbol" w:hAnsi="Segoe UI Symbol" w:cs="Segoe UI Symbol"/>
          <w:color w:val="000000" w:themeColor="text1"/>
          <w:sz w:val="24"/>
          <w:highlight w:val="none"/>
          <w14:textFill>
            <w14:solidFill>
              <w14:schemeClr w14:val="tx1"/>
            </w14:solidFill>
          </w14:textFill>
        </w:rPr>
        <w:t>☑</w:t>
      </w:r>
      <w:bookmarkEnd w:id="55"/>
      <w:r>
        <w:rPr>
          <w:rFonts w:hint="eastAsia" w:ascii="宋体" w:hAnsi="宋体"/>
          <w:color w:val="000000" w:themeColor="text1"/>
          <w:sz w:val="24"/>
          <w:highlight w:val="none"/>
          <w14:textFill>
            <w14:solidFill>
              <w14:schemeClr w14:val="tx1"/>
            </w14:solidFill>
          </w14:textFill>
        </w:rPr>
        <w:t>综合评分法。</w:t>
      </w:r>
    </w:p>
    <w:p>
      <w:pPr>
        <w:spacing w:line="360" w:lineRule="auto"/>
        <w:ind w:firstLine="48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3.2 本项目资格审查方式：</w:t>
      </w:r>
      <w:bookmarkStart w:id="56" w:name="EBba73abe681bc4b8694b9f9ae9fd779f1"/>
      <w:bookmarkEnd w:id="56"/>
      <w:bookmarkStart w:id="57" w:name="EB7cd56bff1fdc4f4d9c5b0efe46a2992a"/>
      <w:r>
        <w:rPr>
          <w:rFonts w:ascii="Segoe UI Symbol" w:hAnsi="Segoe UI Symbol" w:cs="Segoe UI Symbol"/>
          <w:color w:val="000000" w:themeColor="text1"/>
          <w:sz w:val="24"/>
          <w:szCs w:val="28"/>
          <w:highlight w:val="none"/>
          <w14:textFill>
            <w14:solidFill>
              <w14:schemeClr w14:val="tx1"/>
            </w14:solidFill>
          </w14:textFill>
        </w:rPr>
        <w:t>☑</w:t>
      </w:r>
      <w:bookmarkEnd w:id="57"/>
      <w:r>
        <w:rPr>
          <w:rFonts w:hint="eastAsia" w:ascii="宋体" w:hAnsi="宋体"/>
          <w:color w:val="000000" w:themeColor="text1"/>
          <w:sz w:val="24"/>
          <w:szCs w:val="28"/>
          <w:highlight w:val="none"/>
          <w14:textFill>
            <w14:solidFill>
              <w14:schemeClr w14:val="tx1"/>
            </w14:solidFill>
          </w14:textFill>
        </w:rPr>
        <w:t>资格后审</w:t>
      </w:r>
    </w:p>
    <w:p>
      <w:pPr>
        <w:spacing w:line="360" w:lineRule="auto"/>
        <w:ind w:firstLine="480"/>
        <w:rPr>
          <w:rFonts w:ascii="宋体" w:hAnsi="宋体"/>
          <w:color w:val="000000" w:themeColor="text1"/>
          <w:sz w:val="24"/>
          <w:highlight w:val="none"/>
          <w14:textFill>
            <w14:solidFill>
              <w14:schemeClr w14:val="tx1"/>
            </w14:solidFill>
          </w14:textFill>
        </w:rPr>
      </w:pPr>
      <w:bookmarkStart w:id="58" w:name="EB40e5b0b3554744cbbb0eccc8063a8ac0"/>
      <w:bookmarkEnd w:id="58"/>
      <w:r>
        <w:rPr>
          <w:rFonts w:hint="eastAsia" w:ascii="宋体" w:hAnsi="宋体"/>
          <w:color w:val="000000" w:themeColor="text1"/>
          <w:sz w:val="24"/>
          <w:highlight w:val="none"/>
          <w14:textFill>
            <w14:solidFill>
              <w14:schemeClr w14:val="tx1"/>
            </w14:solidFill>
          </w14:textFill>
        </w:rPr>
        <w:t>3.3 本次采购确定的中标投标人数量：</w:t>
      </w:r>
      <w:bookmarkStart w:id="59" w:name="EBb35a25d800cd4201b73d5996a6f103ac"/>
      <w:r>
        <w:rPr>
          <w:rFonts w:hint="eastAsia" w:ascii="宋体" w:hAnsi="宋体"/>
          <w:color w:val="000000" w:themeColor="text1"/>
          <w:sz w:val="24"/>
          <w:highlight w:val="none"/>
          <w14:textFill>
            <w14:solidFill>
              <w14:schemeClr w14:val="tx1"/>
            </w14:solidFill>
          </w14:textFill>
        </w:rPr>
        <w:t>1名</w:t>
      </w:r>
      <w:bookmarkEnd w:id="59"/>
    </w:p>
    <w:p>
      <w:pPr>
        <w:spacing w:line="360" w:lineRule="auto"/>
        <w:ind w:firstLine="480"/>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3.4 是否接受进口产品：</w:t>
      </w:r>
      <w:bookmarkStart w:id="60" w:name="EB4c33eb163a0448c294f758213661958a"/>
      <w:bookmarkEnd w:id="60"/>
      <w:bookmarkStart w:id="61" w:name="EB28725af2f8884a6f92f3a2b684aad6d6"/>
      <w:r>
        <w:rPr>
          <w:rFonts w:ascii="Segoe UI Symbol" w:hAnsi="Segoe UI Symbol" w:cs="Segoe UI Symbol"/>
          <w:color w:val="000000" w:themeColor="text1"/>
          <w:sz w:val="24"/>
          <w:szCs w:val="28"/>
          <w:highlight w:val="none"/>
          <w14:textFill>
            <w14:solidFill>
              <w14:schemeClr w14:val="tx1"/>
            </w14:solidFill>
          </w14:textFill>
        </w:rPr>
        <w:t>☑</w:t>
      </w:r>
      <w:bookmarkEnd w:id="61"/>
      <w:r>
        <w:rPr>
          <w:rFonts w:hint="eastAsia" w:ascii="宋体" w:hAnsi="宋体"/>
          <w:color w:val="000000" w:themeColor="text1"/>
          <w:sz w:val="24"/>
          <w:szCs w:val="28"/>
          <w:highlight w:val="none"/>
          <w14:textFill>
            <w14:solidFill>
              <w14:schemeClr w14:val="tx1"/>
            </w14:solidFill>
          </w14:textFill>
        </w:rPr>
        <w:t>否</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3.5 转包及分包</w:t>
      </w:r>
    </w:p>
    <w:p>
      <w:pPr>
        <w:spacing w:line="360" w:lineRule="auto"/>
        <w:ind w:firstLine="400"/>
        <w:rPr>
          <w:rFonts w:ascii="宋体" w:hAnsi="宋体"/>
          <w:color w:val="000000" w:themeColor="text1"/>
          <w:sz w:val="24"/>
          <w:szCs w:val="28"/>
          <w:highlight w:val="none"/>
          <w14:textFill>
            <w14:solidFill>
              <w14:schemeClr w14:val="tx1"/>
            </w14:solidFill>
          </w14:textFill>
        </w:rPr>
      </w:pPr>
      <w:bookmarkStart w:id="62" w:name="EB4562413fe7d14e199cbf8cfafc174228"/>
      <w:bookmarkEnd w:id="62"/>
      <w:bookmarkStart w:id="63" w:name="EB4a30d712589e4230b994cef4f674ce65"/>
      <w:r>
        <w:rPr>
          <w:rFonts w:ascii="Segoe UI Symbol" w:hAnsi="Segoe UI Symbol" w:cs="Segoe UI Symbol"/>
          <w:color w:val="000000" w:themeColor="text1"/>
          <w:sz w:val="24"/>
          <w:szCs w:val="28"/>
          <w:highlight w:val="none"/>
          <w14:textFill>
            <w14:solidFill>
              <w14:schemeClr w14:val="tx1"/>
            </w14:solidFill>
          </w14:textFill>
        </w:rPr>
        <w:t>☑</w:t>
      </w:r>
      <w:bookmarkEnd w:id="63"/>
      <w:r>
        <w:rPr>
          <w:rFonts w:hint="eastAsia" w:ascii="宋体" w:hAnsi="宋体"/>
          <w:color w:val="000000" w:themeColor="text1"/>
          <w:sz w:val="24"/>
          <w:szCs w:val="28"/>
          <w:highlight w:val="none"/>
          <w14:textFill>
            <w14:solidFill>
              <w14:schemeClr w14:val="tx1"/>
            </w14:solidFill>
          </w14:textFill>
        </w:rPr>
        <w:t>本项目不得转包及分包。</w:t>
      </w:r>
    </w:p>
    <w:p>
      <w:pPr>
        <w:pStyle w:val="206"/>
        <w:keepNext w:val="0"/>
        <w:keepLines w:val="0"/>
        <w:spacing w:line="360" w:lineRule="auto"/>
        <w:ind w:firstLine="446"/>
        <w:rPr>
          <w:rFonts w:ascii="宋体" w:hAnsi="宋体"/>
          <w:color w:val="000000" w:themeColor="text1"/>
          <w:sz w:val="30"/>
          <w:highlight w:val="none"/>
          <w14:textFill>
            <w14:solidFill>
              <w14:schemeClr w14:val="tx1"/>
            </w14:solidFill>
          </w14:textFill>
        </w:rPr>
      </w:pPr>
      <w:bookmarkStart w:id="64" w:name="EBaa9b1c82d7ec4b54b8087b449350007f"/>
      <w:bookmarkEnd w:id="64"/>
      <w:r>
        <w:rPr>
          <w:rFonts w:hint="eastAsia" w:ascii="宋体" w:hAnsi="宋体"/>
          <w:color w:val="000000" w:themeColor="text1"/>
          <w:sz w:val="30"/>
          <w:highlight w:val="none"/>
          <w14:textFill>
            <w14:solidFill>
              <w14:schemeClr w14:val="tx1"/>
            </w14:solidFill>
          </w14:textFill>
        </w:rPr>
        <w:t>4．投标费用</w:t>
      </w:r>
    </w:p>
    <w:p>
      <w:pPr>
        <w:spacing w:line="360" w:lineRule="auto"/>
        <w:ind w:firstLine="480"/>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4.1 投标人应自行承担所有与参加投标有关的费用</w:t>
      </w:r>
      <w:r>
        <w:rPr>
          <w:rFonts w:hint="eastAsia" w:ascii="宋体" w:hAnsi="宋体"/>
          <w:b/>
          <w:color w:val="000000" w:themeColor="text1"/>
          <w:sz w:val="24"/>
          <w:highlight w:val="none"/>
          <w14:textFill>
            <w14:solidFill>
              <w14:schemeClr w14:val="tx1"/>
            </w14:solidFill>
          </w14:textFill>
        </w:rPr>
        <w:t>。</w:t>
      </w:r>
    </w:p>
    <w:p>
      <w:pPr>
        <w:spacing w:line="360" w:lineRule="auto"/>
        <w:ind w:firstLine="480" w:firstLineChars="200"/>
        <w:rPr>
          <w:rFonts w:ascii="宋体" w:hAnsi="宋体"/>
          <w:color w:val="000000" w:themeColor="text1"/>
          <w:sz w:val="24"/>
          <w:highlight w:val="none"/>
          <w14:textFill>
            <w14:solidFill>
              <w14:schemeClr w14:val="tx1"/>
            </w14:solidFill>
          </w14:textFill>
        </w:rPr>
      </w:pPr>
      <w:bookmarkStart w:id="65" w:name="EB34ad687dc71a4eccb674aca5ca301def"/>
      <w:r>
        <w:rPr>
          <w:rFonts w:hint="eastAsia" w:ascii="宋体" w:hAnsi="宋体" w:cs="Segoe UI Symbol"/>
          <w:color w:val="000000" w:themeColor="text1"/>
          <w:sz w:val="24"/>
          <w:highlight w:val="none"/>
          <w14:textFill>
            <w14:solidFill>
              <w14:schemeClr w14:val="tx1"/>
            </w14:solidFill>
          </w14:textFill>
        </w:rPr>
        <w:t>（1）</w:t>
      </w:r>
      <w:r>
        <w:rPr>
          <w:rFonts w:ascii="Segoe UI Symbol" w:hAnsi="Segoe UI Symbol" w:cs="Segoe UI Symbol"/>
          <w:color w:val="000000" w:themeColor="text1"/>
          <w:sz w:val="24"/>
          <w:highlight w:val="none"/>
          <w14:textFill>
            <w14:solidFill>
              <w14:schemeClr w14:val="tx1"/>
            </w14:solidFill>
          </w14:textFill>
        </w:rPr>
        <w:t>☑</w:t>
      </w:r>
      <w:bookmarkEnd w:id="65"/>
      <w:r>
        <w:rPr>
          <w:rFonts w:hint="eastAsia" w:ascii="宋体" w:hAnsi="宋体"/>
          <w:color w:val="000000" w:themeColor="text1"/>
          <w:sz w:val="24"/>
          <w:highlight w:val="none"/>
          <w14:textFill>
            <w14:solidFill>
              <w14:schemeClr w14:val="tx1"/>
            </w14:solidFill>
          </w14:textFill>
        </w:rPr>
        <w:t>中标人需向代理机构缴纳67000元招标代理服务费。</w:t>
      </w:r>
    </w:p>
    <w:p>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招标代理费用收款信息：</w:t>
      </w:r>
    </w:p>
    <w:p>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收款单位：江苏巍信项目管理有限公司</w:t>
      </w:r>
    </w:p>
    <w:p>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收款账号：10312501040016032</w:t>
      </w:r>
    </w:p>
    <w:p>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开户银行：中国农业银行股份有限公司镇江常发支行</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4.2 不论投标的结果如何，招标组织方在任何情况下均无义务和责任承担上述费用。</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5．政策功能</w:t>
      </w:r>
    </w:p>
    <w:p>
      <w:pPr>
        <w:spacing w:line="360" w:lineRule="auto"/>
        <w:ind w:firstLine="480"/>
        <w:rPr>
          <w:rFonts w:ascii="宋体" w:hAnsi="宋体"/>
          <w:bCs/>
          <w:color w:val="000000" w:themeColor="text1"/>
          <w:sz w:val="24"/>
          <w:highlight w:val="none"/>
          <w14:textFill>
            <w14:solidFill>
              <w14:schemeClr w14:val="tx1"/>
            </w14:solidFill>
          </w14:textFill>
        </w:rPr>
      </w:pPr>
      <w:bookmarkStart w:id="66" w:name="_Toc256000011"/>
      <w:r>
        <w:rPr>
          <w:rFonts w:hint="eastAsia" w:ascii="宋体" w:hAnsi="宋体"/>
          <w:bCs/>
          <w:color w:val="000000" w:themeColor="text1"/>
          <w:sz w:val="24"/>
          <w:highlight w:val="none"/>
          <w14:textFill>
            <w14:solidFill>
              <w14:schemeClr w14:val="tx1"/>
            </w14:solidFill>
          </w14:textFill>
        </w:rPr>
        <w:t>5.1支持中小企业发展</w:t>
      </w:r>
    </w:p>
    <w:p>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5.1.1中小企业，是指在中华人民共和国境内依法设立，依据国务院批准的中小企业划分标准确定的中型企业、小型企业和微型企业，但与大企业的负责人为同一人，或者与大企业存在直接控股、管理关系的除外。</w:t>
      </w:r>
    </w:p>
    <w:p>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符合中小企业划分标准的个体工商户，在政府采购活动中视同中小企业。</w:t>
      </w:r>
    </w:p>
    <w:p>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5.1.2在政府采购活动中，投标人提供的货物、工程或者服务符合下列情形的，享受中小企业扶持政策：</w:t>
      </w:r>
    </w:p>
    <w:p>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5.1.2.1在货物采购项目中，货物由中小企业制造，即货物由中小企业生产且使用该中小企业商号或者注册商标；</w:t>
      </w:r>
    </w:p>
    <w:p>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5.1.2.2在工程采购项目中，工程由中小企业承建，即工程施工单位为中小企业；</w:t>
      </w:r>
    </w:p>
    <w:p>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5.1.2.3在服务采购项目中，服务由中小企业承接，即提供服务的人员为中小企业依照《中华人民共和国劳动合同法》订立劳动合同的从业人员。</w:t>
      </w:r>
    </w:p>
    <w:p>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在货物采购项目中，投标人提供的货物既有中小企业制造货物，也有大型企业制造货物的，不享受中小企业扶持政策。</w:t>
      </w:r>
    </w:p>
    <w:p>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5.1.3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5.1.6中小企业享受扶持政策获得政府采购合同的，小微企业不得将合同分包给大中型企业，中型企业不得将合同分包给大型企业。</w:t>
      </w:r>
    </w:p>
    <w:p>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5.2强制采购信息安全产品</w:t>
      </w:r>
    </w:p>
    <w:p>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信息安全产品指国家质检总局国家认监委《信息安全产品强制性认证目录》，并获得强制性产品认证证书的产品。</w:t>
      </w:r>
    </w:p>
    <w:p>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5.3支持绿色发展</w:t>
      </w:r>
    </w:p>
    <w:p>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5.3.1根据《财政部 发展改革委 生态环境部 市场监管总局关于调整优化节能产品 环境标志产品政府采购执行机制的通知》（财库〔2019〕9号）的规定，对政府采购节能产品、环境标志产品实施品目清单管理。投标人所投产品属于品目清单范围的，依据国家确定的认证机构出具的、处于有效期之内的节能产品、环境标志产品认证证书，对获得证书的产品实施政府优先采购或强制采购。</w:t>
      </w:r>
    </w:p>
    <w:p>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5.3.2本项目中涉及商品包装和快递包装的，参考《财政部办公厅关于印发《商品包装政府采购需求标准（试行）》、《快递包装政府采购需求标准（试行）》的通知》（财办库〔2020〕123号）规定的包装需求标准。</w:t>
      </w:r>
    </w:p>
    <w:p>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5.3.4招标人采购数据中心相关设备、运维服务，按照《绿色数据中心政府采购需求标准（试行）》实施相关采购活动。</w:t>
      </w:r>
    </w:p>
    <w:p>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5.4 根据国家扶持中小企业的有关政策，采购项目中标人在履约过程中如遇到资金困难，凭政府采购合同在相关金融机构办理授信申请，相关事宜请查阅“镇江市公共资源交易服务平台---政府采购”网站。</w:t>
      </w:r>
    </w:p>
    <w:p>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5.5支持创新发展</w:t>
      </w:r>
    </w:p>
    <w:p>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5.5.1招标人优先采购被认定为重点推广应用、首台（套）重大装备、重点领域首版次软件的自主创新产品。</w:t>
      </w:r>
    </w:p>
    <w:p>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5.6平等对待内外资企业和符合条件的破产重整企业</w:t>
      </w:r>
    </w:p>
    <w:p>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5.6.1平等对待内外资企业和符合条件的破产重整企业，切实保障企业公平竞争，平等维护企业的合法利益。</w:t>
      </w:r>
      <w:bookmarkStart w:id="67" w:name="_Toc148961820"/>
    </w:p>
    <w:p>
      <w:pPr>
        <w:pStyle w:val="1302"/>
        <w:spacing w:before="240"/>
        <w:jc w:val="center"/>
        <w:rPr>
          <w:rFonts w:ascii="宋体" w:eastAsia="宋体"/>
          <w:b/>
          <w:bCs/>
          <w:color w:val="000000" w:themeColor="text1"/>
          <w:highlight w:val="none"/>
          <w14:textFill>
            <w14:solidFill>
              <w14:schemeClr w14:val="tx1"/>
            </w14:solidFill>
          </w14:textFill>
        </w:rPr>
      </w:pPr>
      <w:bookmarkStart w:id="68" w:name="_Toc152531521"/>
      <w:bookmarkStart w:id="69" w:name="_Toc151931383"/>
      <w:r>
        <w:rPr>
          <w:rFonts w:hint="eastAsia" w:ascii="宋体" w:eastAsia="宋体"/>
          <w:b/>
          <w:bCs/>
          <w:color w:val="000000" w:themeColor="text1"/>
          <w:highlight w:val="none"/>
          <w14:textFill>
            <w14:solidFill>
              <w14:schemeClr w14:val="tx1"/>
            </w14:solidFill>
          </w14:textFill>
        </w:rPr>
        <w:t>二、招标文件</w:t>
      </w:r>
      <w:bookmarkEnd w:id="66"/>
      <w:bookmarkEnd w:id="67"/>
      <w:bookmarkEnd w:id="68"/>
      <w:bookmarkEnd w:id="69"/>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6．招标文件组成</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6.1 招标文件包括：</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（1）投标邀请</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（2）投标人须知</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（3）合同</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（4）采购需求</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（5）评标办法和标准</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（6）投标文件（格式）</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6.2 投标人获取本文件后，应认真阅读本文件中所有的事项、格式条款和规范等要求。</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6.3 </w:t>
      </w:r>
      <w:r>
        <w:rPr>
          <w:rFonts w:hint="eastAsia" w:ascii="宋体" w:hAnsi="宋体"/>
          <w:b/>
          <w:color w:val="000000" w:themeColor="text1"/>
          <w:sz w:val="24"/>
          <w:highlight w:val="none"/>
          <w:u w:val="single"/>
          <w14:textFill>
            <w14:solidFill>
              <w14:schemeClr w14:val="tx1"/>
            </w14:solidFill>
          </w14:textFill>
        </w:rPr>
        <w:t>除非有特殊要求，招标文件不单独提供招标标的所在地自然环境、气象条件、公用设施等情况，投标人被视为熟悉上述与签订和履行合同有关的一切情况</w:t>
      </w:r>
      <w:r>
        <w:rPr>
          <w:rFonts w:hint="eastAsia" w:ascii="宋体" w:hAnsi="宋体"/>
          <w:color w:val="000000" w:themeColor="text1"/>
          <w:sz w:val="24"/>
          <w:highlight w:val="none"/>
          <w14:textFill>
            <w14:solidFill>
              <w14:schemeClr w14:val="tx1"/>
            </w14:solidFill>
          </w14:textFill>
        </w:rPr>
        <w:t>。</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7．招标文件的澄清和修改</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7.1 任何要求对招标文件进行澄清的潜在投标人，应及时联系项目联系人。</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 </w:t>
      </w:r>
      <w:r>
        <w:rPr>
          <w:rFonts w:hint="eastAsia" w:ascii="宋体" w:hAnsi="宋体"/>
          <w:b/>
          <w:color w:val="000000" w:themeColor="text1"/>
          <w:sz w:val="24"/>
          <w:highlight w:val="none"/>
          <w14:textFill>
            <w14:solidFill>
              <w14:schemeClr w14:val="tx1"/>
            </w14:solidFill>
          </w14:textFill>
        </w:rPr>
        <w:t>按照权责相一致原则，投标人提出的对于招标文件主要商务、技术指标的相关澄清、修改要求，由招标人负责答复并视情况作出澄清或修改的决定。</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7.3 招标人或者招标代理机构可以对已发出的招标文件、资格预审文件、投标邀请书进行必要的澄清或者修改，但不改变采购标的和资格要求。澄清或者修改将在原公告媒体网站上发布澄清公告，澄清或者修改的内容为招标文件、资格预审文件、投标邀请书的组成部分。</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7.4 澄清或者修改的内容可能影响投标文件编制的，招标人或者招标代理机构将在提交截止时间至少15日前，在系统中以书面形式通知所有已获取招标文件的潜在投标人；不足15日的，招标人或者招标代理机构将顺延提交投标文件的截止时间。投标人应及时自行登录系统查看相应内容。</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7.5 如澄清或修改公告有重新发布招标文件的，投标人应下载最新发布的招标文件制作投标文件。</w:t>
      </w:r>
      <w:r>
        <w:rPr>
          <w:rFonts w:ascii="宋体" w:hAnsi="宋体"/>
          <w:color w:val="000000" w:themeColor="text1"/>
          <w:sz w:val="24"/>
          <w:highlight w:val="none"/>
          <w14:textFill>
            <w14:solidFill>
              <w14:schemeClr w14:val="tx1"/>
            </w14:solidFill>
          </w14:textFill>
        </w:rPr>
        <w:t>因</w:t>
      </w:r>
      <w:r>
        <w:rPr>
          <w:rFonts w:hint="eastAsia" w:ascii="宋体" w:hAnsi="宋体"/>
          <w:color w:val="000000" w:themeColor="text1"/>
          <w:sz w:val="24"/>
          <w:highlight w:val="none"/>
          <w14:textFill>
            <w14:solidFill>
              <w14:schemeClr w14:val="tx1"/>
            </w14:solidFill>
          </w14:textFill>
        </w:rPr>
        <w:t>投标人</w:t>
      </w:r>
      <w:r>
        <w:rPr>
          <w:rFonts w:ascii="宋体" w:hAnsi="宋体"/>
          <w:color w:val="000000" w:themeColor="text1"/>
          <w:sz w:val="24"/>
          <w:highlight w:val="none"/>
          <w14:textFill>
            <w14:solidFill>
              <w14:schemeClr w14:val="tx1"/>
            </w14:solidFill>
          </w14:textFill>
        </w:rPr>
        <w:t>自身原因未能及时获取的</w:t>
      </w:r>
      <w:r>
        <w:rPr>
          <w:rFonts w:hint="eastAsia" w:ascii="宋体" w:hAnsi="宋体"/>
          <w:color w:val="000000" w:themeColor="text1"/>
          <w:sz w:val="24"/>
          <w:highlight w:val="none"/>
          <w14:textFill>
            <w14:solidFill>
              <w14:schemeClr w14:val="tx1"/>
            </w14:solidFill>
          </w14:textFill>
        </w:rPr>
        <w:t>，一切后果由投标人自行承担。</w:t>
      </w:r>
    </w:p>
    <w:p>
      <w:pPr>
        <w:pStyle w:val="1302"/>
        <w:spacing w:before="240"/>
        <w:jc w:val="center"/>
        <w:rPr>
          <w:rFonts w:ascii="宋体" w:eastAsia="宋体"/>
          <w:b/>
          <w:bCs/>
          <w:color w:val="000000" w:themeColor="text1"/>
          <w:highlight w:val="none"/>
          <w14:textFill>
            <w14:solidFill>
              <w14:schemeClr w14:val="tx1"/>
            </w14:solidFill>
          </w14:textFill>
        </w:rPr>
      </w:pPr>
      <w:bookmarkStart w:id="70" w:name="_Toc152531522"/>
      <w:bookmarkStart w:id="71" w:name="_Toc148961821"/>
      <w:bookmarkStart w:id="72" w:name="_Toc256000012"/>
      <w:bookmarkStart w:id="73" w:name="_Toc151931384"/>
      <w:r>
        <w:rPr>
          <w:rFonts w:hint="eastAsia" w:ascii="宋体" w:eastAsia="宋体"/>
          <w:b/>
          <w:bCs/>
          <w:color w:val="000000" w:themeColor="text1"/>
          <w:highlight w:val="none"/>
          <w14:textFill>
            <w14:solidFill>
              <w14:schemeClr w14:val="tx1"/>
            </w14:solidFill>
          </w14:textFill>
        </w:rPr>
        <w:t>三、投标文件</w:t>
      </w:r>
      <w:bookmarkEnd w:id="70"/>
      <w:bookmarkEnd w:id="71"/>
      <w:bookmarkEnd w:id="72"/>
      <w:bookmarkEnd w:id="73"/>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8．编制投标文件的工具</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8.1 投标人须通过“苏采云”平台提供的最新响应文件制作软件编制投标文件。</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9．投标文件语言及度量衡单位</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9.1 投标人的投标文件以及投标人就有关投标的所有来往通知、函件和文件均应使用简体中文。投标人提交的支持性文件可以使用另一种语言，但相应内容应翻译成中文，在解释响应文件时以中文文本为准。</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9.2 投标文件中所使用的计量单位除招标文件中另有特殊规定外，一律使用法定计量单位。</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10．投标文件的构成</w:t>
      </w:r>
    </w:p>
    <w:p>
      <w:pPr>
        <w:pStyle w:val="1204"/>
        <w:widowControl/>
        <w:spacing w:line="360" w:lineRule="auto"/>
        <w:ind w:firstLine="42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10.1 投标文件分为资格部分、商务部分和技术部分。</w:t>
      </w:r>
    </w:p>
    <w:p>
      <w:pPr>
        <w:pStyle w:val="1204"/>
        <w:widowControl/>
        <w:spacing w:line="360" w:lineRule="auto"/>
        <w:ind w:firstLine="42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10.2 资格部分系指投标人提交的证明其有资格参加投标的文件。</w:t>
      </w:r>
    </w:p>
    <w:p>
      <w:pPr>
        <w:pStyle w:val="1204"/>
        <w:widowControl/>
        <w:spacing w:line="360" w:lineRule="auto"/>
        <w:ind w:firstLine="42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10.3 商务部分系指投标人提交的证明其中标后有能力履行合同的文件。</w:t>
      </w:r>
    </w:p>
    <w:p>
      <w:pPr>
        <w:pStyle w:val="1204"/>
        <w:widowControl/>
        <w:spacing w:line="360" w:lineRule="auto"/>
        <w:ind w:firstLine="42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10.4 技术部分系指投标人提交的能够证明投标人提供的货物（服务）符合招标文件规定的文件。</w:t>
      </w:r>
    </w:p>
    <w:p>
      <w:pPr>
        <w:pStyle w:val="1204"/>
        <w:widowControl/>
        <w:spacing w:line="360" w:lineRule="auto"/>
        <w:ind w:firstLine="42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10.5 具体填写格式详见招标文件第六部分。</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11．投标文件的编制</w:t>
      </w:r>
    </w:p>
    <w:p>
      <w:pPr>
        <w:spacing w:line="360" w:lineRule="auto"/>
        <w:ind w:left="1" w:firstLine="480"/>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11.1 投标人应仔细阅读招标文件，按照招标文件的要求编制投标文件。投标文件应当对招标文件提出的要求和条件作出明确响应。</w:t>
      </w:r>
    </w:p>
    <w:p>
      <w:pPr>
        <w:spacing w:line="360" w:lineRule="auto"/>
        <w:ind w:left="1" w:firstLine="480"/>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11.2 </w:t>
      </w:r>
      <w:r>
        <w:rPr>
          <w:rFonts w:hint="eastAsia" w:ascii="宋体" w:hAnsi="宋体"/>
          <w:b/>
          <w:color w:val="000000" w:themeColor="text1"/>
          <w:sz w:val="24"/>
          <w:highlight w:val="none"/>
          <w14:textFill>
            <w14:solidFill>
              <w14:schemeClr w14:val="tx1"/>
            </w14:solidFill>
          </w14:textFill>
        </w:rPr>
        <w:t>投标人在编制投标文件时，各模块内容须填写或提交到对应位置，无相应内容可填的项应填写“无”、“没有相应指标”等明确的回答文字。</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11.3 投标文件编排混乱、文字表达不清或上传资料内容模糊所引起的不利后果，由投标人自行承担。</w:t>
      </w:r>
    </w:p>
    <w:p>
      <w:pPr>
        <w:pStyle w:val="1204"/>
        <w:widowControl/>
        <w:spacing w:line="360" w:lineRule="auto"/>
        <w:ind w:firstLine="42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11.4 </w:t>
      </w:r>
      <w:r>
        <w:rPr>
          <w:rFonts w:hint="eastAsia" w:ascii="宋体" w:hAnsi="宋体"/>
          <w:b/>
          <w:color w:val="000000" w:themeColor="text1"/>
          <w:sz w:val="24"/>
          <w:highlight w:val="none"/>
          <w14:textFill>
            <w14:solidFill>
              <w14:schemeClr w14:val="tx1"/>
            </w14:solidFill>
          </w14:textFill>
        </w:rPr>
        <w:t>投标人必须保证投标文件所提供的全部资料合法、真实、可靠。</w:t>
      </w:r>
    </w:p>
    <w:p>
      <w:pPr>
        <w:pStyle w:val="206"/>
        <w:keepNext w:val="0"/>
        <w:keepLines w:val="0"/>
        <w:spacing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12．投标报价</w:t>
      </w:r>
    </w:p>
    <w:p>
      <w:pPr>
        <w:spacing w:line="360" w:lineRule="auto"/>
        <w:ind w:left="2" w:firstLine="480"/>
        <w:rPr>
          <w:rFonts w:ascii="宋体" w:hAnsi="宋体"/>
          <w:color w:val="000000" w:themeColor="text1"/>
          <w:sz w:val="24"/>
          <w:highlight w:val="none"/>
          <w14:textFill>
            <w14:solidFill>
              <w14:schemeClr w14:val="tx1"/>
            </w14:solidFill>
          </w14:textFill>
        </w:rPr>
      </w:pPr>
      <w:bookmarkStart w:id="74" w:name="EB46b5484d4fa1479cac1b028480042d83"/>
      <w:r>
        <w:rPr>
          <w:rFonts w:hint="eastAsia" w:ascii="宋体" w:hAnsi="宋体"/>
          <w:color w:val="000000" w:themeColor="text1"/>
          <w:sz w:val="24"/>
          <w:highlight w:val="none"/>
          <w14:textFill>
            <w14:solidFill>
              <w14:schemeClr w14:val="tx1"/>
            </w14:solidFill>
          </w14:textFill>
        </w:rPr>
        <w:t>12.1 投标应以人民币报价（保留至小数点后2位，四舍五入）。</w:t>
      </w:r>
    </w:p>
    <w:p>
      <w:pPr>
        <w:spacing w:line="360" w:lineRule="auto"/>
        <w:ind w:left="2"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12.2 投标人应按招标文件所提供的各报价表格式报价。</w:t>
      </w:r>
    </w:p>
    <w:p>
      <w:pPr>
        <w:spacing w:line="360" w:lineRule="auto"/>
        <w:ind w:left="2"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12.3 投标人应对本项目报出最具有竞争力的价格，应包括本次招标要求提供的服务（货物）已支付或将支付的所有费用。</w:t>
      </w:r>
    </w:p>
    <w:p>
      <w:pPr>
        <w:spacing w:line="360" w:lineRule="auto"/>
        <w:ind w:left="2"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12.4 最低投标报价不能作为中标的唯一保证。</w:t>
      </w:r>
    </w:p>
    <w:p>
      <w:pPr>
        <w:spacing w:line="360" w:lineRule="auto"/>
        <w:ind w:left="2"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12.5 中标价即为合同签约价。</w:t>
      </w:r>
    </w:p>
    <w:p>
      <w:pPr>
        <w:spacing w:line="360" w:lineRule="auto"/>
        <w:ind w:left="2"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12.6 如出现报价前后不一致的，将按招标文件第五部分“评标办法和标准”第5项规定进行修正。</w:t>
      </w:r>
      <w:bookmarkEnd w:id="74"/>
    </w:p>
    <w:p>
      <w:pPr>
        <w:pStyle w:val="206"/>
        <w:keepNext w:val="0"/>
        <w:keepLines w:val="0"/>
        <w:spacing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13．投标保证金</w:t>
      </w:r>
    </w:p>
    <w:p>
      <w:pPr>
        <w:spacing w:line="360" w:lineRule="auto"/>
        <w:ind w:left="2" w:firstLine="480"/>
        <w:rPr>
          <w:rFonts w:ascii="宋体" w:hAnsi="宋体"/>
          <w:color w:val="000000" w:themeColor="text1"/>
          <w:sz w:val="24"/>
          <w:highlight w:val="none"/>
          <w14:textFill>
            <w14:solidFill>
              <w14:schemeClr w14:val="tx1"/>
            </w14:solidFill>
          </w14:textFill>
        </w:rPr>
      </w:pPr>
      <w:bookmarkStart w:id="75" w:name="EBb1875a8fd1054a888d8d008aa8213810"/>
      <w:r>
        <w:rPr>
          <w:rFonts w:hint="eastAsia" w:ascii="宋体" w:hAnsi="宋体"/>
          <w:color w:val="000000" w:themeColor="text1"/>
          <w:sz w:val="24"/>
          <w:highlight w:val="none"/>
          <w14:textFill>
            <w14:solidFill>
              <w14:schemeClr w14:val="tx1"/>
            </w14:solidFill>
          </w14:textFill>
        </w:rPr>
        <w:t>13.1 本项目不收投标保证金。</w:t>
      </w:r>
      <w:bookmarkEnd w:id="75"/>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14．投标有效期</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14.1 投标有效期为：投标文件自开标之日起</w:t>
      </w:r>
      <w:bookmarkStart w:id="76" w:name="EBbdd785db7a2f40378bd51c7735b3fbc2"/>
      <w:r>
        <w:rPr>
          <w:rFonts w:hint="eastAsia" w:ascii="宋体" w:hAnsi="宋体"/>
          <w:b/>
          <w:bCs/>
          <w:color w:val="000000" w:themeColor="text1"/>
          <w:sz w:val="24"/>
          <w:highlight w:val="none"/>
          <w14:textFill>
            <w14:solidFill>
              <w14:schemeClr w14:val="tx1"/>
            </w14:solidFill>
          </w14:textFill>
        </w:rPr>
        <w:t>12</w:t>
      </w:r>
      <w:r>
        <w:rPr>
          <w:rFonts w:ascii="宋体" w:hAnsi="宋体"/>
          <w:b/>
          <w:bCs/>
          <w:color w:val="000000" w:themeColor="text1"/>
          <w:sz w:val="24"/>
          <w:highlight w:val="none"/>
          <w14:textFill>
            <w14:solidFill>
              <w14:schemeClr w14:val="tx1"/>
            </w14:solidFill>
          </w14:textFill>
        </w:rPr>
        <w:t>0</w:t>
      </w:r>
      <w:r>
        <w:rPr>
          <w:rFonts w:hint="eastAsia" w:ascii="宋体" w:hAnsi="宋体"/>
          <w:b/>
          <w:bCs/>
          <w:color w:val="000000" w:themeColor="text1"/>
          <w:sz w:val="24"/>
          <w:highlight w:val="none"/>
          <w14:textFill>
            <w14:solidFill>
              <w14:schemeClr w14:val="tx1"/>
            </w14:solidFill>
          </w14:textFill>
        </w:rPr>
        <w:t>天</w:t>
      </w:r>
      <w:bookmarkEnd w:id="76"/>
      <w:r>
        <w:rPr>
          <w:rFonts w:hint="eastAsia" w:ascii="宋体" w:hAnsi="宋体"/>
          <w:color w:val="000000" w:themeColor="text1"/>
          <w:sz w:val="24"/>
          <w:highlight w:val="none"/>
          <w14:textFill>
            <w14:solidFill>
              <w14:schemeClr w14:val="tx1"/>
            </w14:solidFill>
          </w14:textFill>
        </w:rPr>
        <w:t>内有效。投标人一旦获取了本招标文件并参加投标，即被认为接受了投标有效期的约定。</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14.2 在特殊情况下，招标人于原投标有效期满之前，可向投标人提出延长投标有效期的要求。这种要求与答复均应采用书面形式（如信件、传真或电报等）。投标人可以拒绝招标人的这一要求而放弃投标。同意延长的投标人既不能要求也不允许修改其投标文件。</w:t>
      </w:r>
    </w:p>
    <w:p>
      <w:pPr>
        <w:spacing w:before="240" w:after="240" w:line="360" w:lineRule="auto"/>
        <w:ind w:firstLine="446"/>
        <w:rPr>
          <w:rFonts w:ascii="宋体" w:hAnsi="宋体"/>
          <w:b/>
          <w:color w:val="000000" w:themeColor="text1"/>
          <w:sz w:val="30"/>
          <w:highlight w:val="none"/>
          <w14:textFill>
            <w14:solidFill>
              <w14:schemeClr w14:val="tx1"/>
            </w14:solidFill>
          </w14:textFill>
        </w:rPr>
      </w:pPr>
      <w:r>
        <w:rPr>
          <w:rFonts w:hint="eastAsia" w:ascii="宋体" w:hAnsi="宋体"/>
          <w:b/>
          <w:color w:val="000000" w:themeColor="text1"/>
          <w:sz w:val="30"/>
          <w:highlight w:val="none"/>
          <w14:textFill>
            <w14:solidFill>
              <w14:schemeClr w14:val="tx1"/>
            </w14:solidFill>
          </w14:textFill>
        </w:rPr>
        <w:t>15.投标文件的式样和签署</w:t>
      </w:r>
    </w:p>
    <w:p>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15.1 投标人应通过响应文件制作软件使用数字认证证书对投标文件进行合成、电子签章及加密打包。</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16．投标文件的提交</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16.1 投标文件提交</w:t>
      </w:r>
    </w:p>
    <w:p>
      <w:pPr>
        <w:spacing w:line="360" w:lineRule="auto"/>
        <w:ind w:left="1" w:firstLine="480"/>
        <w:rPr>
          <w:rFonts w:ascii="宋体" w:hAnsi="宋体"/>
          <w:b/>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16.1.1 投标人须在招标文件规定的截止时间前，通过响应文件编制软件或登录电子交易平台在规定时间内完成提交，提交成功后系统将发送投标回执。</w:t>
      </w:r>
      <w:r>
        <w:rPr>
          <w:rFonts w:hint="eastAsia" w:ascii="宋体" w:hAnsi="宋体"/>
          <w:b/>
          <w:color w:val="000000" w:themeColor="text1"/>
          <w:sz w:val="24"/>
          <w:highlight w:val="none"/>
          <w:u w:val="single"/>
          <w14:textFill>
            <w14:solidFill>
              <w14:schemeClr w14:val="tx1"/>
            </w14:solidFill>
          </w14:textFill>
        </w:rPr>
        <w:t>时间以电子交易平台时间为准。</w:t>
      </w:r>
    </w:p>
    <w:p>
      <w:pPr>
        <w:spacing w:line="360" w:lineRule="auto"/>
        <w:ind w:left="1" w:firstLine="480"/>
        <w:rPr>
          <w:rFonts w:ascii="宋体" w:hAnsi="宋体"/>
          <w:b/>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16.1.2 </w:t>
      </w:r>
      <w:r>
        <w:rPr>
          <w:rFonts w:hint="eastAsia" w:ascii="宋体" w:hAnsi="宋体"/>
          <w:b/>
          <w:color w:val="000000" w:themeColor="text1"/>
          <w:sz w:val="24"/>
          <w:highlight w:val="none"/>
          <w:u w:val="single"/>
          <w14:textFill>
            <w14:solidFill>
              <w14:schemeClr w14:val="tx1"/>
            </w14:solidFill>
          </w14:textFill>
        </w:rPr>
        <w:t>截止时间以后提交的投标文件，电子交易平台将拒绝接收。投标人应充分考虑网络环境、网络带宽等风险因素。</w:t>
      </w:r>
    </w:p>
    <w:p>
      <w:pPr>
        <w:spacing w:line="360" w:lineRule="auto"/>
        <w:ind w:firstLine="480"/>
        <w:rPr>
          <w:rFonts w:ascii="宋体" w:hAnsi="宋体"/>
          <w:b/>
          <w:color w:val="000000" w:themeColor="text1"/>
          <w:sz w:val="24"/>
          <w:szCs w:val="20"/>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16.1.3 </w:t>
      </w:r>
      <w:r>
        <w:rPr>
          <w:rFonts w:hint="eastAsia" w:ascii="宋体" w:hAnsi="宋体"/>
          <w:b/>
          <w:color w:val="000000" w:themeColor="text1"/>
          <w:sz w:val="24"/>
          <w:szCs w:val="20"/>
          <w:highlight w:val="none"/>
          <w:u w:val="single"/>
          <w14:textFill>
            <w14:solidFill>
              <w14:schemeClr w14:val="tx1"/>
            </w14:solidFill>
          </w14:textFill>
        </w:rPr>
        <w:t>提交投标文件时，投标人须使用制作该投标文件的同一数字认证证书进行提交操作。</w:t>
      </w:r>
    </w:p>
    <w:p>
      <w:pPr>
        <w:spacing w:line="360" w:lineRule="auto"/>
        <w:ind w:firstLine="480"/>
        <w:rPr>
          <w:rFonts w:ascii="宋体" w:hAnsi="宋体"/>
          <w:b/>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16.1.4 </w:t>
      </w:r>
      <w:r>
        <w:rPr>
          <w:rFonts w:hint="eastAsia" w:ascii="宋体" w:hAnsi="宋体"/>
          <w:b/>
          <w:color w:val="000000" w:themeColor="text1"/>
          <w:sz w:val="24"/>
          <w:highlight w:val="none"/>
          <w:u w:val="single"/>
          <w14:textFill>
            <w14:solidFill>
              <w14:schemeClr w14:val="tx1"/>
            </w14:solidFill>
          </w14:textFill>
        </w:rPr>
        <w:t>提交完成后至解密前，</w:t>
      </w:r>
      <w:r>
        <w:rPr>
          <w:rFonts w:hint="eastAsia" w:ascii="宋体" w:hAnsi="宋体"/>
          <w:b/>
          <w:color w:val="000000" w:themeColor="text1"/>
          <w:sz w:val="24"/>
          <w:szCs w:val="20"/>
          <w:highlight w:val="none"/>
          <w:u w:val="single"/>
          <w14:textFill>
            <w14:solidFill>
              <w14:schemeClr w14:val="tx1"/>
            </w14:solidFill>
          </w14:textFill>
        </w:rPr>
        <w:t>投标人</w:t>
      </w:r>
      <w:r>
        <w:rPr>
          <w:rFonts w:hint="eastAsia" w:ascii="宋体" w:hAnsi="宋体"/>
          <w:b/>
          <w:color w:val="000000" w:themeColor="text1"/>
          <w:sz w:val="24"/>
          <w:highlight w:val="none"/>
          <w:u w:val="single"/>
          <w14:textFill>
            <w14:solidFill>
              <w14:schemeClr w14:val="tx1"/>
            </w14:solidFill>
          </w14:textFill>
        </w:rPr>
        <w:t>不能对加密投标文件时所使用的数字认证证书进行更新、续费，否则可能引起的投标文件解密失败等相关后果由投标人自行承担。</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16.1.5 因不可抗力事件造成的投标文件的损坏、丢失的，招标组织方不承担责任。</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16.2 招标组织方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17．投标文件的补充、修改或者撤回</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 </w:t>
      </w:r>
      <w:r>
        <w:rPr>
          <w:rFonts w:ascii="宋体" w:hAnsi="宋体"/>
          <w:color w:val="000000" w:themeColor="text1"/>
          <w:sz w:val="24"/>
          <w:highlight w:val="none"/>
          <w14:textFill>
            <w14:solidFill>
              <w14:schemeClr w14:val="tx1"/>
            </w14:solidFill>
          </w14:textFill>
        </w:rPr>
        <w:t>在提交截止时间前</w:t>
      </w:r>
      <w:r>
        <w:rPr>
          <w:rFonts w:hint="eastAsia" w:ascii="宋体" w:hAnsi="宋体"/>
          <w:color w:val="000000" w:themeColor="text1"/>
          <w:sz w:val="24"/>
          <w:highlight w:val="none"/>
          <w14:textFill>
            <w14:solidFill>
              <w14:schemeClr w14:val="tx1"/>
            </w14:solidFill>
          </w14:textFill>
        </w:rPr>
        <w:t>，投标人</w:t>
      </w:r>
      <w:r>
        <w:rPr>
          <w:rFonts w:ascii="宋体" w:hAnsi="宋体"/>
          <w:color w:val="000000" w:themeColor="text1"/>
          <w:sz w:val="24"/>
          <w:highlight w:val="none"/>
          <w14:textFill>
            <w14:solidFill>
              <w14:schemeClr w14:val="tx1"/>
            </w14:solidFill>
          </w14:textFill>
        </w:rPr>
        <w:t>可以对所</w:t>
      </w:r>
      <w:r>
        <w:rPr>
          <w:rFonts w:hint="eastAsia" w:ascii="宋体" w:hAnsi="宋体"/>
          <w:color w:val="000000" w:themeColor="text1"/>
          <w:sz w:val="24"/>
          <w:highlight w:val="none"/>
          <w14:textFill>
            <w14:solidFill>
              <w14:schemeClr w14:val="tx1"/>
            </w14:solidFill>
          </w14:textFill>
        </w:rPr>
        <w:t>提交</w:t>
      </w:r>
      <w:r>
        <w:rPr>
          <w:rFonts w:ascii="宋体" w:hAnsi="宋体"/>
          <w:color w:val="000000" w:themeColor="text1"/>
          <w:sz w:val="24"/>
          <w:highlight w:val="none"/>
          <w14:textFill>
            <w14:solidFill>
              <w14:schemeClr w14:val="tx1"/>
            </w14:solidFill>
          </w14:textFill>
        </w:rPr>
        <w:t>的投标文件进行</w:t>
      </w:r>
      <w:r>
        <w:rPr>
          <w:rFonts w:hint="eastAsia" w:ascii="宋体" w:hAnsi="宋体"/>
          <w:color w:val="000000" w:themeColor="text1"/>
          <w:sz w:val="24"/>
          <w:highlight w:val="none"/>
          <w14:textFill>
            <w14:solidFill>
              <w14:schemeClr w14:val="tx1"/>
            </w14:solidFill>
          </w14:textFill>
        </w:rPr>
        <w:t>补充、修改或者撤回</w:t>
      </w:r>
      <w:r>
        <w:rPr>
          <w:rFonts w:ascii="宋体" w:hAnsi="宋体"/>
          <w:color w:val="000000" w:themeColor="text1"/>
          <w:sz w:val="24"/>
          <w:highlight w:val="none"/>
          <w14:textFill>
            <w14:solidFill>
              <w14:schemeClr w14:val="tx1"/>
            </w14:solidFill>
          </w14:textFill>
        </w:rPr>
        <w:t>。</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17.2 投标人在提交截止时间前需要对投标文件进行补充、修改的，应当使用响应文件制作软件重新制作并提交。</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17.3 在提交截止时间之后，投标人不得对其投标文件作任何修改或撤回。</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17.4 在提交截止时间至招标文件中规定的投标有效期满之间，投标人不得撤回其投标。</w:t>
      </w:r>
    </w:p>
    <w:p>
      <w:pPr>
        <w:pStyle w:val="1302"/>
        <w:spacing w:before="240"/>
        <w:jc w:val="center"/>
        <w:rPr>
          <w:rFonts w:ascii="宋体" w:eastAsia="宋体"/>
          <w:b/>
          <w:bCs/>
          <w:color w:val="000000" w:themeColor="text1"/>
          <w:highlight w:val="none"/>
          <w14:textFill>
            <w14:solidFill>
              <w14:schemeClr w14:val="tx1"/>
            </w14:solidFill>
          </w14:textFill>
        </w:rPr>
      </w:pPr>
      <w:bookmarkStart w:id="77" w:name="EBd20ef3197522486cbb00200fa7bd8886"/>
      <w:bookmarkEnd w:id="77"/>
      <w:bookmarkStart w:id="78" w:name="EB98a84fc4497b499a9fc9ec8addbba953"/>
      <w:bookmarkEnd w:id="78"/>
      <w:bookmarkStart w:id="79" w:name="EB768bf6cfb6244e529acc56aa73ca46be"/>
      <w:bookmarkEnd w:id="79"/>
      <w:bookmarkStart w:id="80" w:name="_Toc151931385"/>
      <w:bookmarkStart w:id="81" w:name="_Toc256000013"/>
      <w:bookmarkStart w:id="82" w:name="_Toc152531523"/>
      <w:bookmarkStart w:id="83" w:name="_Toc148961822"/>
      <w:r>
        <w:rPr>
          <w:rFonts w:hint="eastAsia" w:ascii="宋体" w:eastAsia="宋体"/>
          <w:b/>
          <w:bCs/>
          <w:color w:val="000000" w:themeColor="text1"/>
          <w:highlight w:val="none"/>
          <w14:textFill>
            <w14:solidFill>
              <w14:schemeClr w14:val="tx1"/>
            </w14:solidFill>
          </w14:textFill>
        </w:rPr>
        <w:t>四、开标及评标</w:t>
      </w:r>
      <w:bookmarkEnd w:id="80"/>
      <w:bookmarkEnd w:id="81"/>
      <w:bookmarkEnd w:id="82"/>
      <w:bookmarkEnd w:id="83"/>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18．开标</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18.1 招标组织方将按招标文件规定的时间、地点主持开标。</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18.2 投标人应当在开标前做好充分准备，使用制作该投标文件的同一数字认证证书准时参加开标，请各投标人在开标时间前提前登录开标大厅做好准备。</w:t>
      </w:r>
    </w:p>
    <w:p>
      <w:pPr>
        <w:spacing w:line="360" w:lineRule="auto"/>
        <w:ind w:left="1" w:firstLine="482"/>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18.3 投标人不足3家，不进入解密程序。</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18.4 开标时，招标组织方将在系统内公布投标人名单，发出解密的指令，投标人自行实施解密，限定在主持人发布解密指令后30分钟内完成。解密时，投标人必须使用与制作投标文件时同一数字认证证书对投标文件进行解密，否则解密将会失败。</w:t>
      </w:r>
    </w:p>
    <w:p>
      <w:pPr>
        <w:spacing w:line="360" w:lineRule="auto"/>
        <w:ind w:left="2"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18.5 因投标人原因造成投标文件未解密或解密失败或无法正常打开投标文件的，招标组织方将拒绝其投标。部分投标人投标文件未解密或解密失败的，程序可以继续进行。</w:t>
      </w:r>
      <w:r>
        <w:rPr>
          <w:rFonts w:hint="eastAsia" w:ascii="宋体" w:hAnsi="宋体"/>
          <w:b/>
          <w:color w:val="000000" w:themeColor="text1"/>
          <w:sz w:val="24"/>
          <w:highlight w:val="none"/>
          <w14:textFill>
            <w14:solidFill>
              <w14:schemeClr w14:val="tx1"/>
            </w14:solidFill>
          </w14:textFill>
        </w:rPr>
        <w:t>若解密成功的投标人不足三家，不进入后续程序。</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18.6 本项目在限定的解密时间内，只要有任一家投标人解密成功，即视为电子交易平台运行无故障。</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18.7 电子投标文件解密全部完成后，按</w:t>
      </w:r>
      <w:r>
        <w:rPr>
          <w:rFonts w:hint="eastAsia" w:ascii="宋体" w:hAnsi="宋体"/>
          <w:b/>
          <w:color w:val="000000" w:themeColor="text1"/>
          <w:sz w:val="24"/>
          <w:highlight w:val="none"/>
          <w14:textFill>
            <w14:solidFill>
              <w14:schemeClr w14:val="tx1"/>
            </w14:solidFill>
          </w14:textFill>
        </w:rPr>
        <w:t>投标文件解密成功顺序</w:t>
      </w:r>
      <w:r>
        <w:rPr>
          <w:rFonts w:hint="eastAsia" w:ascii="宋体" w:hAnsi="宋体"/>
          <w:color w:val="000000" w:themeColor="text1"/>
          <w:sz w:val="24"/>
          <w:highlight w:val="none"/>
          <w14:textFill>
            <w14:solidFill>
              <w14:schemeClr w14:val="tx1"/>
            </w14:solidFill>
          </w14:textFill>
        </w:rPr>
        <w:t>向所有投标人宣布投标人名称、投标价格以及招标文件规定的其他内容。</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18.8 电子交易平台自动记录开标过程，由参加开标的各投标人代表和相关工作人员确认开标结果。</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18.9 投标人代表如对开标过程和开标记录有疑义，以及认为招标人、招标代理机构相关工作人员有需要回避的情形的，应在主持人发布确认指令后</w:t>
      </w:r>
      <w:bookmarkStart w:id="84" w:name="EBbc6d2ab378c5413598f314d1f7af5109"/>
      <w:r>
        <w:rPr>
          <w:rFonts w:hint="eastAsia" w:ascii="宋体" w:hAnsi="宋体"/>
          <w:color w:val="000000" w:themeColor="text1"/>
          <w:sz w:val="24"/>
          <w:highlight w:val="none"/>
          <w14:textFill>
            <w14:solidFill>
              <w14:schemeClr w14:val="tx1"/>
            </w14:solidFill>
          </w14:textFill>
        </w:rPr>
        <w:t>3分钟内提出</w:t>
      </w:r>
      <w:bookmarkEnd w:id="84"/>
      <w:r>
        <w:rPr>
          <w:rFonts w:hint="eastAsia" w:ascii="宋体" w:hAnsi="宋体"/>
          <w:color w:val="000000" w:themeColor="text1"/>
          <w:sz w:val="24"/>
          <w:highlight w:val="none"/>
          <w14:textFill>
            <w14:solidFill>
              <w14:schemeClr w14:val="tx1"/>
            </w14:solidFill>
          </w14:textFill>
        </w:rPr>
        <w:t>询问或者回避申请。招标人、招标代理机构将及时处理投标人代表提出的询问或者回避申请。如在规定时间内未提出，视同认可开标结果。</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18.10 投标人须配合开标工作，否则一切后果由投标人自行承担。</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19．投标人资格审查</w:t>
      </w:r>
    </w:p>
    <w:p>
      <w:pPr>
        <w:pStyle w:val="203"/>
        <w:spacing w:line="360" w:lineRule="auto"/>
        <w:ind w:firstLine="480"/>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19.1 开标结束后，招标人或者招标代理机构将依法对投标人的资格进行审查。</w:t>
      </w:r>
      <w:r>
        <w:rPr>
          <w:rFonts w:hint="eastAsia" w:ascii="宋体" w:hAnsi="宋体"/>
          <w:b/>
          <w:color w:val="000000" w:themeColor="text1"/>
          <w:sz w:val="24"/>
          <w:highlight w:val="none"/>
          <w14:textFill>
            <w14:solidFill>
              <w14:schemeClr w14:val="tx1"/>
            </w14:solidFill>
          </w14:textFill>
        </w:rPr>
        <w:t>合格投标人不足3家的，不进入后续程序。</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20．评标委员会组成</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20.1 评标委员会将由招标人代表和评审专家组成，</w:t>
      </w:r>
      <w:r>
        <w:rPr>
          <w:rFonts w:hint="eastAsia" w:ascii="宋体" w:hAnsi="宋体"/>
          <w:color w:val="000000" w:themeColor="text1"/>
          <w:sz w:val="24"/>
          <w:highlight w:val="none"/>
          <w14:textFill>
            <w14:solidFill>
              <w14:schemeClr w14:val="tx1"/>
            </w14:solidFill>
          </w14:textFill>
        </w:rPr>
        <w:t>成员人数为</w:t>
      </w:r>
      <w:r>
        <w:rPr>
          <w:rFonts w:ascii="宋体" w:hAnsi="宋体"/>
          <w:color w:val="000000" w:themeColor="text1"/>
          <w:sz w:val="24"/>
          <w:highlight w:val="none"/>
          <w14:textFill>
            <w14:solidFill>
              <w14:schemeClr w14:val="tx1"/>
            </w14:solidFill>
          </w14:textFill>
        </w:rPr>
        <w:t>7</w:t>
      </w:r>
      <w:r>
        <w:rPr>
          <w:rFonts w:hint="eastAsia" w:ascii="宋体" w:hAnsi="宋体"/>
          <w:color w:val="000000" w:themeColor="text1"/>
          <w:sz w:val="24"/>
          <w:highlight w:val="none"/>
          <w14:textFill>
            <w14:solidFill>
              <w14:schemeClr w14:val="tx1"/>
            </w14:solidFill>
          </w14:textFill>
        </w:rPr>
        <w:t>人或</w:t>
      </w:r>
      <w:r>
        <w:rPr>
          <w:rFonts w:ascii="宋体" w:hAnsi="宋体"/>
          <w:color w:val="000000" w:themeColor="text1"/>
          <w:sz w:val="24"/>
          <w:highlight w:val="none"/>
          <w14:textFill>
            <w14:solidFill>
              <w14:schemeClr w14:val="tx1"/>
            </w14:solidFill>
          </w14:textFill>
        </w:rPr>
        <w:t>7</w:t>
      </w:r>
      <w:r>
        <w:rPr>
          <w:rFonts w:hint="eastAsia" w:ascii="宋体" w:hAnsi="宋体"/>
          <w:color w:val="000000" w:themeColor="text1"/>
          <w:sz w:val="24"/>
          <w:highlight w:val="none"/>
          <w14:textFill>
            <w14:solidFill>
              <w14:schemeClr w14:val="tx1"/>
            </w14:solidFill>
          </w14:textFill>
        </w:rPr>
        <w:t>人以上单数。</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21．投标人符合性审查</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21.1 评标委员会将按照招标文件第四部分“评标办法和标准”第7项规定对通过资格审查的投标人的投标文件进行符合性审查，以确定是否满足招标文件的实质性要求。符合性审查合格投标人不足3家的，不进入详细评审环节。</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21.2 投标文件澄清</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21.2.2 投标人的澄清应登录电子交易平台进入“澄清事项”模块进行。</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21.3 开标至评标结束期间，投标人应保持系统在线，</w:t>
      </w:r>
      <w:r>
        <w:rPr>
          <w:rFonts w:hint="eastAsia" w:ascii="宋体" w:hAnsi="宋体"/>
          <w:b/>
          <w:bCs/>
          <w:color w:val="000000" w:themeColor="text1"/>
          <w:sz w:val="24"/>
          <w:highlight w:val="none"/>
          <w14:textFill>
            <w14:solidFill>
              <w14:schemeClr w14:val="tx1"/>
            </w14:solidFill>
          </w14:textFill>
        </w:rPr>
        <w:t>如因投标人自身原因未在规定时间内按评标委员会要求进行澄清、说明或者补正的，一切后果由投标人自行承担。</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22．无效投标的情形</w:t>
      </w:r>
    </w:p>
    <w:p>
      <w:pPr>
        <w:pStyle w:val="203"/>
        <w:spacing w:line="360" w:lineRule="auto"/>
        <w:ind w:firstLine="480"/>
        <w:rPr>
          <w:rFonts w:ascii="宋体" w:hAnsi="宋体"/>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22.1 无效投标的情形见本招标文件第五部分“评标办法和标准”第7项规定。</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23．投标文件详细评审</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23.1 评标委员会将按照招标文件第五部分“评标办法和标准”第8项规定，对符合性审查合格的投标文件进行商务、技术和价格评估，综合比较与评价。</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24. 串通投标的情形</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24.1 有下列情形之一的，视为投标人串通投标，投标无效：</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（1）不同投标人的投标文件由同一单位或者个人编制；</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（2）不同投标人委托同一单位或者个人办理投标事宜；</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（3）不同投标人的投标文件载明的项目管理成员或者联系人员为同一人；</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（4）不同投标人的投标文件异常一致或者投标报价呈规律性差异；</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（5）不同投标人的投标文件相互混装。</w:t>
      </w:r>
    </w:p>
    <w:p>
      <w:pPr>
        <w:pStyle w:val="206"/>
        <w:keepNext w:val="0"/>
        <w:keepLines w:val="0"/>
        <w:spacing w:before="200" w:after="200" w:line="360" w:lineRule="auto"/>
        <w:ind w:firstLine="446"/>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25</w:t>
      </w:r>
      <w:r>
        <w:rPr>
          <w:rFonts w:hint="eastAsia" w:ascii="宋体" w:hAnsi="宋体"/>
          <w:color w:val="000000" w:themeColor="text1"/>
          <w:sz w:val="30"/>
          <w:highlight w:val="none"/>
          <w14:textFill>
            <w14:solidFill>
              <w14:schemeClr w14:val="tx1"/>
            </w14:solidFill>
          </w14:textFill>
        </w:rPr>
        <w:t>．</w:t>
      </w:r>
      <w:r>
        <w:rPr>
          <w:rFonts w:hint="eastAsia" w:ascii="宋体" w:hAnsi="宋体"/>
          <w:color w:val="000000" w:themeColor="text1"/>
          <w:sz w:val="30"/>
          <w:szCs w:val="30"/>
          <w:highlight w:val="none"/>
          <w14:textFill>
            <w14:solidFill>
              <w14:schemeClr w14:val="tx1"/>
            </w14:solidFill>
          </w14:textFill>
        </w:rPr>
        <w:t>评标过程的保密</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25.1 在评标过程中，如果投标人试图在投标文件审查、澄清、比较及授标建议等方面向招标组织方或参加评标的人员施加任何影响，都将会导致其投标无效。</w:t>
      </w:r>
    </w:p>
    <w:p>
      <w:pPr>
        <w:spacing w:line="360" w:lineRule="auto"/>
        <w:ind w:left="1" w:firstLine="48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25.2 </w:t>
      </w:r>
      <w:r>
        <w:rPr>
          <w:rFonts w:hint="eastAsia" w:ascii="宋体" w:hAnsi="宋体"/>
          <w:b/>
          <w:color w:val="000000" w:themeColor="text1"/>
          <w:sz w:val="24"/>
          <w:highlight w:val="none"/>
          <w:u w:val="single"/>
          <w14:textFill>
            <w14:solidFill>
              <w14:schemeClr w14:val="tx1"/>
            </w14:solidFill>
          </w14:textFill>
        </w:rPr>
        <w:t>评标将在严格保密的情况下进行，除招标人代表、评标现场组织人员外，招标人的其他工作人员以及与评标工作无关的人员不得进入评标现场。有关人员对评标情况以及在评标过程中获悉的国家秘密、商业秘密负有保密责任。</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26．废标的情形</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26.1 出现下列情形之一的，将予废标：</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（1）符合专业条件的投标人或者对招标文件作实质响应的投标人不足三家的；</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（2）出现影响采购公正的违法、违规行为的；</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（3）投标人的报价均超过了采购预算，招标人不能支付的；</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（4）因重大变故，采购任务取消的；</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废标后，招标人应当将废标理由通知所有投标人。</w:t>
      </w:r>
    </w:p>
    <w:p>
      <w:pPr>
        <w:pStyle w:val="1302"/>
        <w:spacing w:before="240"/>
        <w:jc w:val="center"/>
        <w:rPr>
          <w:rFonts w:ascii="宋体" w:eastAsia="宋体"/>
          <w:b/>
          <w:bCs/>
          <w:color w:val="000000" w:themeColor="text1"/>
          <w:highlight w:val="none"/>
          <w14:textFill>
            <w14:solidFill>
              <w14:schemeClr w14:val="tx1"/>
            </w14:solidFill>
          </w14:textFill>
        </w:rPr>
      </w:pPr>
      <w:bookmarkStart w:id="85" w:name="_Toc256000014"/>
      <w:bookmarkStart w:id="86" w:name="_Toc148961823"/>
      <w:bookmarkStart w:id="87" w:name="_Toc151931386"/>
      <w:bookmarkStart w:id="88" w:name="_Toc152531524"/>
      <w:r>
        <w:rPr>
          <w:rFonts w:hint="eastAsia" w:ascii="宋体" w:eastAsia="宋体"/>
          <w:b/>
          <w:bCs/>
          <w:color w:val="000000" w:themeColor="text1"/>
          <w:highlight w:val="none"/>
          <w14:textFill>
            <w14:solidFill>
              <w14:schemeClr w14:val="tx1"/>
            </w14:solidFill>
          </w14:textFill>
        </w:rPr>
        <w:t>五、确定结果</w:t>
      </w:r>
      <w:bookmarkEnd w:id="85"/>
      <w:bookmarkEnd w:id="86"/>
      <w:bookmarkEnd w:id="87"/>
      <w:bookmarkEnd w:id="88"/>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27.确定中标投标人</w:t>
      </w:r>
    </w:p>
    <w:p>
      <w:pPr>
        <w:spacing w:line="360" w:lineRule="auto"/>
        <w:ind w:firstLine="480"/>
        <w:rPr>
          <w:rFonts w:ascii="宋体" w:hAnsi="宋体"/>
          <w:color w:val="000000" w:themeColor="text1"/>
          <w:sz w:val="24"/>
          <w:highlight w:val="none"/>
          <w14:textFill>
            <w14:solidFill>
              <w14:schemeClr w14:val="tx1"/>
            </w14:solidFill>
          </w14:textFill>
        </w:rPr>
      </w:pPr>
      <w:bookmarkStart w:id="89" w:name="EBdca946ccd46544908a445026ac0d1e88"/>
      <w:r>
        <w:rPr>
          <w:rFonts w:hint="eastAsia" w:ascii="宋体" w:hAnsi="宋体"/>
          <w:color w:val="000000" w:themeColor="text1"/>
          <w:sz w:val="24"/>
          <w:highlight w:val="none"/>
          <w14:textFill>
            <w14:solidFill>
              <w14:schemeClr w14:val="tx1"/>
            </w14:solidFill>
          </w14:textFill>
        </w:rPr>
        <w:t>27.1招标人自收到评标报告之日起5个工作日内，在评标报告确定的中标候选人名单中按顺序确定中标投标人。中标候选人并列的，按《政府采购货物和服务招标投标管理办法》（财政部87号令）相关规定执行。</w:t>
      </w:r>
      <w:bookmarkEnd w:id="89"/>
    </w:p>
    <w:p>
      <w:pPr>
        <w:pStyle w:val="1302"/>
        <w:spacing w:before="240"/>
        <w:jc w:val="center"/>
        <w:rPr>
          <w:rFonts w:ascii="宋体" w:eastAsia="宋体"/>
          <w:b/>
          <w:bCs/>
          <w:color w:val="000000" w:themeColor="text1"/>
          <w:highlight w:val="none"/>
          <w14:textFill>
            <w14:solidFill>
              <w14:schemeClr w14:val="tx1"/>
            </w14:solidFill>
          </w14:textFill>
        </w:rPr>
      </w:pPr>
      <w:bookmarkStart w:id="90" w:name="_Toc256000015"/>
      <w:bookmarkStart w:id="91" w:name="_Toc151931387"/>
      <w:bookmarkStart w:id="92" w:name="_Toc152531525"/>
      <w:bookmarkStart w:id="93" w:name="_Toc148961824"/>
      <w:r>
        <w:rPr>
          <w:rFonts w:hint="eastAsia" w:ascii="宋体" w:eastAsia="宋体"/>
          <w:b/>
          <w:bCs/>
          <w:color w:val="000000" w:themeColor="text1"/>
          <w:highlight w:val="none"/>
          <w14:textFill>
            <w14:solidFill>
              <w14:schemeClr w14:val="tx1"/>
            </w14:solidFill>
          </w14:textFill>
        </w:rPr>
        <w:t>六、授予合同</w:t>
      </w:r>
      <w:bookmarkEnd w:id="90"/>
      <w:bookmarkEnd w:id="91"/>
      <w:bookmarkEnd w:id="92"/>
      <w:bookmarkEnd w:id="93"/>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28．中标通知书</w:t>
      </w:r>
    </w:p>
    <w:p>
      <w:pPr>
        <w:pStyle w:val="203"/>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28.1 中标通知书发出后，招标人不得违法改变中标结果，中标投标人无正当理由不得放弃中标。</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29．履约保证金</w:t>
      </w:r>
    </w:p>
    <w:p>
      <w:pPr>
        <w:spacing w:line="360" w:lineRule="auto"/>
        <w:ind w:firstLine="480"/>
        <w:rPr>
          <w:highlight w:val="none"/>
        </w:rPr>
      </w:pPr>
      <w:bookmarkStart w:id="94" w:name="EBa6b4dcd20fa946e78575c280ef58a640"/>
      <w:r>
        <w:rPr>
          <w:rFonts w:hint="eastAsia" w:ascii="宋体" w:hAnsi="宋体"/>
          <w:sz w:val="24"/>
          <w:highlight w:val="none"/>
        </w:rPr>
        <w:t>29.1</w:t>
      </w:r>
      <w:bookmarkEnd w:id="94"/>
      <w:r>
        <w:rPr>
          <w:rFonts w:hint="eastAsia" w:ascii="宋体" w:hAnsi="宋体" w:cs="宋体"/>
          <w:color w:val="000000"/>
          <w:sz w:val="24"/>
          <w:szCs w:val="20"/>
          <w:highlight w:val="none"/>
        </w:rPr>
        <w:t>本项目不收</w:t>
      </w:r>
      <w:r>
        <w:rPr>
          <w:rFonts w:hint="eastAsia" w:ascii="宋体" w:hAnsi="宋体" w:cs="宋体"/>
          <w:sz w:val="24"/>
          <w:highlight w:val="none"/>
        </w:rPr>
        <w:t>履约保证金</w:t>
      </w:r>
      <w:r>
        <w:rPr>
          <w:rFonts w:hint="eastAsia" w:ascii="宋体" w:hAnsi="宋体" w:cs="宋体"/>
          <w:color w:val="000000"/>
          <w:sz w:val="24"/>
          <w:szCs w:val="20"/>
          <w:highlight w:val="none"/>
        </w:rPr>
        <w:t>。</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30．签订合同</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30.1 招标人应当自中标通知书发出之日起</w:t>
      </w:r>
      <w:bookmarkStart w:id="95" w:name="EB51f10b0400174b428b9ac0d3bc071cc9"/>
      <w:r>
        <w:rPr>
          <w:rFonts w:hint="eastAsia" w:ascii="宋体" w:hAnsi="宋体"/>
          <w:color w:val="000000" w:themeColor="text1"/>
          <w:sz w:val="24"/>
          <w:highlight w:val="none"/>
          <w14:textFill>
            <w14:solidFill>
              <w14:schemeClr w14:val="tx1"/>
            </w14:solidFill>
          </w14:textFill>
        </w:rPr>
        <w:t>15</w:t>
      </w:r>
      <w:bookmarkEnd w:id="95"/>
      <w:r>
        <w:rPr>
          <w:rFonts w:hint="eastAsia" w:ascii="宋体" w:hAnsi="宋体"/>
          <w:color w:val="000000" w:themeColor="text1"/>
          <w:sz w:val="24"/>
          <w:highlight w:val="none"/>
          <w14:textFill>
            <w14:solidFill>
              <w14:schemeClr w14:val="tx1"/>
            </w14:solidFill>
          </w14:textFill>
        </w:rPr>
        <w:t>日内，按照招标文件和中标投标人投标文件的规定，与中标投标人签订书面合同。所签订的合同不得对招标文件确定的事项和中标投标人投标文件作实质性修改。招标人不得向中标投标人提出任何不合理的要求作为签订合同的条件。</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30.2 政府采购合同应当包括招标人与中标投标人的名称和住所、标的、数量、质量、价款或者报酬、履行期限及地点和方式、验收要求、违约责任、解决争议的方法等内容。</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30.3 合同履行中，招标人需追加与合同标的相同的服务时，在不改变合同其他条款的前提下，可以与中标投标人协商签订补充合同，但所有补充合同的采购金额不得超过原合同采购金额的百分之十。</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30.4 招标人与中标投标人应当根据合同的约定依法履行合同义务。政府采购合同的履行、违约责任和解决争议的方法等适用</w:t>
      </w:r>
      <w:bookmarkStart w:id="96" w:name="EBdf0bbf4340b043298f95df6df139de47"/>
      <w:r>
        <w:rPr>
          <w:rFonts w:hint="eastAsia" w:ascii="宋体" w:hAnsi="宋体"/>
          <w:color w:val="000000" w:themeColor="text1"/>
          <w:sz w:val="24"/>
          <w:highlight w:val="none"/>
          <w14:textFill>
            <w14:solidFill>
              <w14:schemeClr w14:val="tx1"/>
            </w14:solidFill>
          </w14:textFill>
        </w:rPr>
        <w:t>《中华人民共和国民法典》</w:t>
      </w:r>
      <w:bookmarkEnd w:id="96"/>
      <w:r>
        <w:rPr>
          <w:rFonts w:hint="eastAsia" w:ascii="宋体" w:hAnsi="宋体"/>
          <w:color w:val="000000" w:themeColor="text1"/>
          <w:sz w:val="24"/>
          <w:highlight w:val="none"/>
          <w14:textFill>
            <w14:solidFill>
              <w14:schemeClr w14:val="tx1"/>
            </w14:solidFill>
          </w14:textFill>
        </w:rPr>
        <w:t>。</w:t>
      </w:r>
    </w:p>
    <w:p>
      <w:pPr>
        <w:pStyle w:val="1302"/>
        <w:spacing w:before="240"/>
        <w:jc w:val="center"/>
        <w:rPr>
          <w:rFonts w:ascii="宋体" w:eastAsia="宋体"/>
          <w:b/>
          <w:bCs/>
          <w:color w:val="000000" w:themeColor="text1"/>
          <w:highlight w:val="none"/>
          <w14:textFill>
            <w14:solidFill>
              <w14:schemeClr w14:val="tx1"/>
            </w14:solidFill>
          </w14:textFill>
        </w:rPr>
      </w:pPr>
      <w:bookmarkStart w:id="97" w:name="_Toc148961825"/>
      <w:bookmarkStart w:id="98" w:name="_Toc152531526"/>
      <w:bookmarkStart w:id="99" w:name="_Toc151931388"/>
      <w:bookmarkStart w:id="100" w:name="_Toc256000016"/>
      <w:r>
        <w:rPr>
          <w:rFonts w:hint="eastAsia" w:ascii="宋体" w:eastAsia="宋体"/>
          <w:b/>
          <w:bCs/>
          <w:color w:val="000000" w:themeColor="text1"/>
          <w:highlight w:val="none"/>
          <w14:textFill>
            <w14:solidFill>
              <w14:schemeClr w14:val="tx1"/>
            </w14:solidFill>
          </w14:textFill>
        </w:rPr>
        <w:t>七、询问、质疑、投诉</w:t>
      </w:r>
      <w:bookmarkEnd w:id="97"/>
      <w:bookmarkEnd w:id="98"/>
      <w:bookmarkEnd w:id="99"/>
      <w:bookmarkEnd w:id="100"/>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31．询问</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31.1 投标人对招标活动事项有疑问的，可以向招标人或招标代理机构提出询问，招标人或招标代理机构将在3个工作日内对投标人依法提出的询问作出答复，但答复的内容不得涉及商业秘密。</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32．质疑</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32.1 提出质疑的投标人应当是参与所质疑项目采购活动的投标人。投标人认为招标文件、采购过程和中标结果使自己的合法权益受到损害的，可以在知道或者应知其权益受到损害之日起七个工作日内，以书面形式向招标人、招标代理机构提出质疑。</w:t>
      </w:r>
      <w:bookmarkStart w:id="101" w:name="EB75d6c764710d447b9846155e344f34c3"/>
      <w:bookmarkEnd w:id="101"/>
      <w:bookmarkStart w:id="102" w:name="EBc009ea791f4043b799a93614ad7db346"/>
      <w:bookmarkEnd w:id="102"/>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以上规定的投标人应知其权益受到损害之日，是指：</w:t>
      </w:r>
    </w:p>
    <w:p>
      <w:pPr>
        <w:spacing w:line="360" w:lineRule="auto"/>
        <w:ind w:firstLine="3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（1）对可以质疑的招标文件提出质疑的，为收到招标文件之日或者招标文件公告期限届满之日；</w:t>
      </w:r>
    </w:p>
    <w:p>
      <w:pPr>
        <w:spacing w:line="360" w:lineRule="auto"/>
        <w:ind w:firstLine="3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（2）对采购过程提出质疑的，为各采购程序环节结束之日；</w:t>
      </w:r>
    </w:p>
    <w:p>
      <w:pPr>
        <w:spacing w:line="360" w:lineRule="auto"/>
        <w:ind w:firstLine="3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（3）对中标结果提出质疑的，为中标结果公告期限届满之日。</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32.2 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p>
    <w:p>
      <w:pPr>
        <w:spacing w:line="360" w:lineRule="auto"/>
        <w:ind w:firstLine="480"/>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32.3 投标人应当在法定质疑期内一次性提出针对同一采购程序环节的质疑。投标人如在法定期限内对同一采购程序环节提出多次质疑的，将只对投标人第一次质疑作出答复。</w:t>
      </w:r>
      <w:r>
        <w:rPr>
          <w:rFonts w:hint="eastAsia" w:ascii="宋体" w:hAnsi="宋体"/>
          <w:b/>
          <w:color w:val="000000" w:themeColor="text1"/>
          <w:sz w:val="24"/>
          <w:highlight w:val="none"/>
          <w14:textFill>
            <w14:solidFill>
              <w14:schemeClr w14:val="tx1"/>
            </w14:solidFill>
          </w14:textFill>
        </w:rPr>
        <w:t>投标人如对采购需求提出质疑，招标人负责处理和答复涉及采购需求的质疑内容。</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32.4 招标人、招标代理机构不得拒收质疑投标人在法定质疑期内发出的质疑函，应当在收到质疑函后7个工作日内作出答复，并以书面形式通知质疑投标人和其他有关投标人。</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33．投诉</w:t>
      </w:r>
    </w:p>
    <w:p>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33.1 质疑投标人对招标人、招标代理机构的答复不满意，或者招标人、招标代理机构未在规定的时间内作出答复的，可以在答复期满后十五个工作日内向招标人所属预算级次本级财政部门投诉。</w:t>
      </w:r>
    </w:p>
    <w:p>
      <w:pPr>
        <w:pStyle w:val="1302"/>
        <w:spacing w:before="240"/>
        <w:jc w:val="center"/>
        <w:rPr>
          <w:rFonts w:ascii="宋体" w:eastAsia="宋体"/>
          <w:b/>
          <w:bCs/>
          <w:color w:val="000000" w:themeColor="text1"/>
          <w:highlight w:val="none"/>
          <w14:textFill>
            <w14:solidFill>
              <w14:schemeClr w14:val="tx1"/>
            </w14:solidFill>
          </w14:textFill>
        </w:rPr>
      </w:pPr>
      <w:bookmarkStart w:id="103" w:name="_Toc256000017"/>
      <w:bookmarkStart w:id="104" w:name="_Toc148961826"/>
      <w:bookmarkStart w:id="105" w:name="_Toc151931389"/>
      <w:bookmarkStart w:id="106" w:name="_Toc152531527"/>
      <w:r>
        <w:rPr>
          <w:rFonts w:hint="eastAsia" w:ascii="宋体" w:eastAsia="宋体"/>
          <w:b/>
          <w:bCs/>
          <w:color w:val="000000" w:themeColor="text1"/>
          <w:highlight w:val="none"/>
          <w14:textFill>
            <w14:solidFill>
              <w14:schemeClr w14:val="tx1"/>
            </w14:solidFill>
          </w14:textFill>
        </w:rPr>
        <w:t>八、诚实信用和解释权</w:t>
      </w:r>
      <w:bookmarkEnd w:id="103"/>
      <w:bookmarkEnd w:id="104"/>
      <w:bookmarkEnd w:id="105"/>
      <w:bookmarkEnd w:id="106"/>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34．诚实信用</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34.1 投标人应当遵循公平竞争的原则，不得恶意串通，不得妨碍其他投标人的竞争行为，不得损害招标人或者其他投标人的合法权益。</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34.2 投标人不得以向招标组织方工作人员、评标委员会成员行贿或者采取其他不正当手段谋取中标。经查实投标人有此行为的，将在“镇江市公共资源交易服务平台-政府采购”网站公告，政府采购管理部门将投标人列入不良行为记录名单，按照政府采购有关规定处理。</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34.3 投标人不得虚假承诺，否则，按照提供虚假材料谋取中标处理。</w:t>
      </w:r>
    </w:p>
    <w:p>
      <w:pPr>
        <w:spacing w:line="360" w:lineRule="auto"/>
        <w:ind w:left="2"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34</w:t>
      </w:r>
      <w:r>
        <w:rPr>
          <w:rFonts w:ascii="宋体" w:hAnsi="宋体"/>
          <w:color w:val="000000" w:themeColor="text1"/>
          <w:sz w:val="24"/>
          <w:highlight w:val="none"/>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 xml:space="preserve"> 投标人</w:t>
      </w:r>
      <w:r>
        <w:rPr>
          <w:rFonts w:ascii="宋体" w:hAnsi="宋体"/>
          <w:color w:val="000000" w:themeColor="text1"/>
          <w:sz w:val="24"/>
          <w:highlight w:val="none"/>
          <w14:textFill>
            <w14:solidFill>
              <w14:schemeClr w14:val="tx1"/>
            </w14:solidFill>
          </w14:textFill>
        </w:rPr>
        <w:t>应自觉遵守开标、评标纪律，扰乱开标评标现场秩序的，属于失信行为，根据《江苏省政府采购</w:t>
      </w:r>
      <w:r>
        <w:rPr>
          <w:rFonts w:hint="eastAsia" w:ascii="宋体" w:hAnsi="宋体"/>
          <w:color w:val="000000" w:themeColor="text1"/>
          <w:sz w:val="24"/>
          <w:highlight w:val="none"/>
          <w14:textFill>
            <w14:solidFill>
              <w14:schemeClr w14:val="tx1"/>
            </w14:solidFill>
          </w14:textFill>
        </w:rPr>
        <w:t>投标人</w:t>
      </w:r>
      <w:r>
        <w:rPr>
          <w:rFonts w:ascii="宋体" w:hAnsi="宋体"/>
          <w:color w:val="000000" w:themeColor="text1"/>
          <w:sz w:val="24"/>
          <w:highlight w:val="none"/>
          <w14:textFill>
            <w14:solidFill>
              <w14:schemeClr w14:val="tx1"/>
            </w14:solidFill>
          </w14:textFill>
        </w:rPr>
        <w:t>监督管理暂行办法》，失信行为将被记入</w:t>
      </w:r>
      <w:r>
        <w:rPr>
          <w:rFonts w:hint="eastAsia" w:ascii="宋体" w:hAnsi="宋体"/>
          <w:color w:val="000000" w:themeColor="text1"/>
          <w:sz w:val="24"/>
          <w:highlight w:val="none"/>
          <w14:textFill>
            <w14:solidFill>
              <w14:schemeClr w14:val="tx1"/>
            </w14:solidFill>
          </w14:textFill>
        </w:rPr>
        <w:t>投标人</w:t>
      </w:r>
      <w:r>
        <w:rPr>
          <w:rFonts w:ascii="宋体" w:hAnsi="宋体"/>
          <w:color w:val="000000" w:themeColor="text1"/>
          <w:sz w:val="24"/>
          <w:highlight w:val="none"/>
          <w14:textFill>
            <w14:solidFill>
              <w14:schemeClr w14:val="tx1"/>
            </w14:solidFill>
          </w14:textFill>
        </w:rPr>
        <w:t>诚信档案。</w:t>
      </w:r>
    </w:p>
    <w:p>
      <w:pPr>
        <w:wordWrap w:val="0"/>
        <w:spacing w:line="360" w:lineRule="auto"/>
        <w:ind w:firstLine="482"/>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34</w:t>
      </w:r>
      <w:r>
        <w:rPr>
          <w:rFonts w:ascii="宋体" w:hAnsi="宋体"/>
          <w:color w:val="000000" w:themeColor="text1"/>
          <w:sz w:val="24"/>
          <w:highlight w:val="none"/>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 xml:space="preserve"> 根据《财政部关于在政府采购活动中查询及使用信息记录有关问题的通知》（财库〔2016〕125号）、江苏省财政厅《关于做好政府采购信用信息查询使用及登记等工作的通知》（苏财购〔2016〕50号）等文件精神，</w:t>
      </w:r>
      <w:bookmarkStart w:id="107" w:name="EB750503b1ab6b421ea4462b758ba36503"/>
      <w:r>
        <w:rPr>
          <w:rFonts w:hint="eastAsia" w:ascii="宋体" w:hAnsi="宋体"/>
          <w:color w:val="000000" w:themeColor="text1"/>
          <w:sz w:val="24"/>
          <w:highlight w:val="none"/>
          <w14:textFill>
            <w14:solidFill>
              <w14:schemeClr w14:val="tx1"/>
            </w14:solidFill>
          </w14:textFill>
        </w:rPr>
        <w:t>招标人在项目资格审查时对参加本项目的各投标人进行信用记录查询</w:t>
      </w:r>
      <w:bookmarkEnd w:id="107"/>
      <w:r>
        <w:rPr>
          <w:rFonts w:hint="eastAsia" w:ascii="宋体" w:hAnsi="宋体"/>
          <w:color w:val="000000" w:themeColor="text1"/>
          <w:sz w:val="24"/>
          <w:highlight w:val="none"/>
          <w14:textFill>
            <w14:solidFill>
              <w14:schemeClr w14:val="tx1"/>
            </w14:solidFill>
          </w14:textFill>
        </w:rPr>
        <w:t>，信用记录查询渠道为“信用中国”网站（www.creditchina.gov.cn）、中国政府采购网（www.ccgp.gov.cn）、“信用江苏”网站（</w:t>
      </w:r>
      <w:r>
        <w:rPr>
          <w:rFonts w:ascii="宋体" w:hAnsi="宋体"/>
          <w:color w:val="000000" w:themeColor="text1"/>
          <w:sz w:val="24"/>
          <w:highlight w:val="none"/>
          <w14:textFill>
            <w14:solidFill>
              <w14:schemeClr w14:val="tx1"/>
            </w14:solidFill>
          </w14:textFill>
        </w:rPr>
        <w:t>http://credit.jiangsu.gov.cn/</w:t>
      </w:r>
      <w:r>
        <w:rPr>
          <w:rFonts w:hint="eastAsia" w:ascii="宋体" w:hAnsi="宋体"/>
          <w:color w:val="000000" w:themeColor="text1"/>
          <w:sz w:val="24"/>
          <w:highlight w:val="none"/>
          <w14:textFill>
            <w14:solidFill>
              <w14:schemeClr w14:val="tx1"/>
            </w14:solidFill>
          </w14:textFill>
        </w:rPr>
        <w:t>），</w:t>
      </w:r>
      <w:bookmarkStart w:id="108" w:name="EB3e65db3648f140a59630270bce16d7ca"/>
      <w:r>
        <w:rPr>
          <w:rFonts w:hint="eastAsia" w:ascii="宋体" w:hAnsi="宋体"/>
          <w:color w:val="000000" w:themeColor="text1"/>
          <w:sz w:val="24"/>
          <w:highlight w:val="none"/>
          <w14:textFill>
            <w14:solidFill>
              <w14:schemeClr w14:val="tx1"/>
            </w14:solidFill>
          </w14:textFill>
        </w:rPr>
        <w:t>信用记录查询截止时间为项目资格审查结束时</w:t>
      </w:r>
      <w:bookmarkEnd w:id="108"/>
      <w:r>
        <w:rPr>
          <w:rFonts w:hint="eastAsia" w:ascii="宋体" w:hAnsi="宋体"/>
          <w:color w:val="000000" w:themeColor="text1"/>
          <w:sz w:val="24"/>
          <w:highlight w:val="none"/>
          <w14:textFill>
            <w14:solidFill>
              <w14:schemeClr w14:val="tx1"/>
            </w14:solidFill>
          </w14:textFill>
        </w:rPr>
        <w:t>，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35．解释权</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35.1 除相关法律、法规规定外，本招标文件的解释权归</w:t>
      </w:r>
      <w:r>
        <w:rPr>
          <w:rFonts w:hint="eastAsia" w:ascii="宋体" w:hAnsi="宋体"/>
          <w:b/>
          <w:bCs/>
          <w:color w:val="000000" w:themeColor="text1"/>
          <w:sz w:val="24"/>
          <w:highlight w:val="none"/>
          <w14:textFill>
            <w14:solidFill>
              <w14:schemeClr w14:val="tx1"/>
            </w14:solidFill>
          </w14:textFill>
        </w:rPr>
        <w:t>江苏巍信项目管理有限公司</w:t>
      </w:r>
      <w:r>
        <w:rPr>
          <w:rFonts w:hint="eastAsia" w:ascii="宋体" w:hAnsi="宋体"/>
          <w:color w:val="000000" w:themeColor="text1"/>
          <w:sz w:val="24"/>
          <w:highlight w:val="none"/>
          <w14:textFill>
            <w14:solidFill>
              <w14:schemeClr w14:val="tx1"/>
            </w14:solidFill>
          </w14:textFill>
        </w:rPr>
        <w:t>所有。</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36</w:t>
      </w:r>
      <w:r>
        <w:rPr>
          <w:rFonts w:hint="eastAsia" w:ascii="宋体" w:hAnsi="宋体"/>
          <w:color w:val="000000" w:themeColor="text1"/>
          <w:highlight w:val="none"/>
          <w14:textFill>
            <w14:solidFill>
              <w14:schemeClr w14:val="tx1"/>
            </w14:solidFill>
          </w14:textFill>
        </w:rPr>
        <w:t>．</w:t>
      </w:r>
      <w:r>
        <w:rPr>
          <w:rFonts w:hint="eastAsia" w:ascii="宋体" w:hAnsi="宋体"/>
          <w:color w:val="000000" w:themeColor="text1"/>
          <w:sz w:val="30"/>
          <w:highlight w:val="none"/>
          <w14:textFill>
            <w14:solidFill>
              <w14:schemeClr w14:val="tx1"/>
            </w14:solidFill>
          </w14:textFill>
        </w:rPr>
        <w:t>适用法律及约束力</w:t>
      </w:r>
    </w:p>
    <w:p>
      <w:pPr>
        <w:spacing w:line="360" w:lineRule="auto"/>
        <w:ind w:firstLine="480"/>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36.1 </w:t>
      </w:r>
      <w:r>
        <w:rPr>
          <w:rFonts w:hint="eastAsia" w:ascii="宋体" w:hAnsi="宋体"/>
          <w:bCs/>
          <w:color w:val="000000" w:themeColor="text1"/>
          <w:sz w:val="24"/>
          <w:highlight w:val="none"/>
          <w14:textFill>
            <w14:solidFill>
              <w14:schemeClr w14:val="tx1"/>
            </w14:solidFill>
          </w14:textFill>
        </w:rPr>
        <w:t>投标人一旦获取了本招标文件并参加投标，即被认为接受了本招标文件的规定和约束。</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36.2 本次招标及由本次招标产生的合同受中华人民共和国法律制约和保护。</w:t>
      </w:r>
    </w:p>
    <w:p>
      <w:pPr>
        <w:rPr>
          <w:highlight w:val="none"/>
        </w:rPr>
      </w:pPr>
    </w:p>
    <w:p>
      <w:pPr>
        <w:pStyle w:val="1301"/>
        <w:keepNext/>
        <w:keepLines/>
        <w:pageBreakBefore/>
        <w:widowControl w:val="0"/>
        <w:ind w:left="0" w:firstLine="0"/>
        <w:jc w:val="center"/>
        <w:rPr>
          <w:rFonts w:ascii="宋体" w:eastAsia="宋体"/>
          <w:color w:val="000000" w:themeColor="text1"/>
          <w:highlight w:val="none"/>
          <w14:textFill>
            <w14:solidFill>
              <w14:schemeClr w14:val="tx1"/>
            </w14:solidFill>
          </w14:textFill>
        </w:rPr>
      </w:pPr>
      <w:bookmarkStart w:id="109" w:name="_Toc4319"/>
      <w:bookmarkStart w:id="110" w:name="_Toc256000051"/>
      <w:bookmarkStart w:id="111" w:name="_Toc76632917"/>
      <w:bookmarkStart w:id="112" w:name="_Toc152531528"/>
      <w:r>
        <w:rPr>
          <w:rFonts w:hint="eastAsia" w:ascii="宋体" w:eastAsia="宋体"/>
          <w:color w:val="000000" w:themeColor="text1"/>
          <w:highlight w:val="none"/>
          <w14:textFill>
            <w14:solidFill>
              <w14:schemeClr w14:val="tx1"/>
            </w14:solidFill>
          </w14:textFill>
        </w:rPr>
        <w:t>第三部分  拟签订的合同</w:t>
      </w:r>
      <w:bookmarkEnd w:id="109"/>
      <w:bookmarkEnd w:id="110"/>
      <w:bookmarkEnd w:id="111"/>
      <w:r>
        <w:rPr>
          <w:rFonts w:hint="eastAsia" w:ascii="宋体" w:eastAsia="宋体"/>
          <w:color w:val="000000" w:themeColor="text1"/>
          <w:highlight w:val="none"/>
          <w14:textFill>
            <w14:solidFill>
              <w14:schemeClr w14:val="tx1"/>
            </w14:solidFill>
          </w14:textFill>
        </w:rPr>
        <w:t>文本</w:t>
      </w:r>
      <w:bookmarkEnd w:id="112"/>
    </w:p>
    <w:p>
      <w:pPr>
        <w:pStyle w:val="5"/>
        <w:keepNext w:val="0"/>
        <w:keepLines w:val="0"/>
        <w:tabs>
          <w:tab w:val="center" w:pos="4153"/>
        </w:tabs>
        <w:spacing w:line="360" w:lineRule="auto"/>
        <w:jc w:val="center"/>
        <w:rPr>
          <w:rFonts w:ascii="宋体" w:hAnsi="宋体" w:eastAsia="宋体" w:cs="宋体"/>
          <w:highlight w:val="none"/>
        </w:rPr>
      </w:pPr>
      <w:r>
        <w:rPr>
          <w:rFonts w:hint="eastAsia" w:ascii="宋体" w:hAnsi="宋体" w:eastAsia="宋体" w:cs="宋体"/>
          <w:highlight w:val="none"/>
        </w:rPr>
        <w:t>合同条款</w:t>
      </w:r>
    </w:p>
    <w:p>
      <w:pPr>
        <w:numPr>
          <w:ilvl w:val="0"/>
          <w:numId w:val="1"/>
        </w:numPr>
        <w:autoSpaceDE w:val="0"/>
        <w:autoSpaceDN w:val="0"/>
        <w:adjustRightInd w:val="0"/>
        <w:snapToGri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乙双方根据</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r>
        <w:rPr>
          <w:rFonts w:hint="eastAsia" w:ascii="宋体" w:hAnsi="宋体" w:cs="宋体"/>
          <w:sz w:val="24"/>
          <w:szCs w:val="24"/>
          <w:highlight w:val="none"/>
          <w:u w:val="single"/>
        </w:rPr>
        <w:t>镇江市焚烧灰渣处置场飞灰填埋运营服务项目</w:t>
      </w:r>
      <w:r>
        <w:rPr>
          <w:rFonts w:hint="eastAsia" w:ascii="宋体" w:hAnsi="宋体" w:cs="宋体"/>
          <w:sz w:val="24"/>
          <w:szCs w:val="24"/>
          <w:highlight w:val="none"/>
        </w:rPr>
        <w:t>（项目编号：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）招标的结果， 签订本合同。</w:t>
      </w:r>
    </w:p>
    <w:p>
      <w:pPr>
        <w:numPr>
          <w:ilvl w:val="0"/>
          <w:numId w:val="2"/>
        </w:numPr>
        <w:autoSpaceDE w:val="0"/>
        <w:autoSpaceDN w:val="0"/>
        <w:adjustRightInd w:val="0"/>
        <w:snapToGrid w:val="0"/>
        <w:spacing w:line="360" w:lineRule="auto"/>
        <w:rPr>
          <w:rFonts w:ascii="宋体" w:hAnsi="宋体" w:cs="宋体"/>
          <w:b/>
          <w:bCs/>
          <w:sz w:val="24"/>
          <w:szCs w:val="24"/>
          <w:highlight w:val="none"/>
        </w:rPr>
      </w:pPr>
      <w:r>
        <w:rPr>
          <w:rFonts w:hint="eastAsia" w:ascii="宋体" w:hAnsi="宋体" w:cs="宋体"/>
          <w:b/>
          <w:bCs/>
          <w:sz w:val="24"/>
          <w:szCs w:val="24"/>
          <w:highlight w:val="none"/>
        </w:rPr>
        <w:t>总 则</w:t>
      </w:r>
    </w:p>
    <w:p>
      <w:pPr>
        <w:autoSpaceDE w:val="0"/>
        <w:autoSpaceDN w:val="0"/>
        <w:adjustRightInd w:val="0"/>
        <w:snapToGrid w:val="0"/>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第一条：本合同当事人</w:t>
      </w:r>
    </w:p>
    <w:p>
      <w:pPr>
        <w:autoSpaceDE w:val="0"/>
        <w:autoSpaceDN w:val="0"/>
        <w:adjustRightInd w:val="0"/>
        <w:snapToGri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甲方（全称）：</w:t>
      </w:r>
      <w:r>
        <w:rPr>
          <w:rFonts w:hint="eastAsia" w:ascii="宋体" w:hAnsi="宋体" w:cs="宋体"/>
          <w:sz w:val="24"/>
          <w:szCs w:val="24"/>
          <w:highlight w:val="none"/>
          <w:u w:val="single"/>
        </w:rPr>
        <w:t>镇江市环境卫生管理服务中心</w:t>
      </w:r>
      <w:r>
        <w:rPr>
          <w:rFonts w:hint="eastAsia" w:ascii="宋体" w:hAnsi="宋体" w:cs="宋体"/>
          <w:sz w:val="24"/>
          <w:szCs w:val="24"/>
          <w:highlight w:val="none"/>
        </w:rPr>
        <w:t>（以下简称甲方）</w:t>
      </w:r>
    </w:p>
    <w:p>
      <w:pPr>
        <w:autoSpaceDE w:val="0"/>
        <w:autoSpaceDN w:val="0"/>
        <w:adjustRightInd w:val="0"/>
        <w:snapToGri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乙方（全称）：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（以下简称乙方）</w:t>
      </w:r>
    </w:p>
    <w:p>
      <w:pPr>
        <w:autoSpaceDE w:val="0"/>
        <w:autoSpaceDN w:val="0"/>
        <w:adjustRightInd w:val="0"/>
        <w:snapToGri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依照《中华人民共和国政府采购法》、《民法典》及其他相关法律法规，遵循平等、自愿、公平和诚实信用原则，双方就镇江市焚烧灰渣处置场飞灰填埋运营服务项目相关事项协商一致，订立本合同，本合同由下列文件一起构成：</w:t>
      </w:r>
    </w:p>
    <w:p>
      <w:pPr>
        <w:numPr>
          <w:ilvl w:val="0"/>
          <w:numId w:val="3"/>
        </w:num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合同协议书；</w:t>
      </w:r>
    </w:p>
    <w:p>
      <w:pPr>
        <w:numPr>
          <w:ilvl w:val="0"/>
          <w:numId w:val="3"/>
        </w:num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中标通知书；</w:t>
      </w:r>
    </w:p>
    <w:p>
      <w:pPr>
        <w:numPr>
          <w:ilvl w:val="0"/>
          <w:numId w:val="3"/>
        </w:num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招标文件；</w:t>
      </w:r>
    </w:p>
    <w:p>
      <w:pPr>
        <w:numPr>
          <w:ilvl w:val="0"/>
          <w:numId w:val="3"/>
        </w:num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投标函；</w:t>
      </w:r>
    </w:p>
    <w:p>
      <w:pPr>
        <w:numPr>
          <w:ilvl w:val="0"/>
          <w:numId w:val="3"/>
        </w:num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其他合同文件。</w:t>
      </w:r>
    </w:p>
    <w:p>
      <w:pPr>
        <w:numPr>
          <w:ilvl w:val="0"/>
          <w:numId w:val="4"/>
        </w:numPr>
        <w:tabs>
          <w:tab w:val="left" w:pos="785"/>
        </w:tabs>
        <w:autoSpaceDE w:val="0"/>
        <w:autoSpaceDN w:val="0"/>
        <w:spacing w:line="360" w:lineRule="auto"/>
        <w:ind w:left="0" w:firstLine="460" w:firstLineChars="200"/>
        <w:rPr>
          <w:rFonts w:ascii="宋体" w:hAnsi="宋体" w:cs="宋体"/>
          <w:sz w:val="24"/>
          <w:szCs w:val="24"/>
          <w:highlight w:val="none"/>
        </w:rPr>
      </w:pPr>
      <w:r>
        <w:rPr>
          <w:rFonts w:hint="eastAsia" w:ascii="宋体" w:hAnsi="宋体" w:cs="宋体"/>
          <w:spacing w:val="-5"/>
          <w:sz w:val="24"/>
          <w:szCs w:val="24"/>
          <w:highlight w:val="none"/>
        </w:rPr>
        <w:t>上述合同文件互相补充和解释。如果合同文件之间存在矛盾或不一致之处，以上述文件</w:t>
      </w:r>
      <w:r>
        <w:rPr>
          <w:rFonts w:hint="eastAsia" w:ascii="宋体" w:hAnsi="宋体" w:cs="宋体"/>
          <w:spacing w:val="-4"/>
          <w:sz w:val="24"/>
          <w:szCs w:val="24"/>
          <w:highlight w:val="none"/>
        </w:rPr>
        <w:t>的排列顺序在先者为准。</w:t>
      </w:r>
    </w:p>
    <w:p>
      <w:pPr>
        <w:numPr>
          <w:ilvl w:val="0"/>
          <w:numId w:val="4"/>
        </w:numPr>
        <w:tabs>
          <w:tab w:val="left" w:pos="785"/>
        </w:tabs>
        <w:autoSpaceDE w:val="0"/>
        <w:autoSpaceDN w:val="0"/>
        <w:spacing w:line="360" w:lineRule="auto"/>
        <w:ind w:left="0" w:firstLine="468" w:firstLineChars="200"/>
        <w:rPr>
          <w:rFonts w:ascii="宋体" w:hAnsi="宋体" w:cs="宋体"/>
          <w:color w:val="FF0000"/>
          <w:spacing w:val="-3"/>
          <w:sz w:val="24"/>
          <w:szCs w:val="24"/>
          <w:highlight w:val="none"/>
        </w:rPr>
      </w:pPr>
      <w:r>
        <w:rPr>
          <w:rFonts w:hint="eastAsia" w:ascii="宋体" w:hAnsi="宋体" w:cs="宋体"/>
          <w:spacing w:val="-3"/>
          <w:sz w:val="24"/>
          <w:szCs w:val="24"/>
          <w:highlight w:val="none"/>
        </w:rPr>
        <w:t>根据上述合同文件要求，合同总金额（大写）为人民币</w:t>
      </w:r>
      <w:r>
        <w:rPr>
          <w:rFonts w:hint="eastAsia" w:ascii="宋体" w:hAnsi="宋体" w:cs="宋体"/>
          <w:spacing w:val="-3"/>
          <w:sz w:val="24"/>
          <w:szCs w:val="24"/>
          <w:highlight w:val="none"/>
          <w:u w:val="single"/>
        </w:rPr>
        <w:t xml:space="preserve">       </w:t>
      </w:r>
      <w:r>
        <w:rPr>
          <w:rFonts w:hint="eastAsia" w:ascii="宋体" w:hAnsi="宋体" w:cs="宋体"/>
          <w:spacing w:val="-3"/>
          <w:sz w:val="24"/>
          <w:szCs w:val="24"/>
          <w:highlight w:val="none"/>
        </w:rPr>
        <w:t xml:space="preserve">元整，¥ </w:t>
      </w:r>
      <w:r>
        <w:rPr>
          <w:rFonts w:hint="eastAsia" w:ascii="宋体" w:hAnsi="宋体" w:cs="宋体"/>
          <w:spacing w:val="-3"/>
          <w:sz w:val="24"/>
          <w:szCs w:val="24"/>
          <w:highlight w:val="none"/>
          <w:u w:val="single"/>
        </w:rPr>
        <w:t xml:space="preserve">      </w:t>
      </w:r>
      <w:r>
        <w:rPr>
          <w:rFonts w:hint="eastAsia" w:ascii="宋体" w:hAnsi="宋体" w:cs="宋体"/>
          <w:spacing w:val="-3"/>
          <w:sz w:val="24"/>
          <w:szCs w:val="24"/>
          <w:highlight w:val="none"/>
        </w:rPr>
        <w:t>元，单价为</w:t>
      </w:r>
      <w:r>
        <w:rPr>
          <w:rFonts w:hint="eastAsia" w:ascii="宋体" w:hAnsi="宋体" w:cs="宋体"/>
          <w:spacing w:val="-3"/>
          <w:sz w:val="24"/>
          <w:szCs w:val="24"/>
          <w:highlight w:val="none"/>
          <w:u w:val="single"/>
        </w:rPr>
        <w:t xml:space="preserve"> </w:t>
      </w:r>
      <w:r>
        <w:rPr>
          <w:rFonts w:ascii="宋体" w:hAnsi="宋体" w:cs="宋体"/>
          <w:spacing w:val="-3"/>
          <w:sz w:val="24"/>
          <w:szCs w:val="24"/>
          <w:highlight w:val="none"/>
          <w:u w:val="single"/>
        </w:rPr>
        <w:t xml:space="preserve">      </w:t>
      </w:r>
      <w:r>
        <w:rPr>
          <w:rFonts w:hint="eastAsia" w:ascii="宋体" w:hAnsi="宋体" w:cs="宋体"/>
          <w:spacing w:val="-3"/>
          <w:sz w:val="24"/>
          <w:szCs w:val="24"/>
          <w:highlight w:val="none"/>
        </w:rPr>
        <w:t>元/吨。（项目增加费用不得超过原合同金额的10%，同时双方必须签订补充合同）</w:t>
      </w:r>
    </w:p>
    <w:p>
      <w:pPr>
        <w:numPr>
          <w:ilvl w:val="0"/>
          <w:numId w:val="4"/>
        </w:numPr>
        <w:tabs>
          <w:tab w:val="left" w:pos="785"/>
        </w:tabs>
        <w:autoSpaceDE w:val="0"/>
        <w:autoSpaceDN w:val="0"/>
        <w:spacing w:line="360" w:lineRule="auto"/>
        <w:ind w:left="0" w:firstLine="480" w:firstLineChars="200"/>
        <w:rPr>
          <w:rFonts w:ascii="宋体" w:hAnsi="宋体" w:cs="宋体"/>
          <w:spacing w:val="-3"/>
          <w:sz w:val="24"/>
          <w:szCs w:val="24"/>
          <w:highlight w:val="none"/>
        </w:rPr>
      </w:pPr>
      <w:r>
        <w:rPr>
          <w:rFonts w:hint="eastAsia" w:ascii="宋体" w:hAnsi="宋体" w:cs="宋体"/>
          <w:sz w:val="24"/>
          <w:szCs w:val="20"/>
          <w:highlight w:val="none"/>
        </w:rPr>
        <w:t>本项目</w:t>
      </w:r>
      <w:r>
        <w:rPr>
          <w:rFonts w:hint="eastAsia" w:ascii="宋体" w:hAnsi="宋体" w:cs="宋体"/>
          <w:sz w:val="24"/>
          <w:highlight w:val="none"/>
        </w:rPr>
        <w:t>不收取履约保证金</w:t>
      </w:r>
      <w:r>
        <w:rPr>
          <w:rFonts w:hint="eastAsia" w:ascii="宋体" w:hAnsi="宋体" w:cs="宋体"/>
          <w:sz w:val="24"/>
          <w:szCs w:val="20"/>
          <w:highlight w:val="none"/>
        </w:rPr>
        <w:t>。</w:t>
      </w:r>
    </w:p>
    <w:p>
      <w:pPr>
        <w:numPr>
          <w:ilvl w:val="0"/>
          <w:numId w:val="4"/>
        </w:numPr>
        <w:tabs>
          <w:tab w:val="left" w:pos="785"/>
        </w:tabs>
        <w:autoSpaceDE w:val="0"/>
        <w:autoSpaceDN w:val="0"/>
        <w:spacing w:line="360" w:lineRule="auto"/>
        <w:ind w:left="0" w:firstLine="468" w:firstLineChars="200"/>
        <w:rPr>
          <w:rFonts w:ascii="宋体" w:hAnsi="宋体" w:cs="宋体"/>
          <w:sz w:val="24"/>
          <w:szCs w:val="24"/>
          <w:highlight w:val="none"/>
        </w:rPr>
      </w:pPr>
      <w:r>
        <w:rPr>
          <w:rFonts w:hint="eastAsia" w:ascii="宋体" w:hAnsi="宋体" w:cs="宋体"/>
          <w:spacing w:val="-3"/>
          <w:sz w:val="24"/>
          <w:szCs w:val="24"/>
          <w:highlight w:val="none"/>
        </w:rPr>
        <w:t>乙方承诺保证完全按照合同约定提供合同运营服务。</w:t>
      </w:r>
    </w:p>
    <w:p>
      <w:pPr>
        <w:numPr>
          <w:ilvl w:val="0"/>
          <w:numId w:val="4"/>
        </w:numPr>
        <w:tabs>
          <w:tab w:val="left" w:pos="785"/>
        </w:tabs>
        <w:autoSpaceDE w:val="0"/>
        <w:autoSpaceDN w:val="0"/>
        <w:spacing w:line="360" w:lineRule="auto"/>
        <w:ind w:left="0" w:firstLine="468" w:firstLineChars="200"/>
        <w:rPr>
          <w:rFonts w:ascii="宋体" w:hAnsi="宋体" w:cs="宋体"/>
          <w:sz w:val="24"/>
          <w:szCs w:val="24"/>
          <w:highlight w:val="none"/>
        </w:rPr>
      </w:pPr>
      <w:r>
        <w:rPr>
          <w:rFonts w:hint="eastAsia" w:ascii="宋体" w:hAnsi="宋体" w:cs="宋体"/>
          <w:spacing w:val="-3"/>
          <w:sz w:val="24"/>
          <w:szCs w:val="24"/>
          <w:highlight w:val="none"/>
        </w:rPr>
        <w:t>甲方承诺保证按照合同约定的条件、时间和方式向乙方支付合同价款。</w:t>
      </w:r>
    </w:p>
    <w:p>
      <w:pPr>
        <w:widowControl/>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第二条：项目名称、概况及服务内容</w:t>
      </w:r>
    </w:p>
    <w:p>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项目名称：镇江市焚烧灰渣处置场飞灰填埋运营服务项目。</w:t>
      </w:r>
    </w:p>
    <w:p>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项目服务内容：镇江市焚烧灰渣处置场运营管理，对进场飞灰进行安全填埋，依托已建成雨污分流系统及时导排渗滤液、雨水，雨水经在线监测系统达标后排放，对场区周边及填埋库区截洪沟日常养护、进出场道路保洁；对场内渗滤液处理运营单位、污水在线监测系统、雨水在线监测系统、危化品和危险废物管理进行监管。</w:t>
      </w:r>
    </w:p>
    <w:p>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服务数量：以实际处理量为准。</w:t>
      </w:r>
    </w:p>
    <w:p>
      <w:pPr>
        <w:widowControl/>
        <w:spacing w:line="360" w:lineRule="auto"/>
        <w:ind w:firstLine="482" w:firstLineChars="200"/>
        <w:rPr>
          <w:rFonts w:ascii="宋体" w:hAnsi="宋体" w:cs="宋体"/>
          <w:sz w:val="24"/>
          <w:szCs w:val="24"/>
          <w:highlight w:val="none"/>
        </w:rPr>
      </w:pPr>
      <w:r>
        <w:rPr>
          <w:rFonts w:hint="eastAsia" w:ascii="宋体" w:hAnsi="宋体" w:cs="宋体"/>
          <w:b/>
          <w:bCs/>
          <w:sz w:val="24"/>
          <w:szCs w:val="24"/>
          <w:highlight w:val="none"/>
        </w:rPr>
        <w:t>第三条：</w:t>
      </w:r>
      <w:r>
        <w:rPr>
          <w:rFonts w:hint="eastAsia" w:ascii="宋体" w:hAnsi="宋体" w:cs="宋体"/>
          <w:sz w:val="24"/>
          <w:szCs w:val="24"/>
          <w:highlight w:val="none"/>
        </w:rPr>
        <w:t>本合同依法签订后，即具有法律约束力，甲、乙双方必须严格遵守合同条款，履行合同规定的义务。</w:t>
      </w:r>
    </w:p>
    <w:p>
      <w:pPr>
        <w:pStyle w:val="4"/>
        <w:spacing w:line="360" w:lineRule="auto"/>
        <w:jc w:val="left"/>
        <w:rPr>
          <w:rFonts w:ascii="宋体" w:hAnsi="宋体" w:eastAsia="宋体" w:cs="宋体"/>
          <w:b/>
          <w:bCs/>
          <w:sz w:val="24"/>
          <w:szCs w:val="24"/>
          <w:highlight w:val="none"/>
        </w:rPr>
      </w:pPr>
      <w:bookmarkStart w:id="113" w:name="_Toc152531529"/>
      <w:r>
        <w:rPr>
          <w:rFonts w:hint="eastAsia" w:ascii="宋体" w:hAnsi="宋体" w:eastAsia="宋体" w:cs="宋体"/>
          <w:b/>
          <w:bCs/>
          <w:sz w:val="24"/>
          <w:szCs w:val="24"/>
          <w:highlight w:val="none"/>
        </w:rPr>
        <w:t>二、运营内容、范围和期限</w:t>
      </w:r>
      <w:bookmarkEnd w:id="113"/>
    </w:p>
    <w:p>
      <w:pPr>
        <w:spacing w:line="360" w:lineRule="auto"/>
        <w:ind w:firstLine="482" w:firstLineChars="200"/>
        <w:rPr>
          <w:rFonts w:ascii="宋体" w:hAnsi="宋体" w:cs="宋体"/>
          <w:sz w:val="24"/>
          <w:szCs w:val="24"/>
          <w:highlight w:val="none"/>
        </w:rPr>
      </w:pPr>
      <w:r>
        <w:rPr>
          <w:rFonts w:hint="eastAsia" w:ascii="宋体" w:hAnsi="宋体" w:cs="宋体"/>
          <w:b/>
          <w:bCs/>
          <w:sz w:val="24"/>
          <w:szCs w:val="24"/>
          <w:highlight w:val="none"/>
        </w:rPr>
        <w:t>第四条：</w:t>
      </w:r>
      <w:r>
        <w:rPr>
          <w:rFonts w:hint="eastAsia" w:ascii="宋体" w:hAnsi="宋体" w:cs="宋体"/>
          <w:sz w:val="24"/>
          <w:szCs w:val="24"/>
          <w:highlight w:val="none"/>
        </w:rPr>
        <w:t>乙方负责运营服务期内的飞灰填埋作业，向甲方提供飞灰填埋作业月度、年度填埋计划；做好场区日常防飞灰飘散、防恶臭气味、填埋库区防渗措施巡查、养护等工作，并满足相关服务技术要求。</w:t>
      </w:r>
    </w:p>
    <w:p>
      <w:pPr>
        <w:spacing w:line="360" w:lineRule="auto"/>
        <w:ind w:firstLine="482" w:firstLineChars="200"/>
        <w:rPr>
          <w:rFonts w:ascii="宋体" w:hAnsi="宋体" w:cs="宋体"/>
          <w:sz w:val="24"/>
          <w:szCs w:val="24"/>
          <w:highlight w:val="none"/>
        </w:rPr>
      </w:pPr>
      <w:r>
        <w:rPr>
          <w:rFonts w:hint="eastAsia" w:ascii="宋体" w:hAnsi="宋体" w:cs="宋体"/>
          <w:b/>
          <w:bCs/>
          <w:sz w:val="24"/>
          <w:szCs w:val="24"/>
          <w:highlight w:val="none"/>
        </w:rPr>
        <w:t>第五条：</w:t>
      </w:r>
      <w:r>
        <w:rPr>
          <w:rFonts w:hint="eastAsia" w:ascii="宋体" w:hAnsi="宋体" w:cs="宋体"/>
          <w:sz w:val="24"/>
          <w:szCs w:val="24"/>
          <w:highlight w:val="none"/>
        </w:rPr>
        <w:t>乙方负责飞灰日常填埋作业。焚烧厂每天产生的飞灰经稳定化处置，抽检合格后，通过吨袋密封包装（每天约78吨），通过具有危废资质的运输车辆运至灰渣处置场进行安全填埋。车辆进场后，先经汽车衡称重，后经场区辅道进行飞灰填埋作业单元，由飞灰填埋处置作业班组人员运用吊车进行填埋处置作业，当天填埋作业完成后，用ＨDPE土工膜覆盖，并用旧轮胎压实，当作业单元填满后，进行堆体整形。</w:t>
      </w:r>
    </w:p>
    <w:p>
      <w:pPr>
        <w:spacing w:line="360" w:lineRule="auto"/>
        <w:ind w:firstLine="482" w:firstLineChars="200"/>
        <w:rPr>
          <w:rFonts w:ascii="宋体" w:hAnsi="宋体" w:cs="宋体"/>
          <w:sz w:val="24"/>
          <w:szCs w:val="24"/>
          <w:highlight w:val="none"/>
        </w:rPr>
      </w:pPr>
      <w:r>
        <w:rPr>
          <w:rFonts w:hint="eastAsia" w:ascii="宋体" w:hAnsi="宋体" w:cs="宋体"/>
          <w:b/>
          <w:bCs/>
          <w:sz w:val="24"/>
          <w:szCs w:val="24"/>
          <w:highlight w:val="none"/>
        </w:rPr>
        <w:t>第六条：</w:t>
      </w:r>
      <w:r>
        <w:rPr>
          <w:rFonts w:hint="eastAsia" w:ascii="宋体" w:hAnsi="宋体" w:cs="宋体"/>
          <w:sz w:val="24"/>
          <w:szCs w:val="24"/>
          <w:highlight w:val="none"/>
        </w:rPr>
        <w:t>乙方负责对场内渗滤液处理运营单位、污水在线监测系统、雨水在线监测系统、危化品和危险废物管理进行监管和检查评价。</w:t>
      </w:r>
    </w:p>
    <w:p>
      <w:pPr>
        <w:spacing w:line="360" w:lineRule="auto"/>
        <w:ind w:firstLine="482" w:firstLineChars="200"/>
        <w:rPr>
          <w:rFonts w:ascii="宋体" w:hAnsi="宋体" w:cs="宋体"/>
          <w:sz w:val="24"/>
          <w:szCs w:val="24"/>
          <w:highlight w:val="none"/>
        </w:rPr>
      </w:pPr>
      <w:r>
        <w:rPr>
          <w:rFonts w:hint="eastAsia" w:ascii="宋体" w:hAnsi="宋体" w:cs="宋体"/>
          <w:b/>
          <w:bCs/>
          <w:sz w:val="24"/>
          <w:szCs w:val="24"/>
          <w:highlight w:val="none"/>
        </w:rPr>
        <w:t>第七条：</w:t>
      </w:r>
      <w:r>
        <w:rPr>
          <w:rFonts w:hint="eastAsia" w:ascii="宋体" w:hAnsi="宋体" w:cs="宋体"/>
          <w:sz w:val="24"/>
          <w:szCs w:val="24"/>
          <w:highlight w:val="none"/>
        </w:rPr>
        <w:t>乙方负责飞灰填埋库区内设施、设备的保养、维护，对场区周边及填埋库区截洪沟清理、进场道路保洁。</w:t>
      </w:r>
    </w:p>
    <w:p>
      <w:pPr>
        <w:spacing w:line="360" w:lineRule="auto"/>
        <w:ind w:firstLine="482" w:firstLineChars="200"/>
        <w:rPr>
          <w:highlight w:val="none"/>
        </w:rPr>
      </w:pPr>
      <w:r>
        <w:rPr>
          <w:rFonts w:hint="eastAsia" w:ascii="宋体" w:hAnsi="宋体" w:cs="宋体"/>
          <w:b/>
          <w:bCs/>
          <w:sz w:val="24"/>
          <w:szCs w:val="24"/>
          <w:highlight w:val="none"/>
        </w:rPr>
        <w:t xml:space="preserve">第八条： </w:t>
      </w:r>
      <w:r>
        <w:rPr>
          <w:rFonts w:hint="eastAsia" w:ascii="宋体" w:hAnsi="宋体" w:cs="宋体"/>
          <w:sz w:val="24"/>
          <w:szCs w:val="24"/>
          <w:highlight w:val="none"/>
        </w:rPr>
        <w:t>乙方负责依托已建成雨污分流系统及时导排渗滤液和雨水，做好雨污分流，确保雨水经在线监测系统达标排放。</w:t>
      </w:r>
    </w:p>
    <w:p>
      <w:pPr>
        <w:spacing w:line="360" w:lineRule="auto"/>
        <w:ind w:firstLine="482" w:firstLineChars="200"/>
        <w:rPr>
          <w:rFonts w:ascii="宋体" w:hAnsi="宋体" w:cs="宋体"/>
          <w:sz w:val="24"/>
          <w:szCs w:val="24"/>
          <w:highlight w:val="none"/>
        </w:rPr>
      </w:pPr>
      <w:r>
        <w:rPr>
          <w:rFonts w:hint="eastAsia" w:ascii="宋体" w:hAnsi="宋体" w:cs="宋体"/>
          <w:b/>
          <w:bCs/>
          <w:sz w:val="24"/>
          <w:szCs w:val="24"/>
          <w:highlight w:val="none"/>
        </w:rPr>
        <w:t>第九条：</w:t>
      </w:r>
      <w:r>
        <w:rPr>
          <w:rFonts w:hint="eastAsia" w:ascii="宋体" w:hAnsi="宋体" w:cs="宋体"/>
          <w:sz w:val="24"/>
          <w:szCs w:val="24"/>
          <w:highlight w:val="none"/>
        </w:rPr>
        <w:t>乙方负责填报飞灰填埋作业台账数据（含江苏省固体废物管理信息系统、江苏省污染源“一企一档”管理系统、镇江新区新材料产业园智慧园区平台）【备注：数据需甲方核实后填报，并存档备查】；</w:t>
      </w:r>
    </w:p>
    <w:p>
      <w:pPr>
        <w:spacing w:line="360" w:lineRule="auto"/>
        <w:ind w:firstLine="482" w:firstLineChars="200"/>
        <w:rPr>
          <w:rFonts w:ascii="宋体" w:hAnsi="宋体" w:cs="宋体"/>
          <w:sz w:val="24"/>
          <w:szCs w:val="24"/>
          <w:highlight w:val="none"/>
        </w:rPr>
      </w:pPr>
      <w:r>
        <w:rPr>
          <w:rFonts w:hint="eastAsia" w:ascii="宋体" w:hAnsi="宋体" w:cs="宋体"/>
          <w:b/>
          <w:bCs/>
          <w:sz w:val="24"/>
          <w:szCs w:val="24"/>
          <w:highlight w:val="none"/>
        </w:rPr>
        <w:t>第十条：</w:t>
      </w:r>
      <w:r>
        <w:rPr>
          <w:rFonts w:hint="eastAsia" w:ascii="宋体" w:hAnsi="宋体" w:cs="宋体"/>
          <w:sz w:val="24"/>
          <w:szCs w:val="24"/>
          <w:highlight w:val="none"/>
        </w:rPr>
        <w:t>乙方负责修订焚烧灰渣处置场管理制度和安全生产应急预案，按计划落实安全生产培训和应急演练及环境卫生等工作。</w:t>
      </w:r>
    </w:p>
    <w:p>
      <w:pPr>
        <w:spacing w:line="360" w:lineRule="auto"/>
        <w:ind w:firstLine="482" w:firstLineChars="200"/>
        <w:rPr>
          <w:rFonts w:ascii="宋体" w:hAnsi="宋体" w:cs="宋体"/>
          <w:sz w:val="24"/>
          <w:szCs w:val="24"/>
          <w:highlight w:val="none"/>
        </w:rPr>
      </w:pPr>
      <w:r>
        <w:rPr>
          <w:rFonts w:hint="eastAsia" w:ascii="宋体" w:hAnsi="宋体" w:cs="宋体"/>
          <w:b/>
          <w:bCs/>
          <w:sz w:val="24"/>
          <w:szCs w:val="24"/>
          <w:highlight w:val="none"/>
        </w:rPr>
        <w:t>第十一条：</w:t>
      </w:r>
      <w:r>
        <w:rPr>
          <w:rFonts w:hint="eastAsia" w:ascii="宋体" w:hAnsi="宋体" w:cs="宋体"/>
          <w:sz w:val="24"/>
          <w:szCs w:val="24"/>
          <w:highlight w:val="none"/>
        </w:rPr>
        <w:t>乙方负责按甲方要求做好环保、安全检查等准备工作及后续整改工作；</w:t>
      </w:r>
    </w:p>
    <w:p>
      <w:pPr>
        <w:spacing w:line="360" w:lineRule="auto"/>
        <w:ind w:firstLine="482" w:firstLineChars="200"/>
        <w:rPr>
          <w:rFonts w:ascii="宋体" w:hAnsi="宋体" w:cs="宋体"/>
          <w:sz w:val="24"/>
          <w:szCs w:val="24"/>
          <w:highlight w:val="none"/>
        </w:rPr>
      </w:pPr>
      <w:r>
        <w:rPr>
          <w:rFonts w:hint="eastAsia" w:ascii="宋体" w:hAnsi="宋体" w:cs="宋体"/>
          <w:b/>
          <w:bCs/>
          <w:sz w:val="24"/>
          <w:szCs w:val="24"/>
          <w:highlight w:val="none"/>
        </w:rPr>
        <w:t>第十二条：</w:t>
      </w:r>
      <w:r>
        <w:rPr>
          <w:rFonts w:hint="eastAsia" w:ascii="宋体" w:hAnsi="宋体" w:cs="宋体"/>
          <w:sz w:val="24"/>
          <w:szCs w:val="24"/>
          <w:highlight w:val="none"/>
        </w:rPr>
        <w:t>乙方运营工作应达到《稳定化飞灰填埋场运行维护技术规程》（CJJ 93）、《稳定化飞灰填埋处理技术规范》（GB 50869）、《生活垃圾焚烧稳定化飞灰填埋处置技术标准》（DB32/T 4076-2021）的要求；环境污染控制指标必须符合国家现行标准《生活垃圾填埋场污染控制标准》（GB 16889）、《生活垃圾焚烧稳定化飞灰填埋处置技术标准》（DB32/T 4076-2021）的要求。</w:t>
      </w:r>
    </w:p>
    <w:p>
      <w:pPr>
        <w:spacing w:line="360" w:lineRule="auto"/>
        <w:ind w:firstLine="482" w:firstLineChars="200"/>
        <w:jc w:val="left"/>
        <w:rPr>
          <w:rFonts w:ascii="宋体" w:hAnsi="宋体" w:cs="宋体"/>
          <w:sz w:val="24"/>
          <w:szCs w:val="24"/>
          <w:highlight w:val="none"/>
        </w:rPr>
      </w:pPr>
      <w:r>
        <w:rPr>
          <w:rFonts w:hint="eastAsia" w:ascii="宋体" w:hAnsi="宋体" w:cs="宋体"/>
          <w:b/>
          <w:bCs/>
          <w:sz w:val="24"/>
          <w:szCs w:val="24"/>
          <w:highlight w:val="none"/>
        </w:rPr>
        <w:t>第十三条：</w:t>
      </w:r>
      <w:r>
        <w:rPr>
          <w:rFonts w:hint="eastAsia" w:ascii="宋体" w:hAnsi="宋体" w:cs="宋体"/>
          <w:sz w:val="24"/>
          <w:szCs w:val="24"/>
          <w:highlight w:val="none"/>
        </w:rPr>
        <w:t>乙方负责甲方临时交办的事务性工作；</w:t>
      </w:r>
    </w:p>
    <w:p>
      <w:pPr>
        <w:spacing w:line="360" w:lineRule="auto"/>
        <w:ind w:firstLine="482" w:firstLineChars="200"/>
        <w:jc w:val="left"/>
        <w:rPr>
          <w:rFonts w:ascii="宋体" w:hAnsi="宋体" w:cs="宋体"/>
          <w:sz w:val="24"/>
          <w:szCs w:val="24"/>
          <w:highlight w:val="none"/>
        </w:rPr>
      </w:pPr>
      <w:r>
        <w:rPr>
          <w:rFonts w:hint="eastAsia" w:ascii="宋体" w:hAnsi="宋体" w:cs="宋体"/>
          <w:b/>
          <w:bCs/>
          <w:sz w:val="24"/>
          <w:szCs w:val="24"/>
          <w:highlight w:val="none"/>
        </w:rPr>
        <w:t>第十四条：</w:t>
      </w:r>
      <w:r>
        <w:rPr>
          <w:rFonts w:hint="eastAsia" w:ascii="宋体" w:hAnsi="宋体" w:cs="宋体"/>
          <w:sz w:val="24"/>
          <w:szCs w:val="24"/>
          <w:highlight w:val="none"/>
        </w:rPr>
        <w:t>乙方负责招标文件中要求的其它工作。</w:t>
      </w:r>
    </w:p>
    <w:p>
      <w:pPr>
        <w:pStyle w:val="4"/>
        <w:spacing w:line="360" w:lineRule="auto"/>
        <w:rPr>
          <w:rFonts w:ascii="宋体" w:hAnsi="宋体" w:eastAsia="宋体" w:cs="宋体"/>
          <w:b/>
          <w:bCs/>
          <w:sz w:val="24"/>
          <w:szCs w:val="24"/>
          <w:highlight w:val="none"/>
        </w:rPr>
      </w:pPr>
      <w:bookmarkStart w:id="114" w:name="_Toc152531530"/>
      <w:r>
        <w:rPr>
          <w:rFonts w:hint="eastAsia" w:ascii="宋体" w:hAnsi="宋体" w:eastAsia="宋体" w:cs="宋体"/>
          <w:b/>
          <w:bCs/>
          <w:sz w:val="24"/>
          <w:szCs w:val="24"/>
          <w:highlight w:val="none"/>
        </w:rPr>
        <w:t>三、双方权利和义务</w:t>
      </w:r>
      <w:bookmarkEnd w:id="114"/>
    </w:p>
    <w:p>
      <w:pPr>
        <w:spacing w:line="360" w:lineRule="auto"/>
        <w:ind w:firstLine="482" w:firstLineChars="200"/>
        <w:jc w:val="left"/>
        <w:rPr>
          <w:rFonts w:ascii="宋体" w:hAnsi="宋体" w:cs="宋体"/>
          <w:b/>
          <w:bCs/>
          <w:sz w:val="24"/>
          <w:szCs w:val="24"/>
          <w:highlight w:val="none"/>
        </w:rPr>
      </w:pPr>
      <w:r>
        <w:rPr>
          <w:rFonts w:hint="eastAsia" w:ascii="宋体" w:hAnsi="宋体" w:cs="宋体"/>
          <w:b/>
          <w:bCs/>
          <w:sz w:val="24"/>
          <w:szCs w:val="24"/>
          <w:highlight w:val="none"/>
        </w:rPr>
        <w:t>第十五条：甲方权利和义务</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 甲方应确保本项目的合法性（用地、立项、报建、工程验收的资料及相关批文完善）。</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 甲方应确保运营过程中没有第三方对填埋场的建设或权属问题主张权利。</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3. 确保入场的飞灰运输车辆性能符合规范要求，入场车辆行使符合乙方的要求。</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4. 及时签收乙方真实、有效的运营资料、并进行符合性检查，如有不符合者，应及时提出。</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5. 乙方签订本合同前给填埋场建设不符合相关要求的部分提出异议，并要求甲方完善相关的内容，甲方及时整改，并达到运营要求，若满足运营要求的，甲乙双方签订本合同，合同签订视为所移交的建设内容已经满足使用要求。</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6. 确保并协助运营费按时、足额支付。</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7. 协助乙方做好管理工作和宣传教育、文化活动。</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8. 随时进入填埋场进行检查，如发现不符合运营要求的事项，甲方有权将相关记录作为扣分项，并及时通知乙方指定的联系人。</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9. 甲方有权要求乙方在合理期限内提供相关的书面记录、文件说明及运营情况总结等相关书面说明。</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10. 甲方有权根据国家、省市、县相关部门关于填埋场运营的新标准、新规范、新要求向乙方发出填埋作业书面通知。</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11. 监督、指导乙方的管理行为并及时纠正的权利和义务。</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12. 根据合同约定，乙方出现重大管理失误或严重违约、或有多次投诉而得不到纠正的，甲方有权取消合同。</w:t>
      </w:r>
    </w:p>
    <w:p>
      <w:pPr>
        <w:spacing w:line="360" w:lineRule="auto"/>
        <w:ind w:firstLine="482" w:firstLineChars="200"/>
        <w:jc w:val="left"/>
        <w:rPr>
          <w:rFonts w:ascii="宋体" w:hAnsi="宋体" w:cs="宋体"/>
          <w:b/>
          <w:bCs/>
          <w:sz w:val="24"/>
          <w:szCs w:val="24"/>
          <w:highlight w:val="none"/>
        </w:rPr>
      </w:pPr>
      <w:r>
        <w:rPr>
          <w:rFonts w:hint="eastAsia" w:ascii="宋体" w:hAnsi="宋体" w:cs="宋体"/>
          <w:b/>
          <w:bCs/>
          <w:sz w:val="24"/>
          <w:szCs w:val="24"/>
          <w:highlight w:val="none"/>
        </w:rPr>
        <w:t>第十六条：乙方权利义务</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1．按照本合同第二章“运营内容、范围和期限”的约定进行运营。</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2．乙方应在当地成立项目管理团队直接负责本项目的运营。</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3．根据有关法律法规及本合同的约定，制定完备的管理制度。</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4．乙方必须在入场前提交合同时间范围内的库区使用、填埋作业计划，以后每月底前乙方需向甲方报送下一月度飞灰库区使用、填埋作业计划备案，明确填埋作业面的月度使用计划、渗滤液及膜上雨水导排运营计划，并严格执行运营计划。</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5．在运营过程中，如因发生不可抗力、极端天气条件、发生安全事故等原因导致填埋场无法正常运营，乙方有权发出暂停运营通告，但必须事先经甲方的认可。</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6．在运营过程中，乙方需根据飞灰填埋的需要采购足够的保证本项目正常履约的优质防渗膜、覆盖膜等材料。配备足够的钢板箱、吊车等设备，并使运营设备处于良好使用状态，如出现不可预见突发性的重大维修导致暂停服务时，乙方应提供相应的维修方案，经甲方确认责任方后按时实施，不得故意延迟维修。</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7．在运营过程中，应充分考虑环境影响、维护生态环境，因乙方运营不当造成的环境污染，乙方承担由此造成的全部责任。</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8．乙方应确保在运营过程中，配备足额的人员、设备及材料，提供运营人员花名册、组织架构、管理制度和应急预案。</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9．执行甲方相关管理制度及消防管理制度，并有权对违反管理制度的行为给予纠正或制止。</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10．制定填埋场应急预案，并组织培训和应急演练，做好台账记录。乙方应保障生产和服务的稳定和安全，防止事故发生，如出现重大意外事故，乙方应及时通知甲方，并尽最大人力、物力进行抢救，尽快恢复生产与服务，在事故影响期间，乙方应采取各种应急措施进行抢救，减少事故对公众、环境的影响，由于乙方运营不当造成的事故，乙方承担由此造成的全部责任。</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11．接受甲方的监督、指导。</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12．乙方有权在在合同约定的期限内对甲方所提出的扣分项目提出异议，但必须书面提交相关说明及证明材料，其他任何形式（口头、邮件、电话）所提出的异议均不具约束力。</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13．在合同约定范围内，完成甲方发出填埋作业书面通知的工作内容。</w:t>
      </w:r>
    </w:p>
    <w:p>
      <w:pPr>
        <w:pStyle w:val="4"/>
        <w:spacing w:line="360" w:lineRule="auto"/>
        <w:rPr>
          <w:rFonts w:ascii="宋体" w:hAnsi="宋体" w:eastAsia="宋体" w:cs="宋体"/>
          <w:b/>
          <w:bCs/>
          <w:sz w:val="24"/>
          <w:szCs w:val="24"/>
          <w:highlight w:val="none"/>
        </w:rPr>
      </w:pPr>
      <w:bookmarkStart w:id="115" w:name="_Toc152531531"/>
      <w:r>
        <w:rPr>
          <w:rFonts w:hint="eastAsia" w:ascii="宋体" w:hAnsi="宋体" w:eastAsia="宋体" w:cs="宋体"/>
          <w:b/>
          <w:bCs/>
          <w:sz w:val="24"/>
          <w:szCs w:val="24"/>
          <w:highlight w:val="none"/>
        </w:rPr>
        <w:t>四、运营基本条件</w:t>
      </w:r>
      <w:bookmarkEnd w:id="115"/>
    </w:p>
    <w:p>
      <w:pPr>
        <w:spacing w:line="360" w:lineRule="auto"/>
        <w:ind w:firstLine="482" w:firstLineChars="200"/>
        <w:jc w:val="left"/>
        <w:rPr>
          <w:rFonts w:ascii="宋体" w:hAnsi="宋体" w:cs="宋体"/>
          <w:b/>
          <w:bCs/>
          <w:sz w:val="24"/>
          <w:szCs w:val="24"/>
          <w:highlight w:val="none"/>
        </w:rPr>
      </w:pPr>
      <w:r>
        <w:rPr>
          <w:rFonts w:hint="eastAsia" w:ascii="宋体" w:hAnsi="宋体" w:cs="宋体"/>
          <w:b/>
          <w:bCs/>
          <w:sz w:val="24"/>
          <w:szCs w:val="24"/>
          <w:highlight w:val="none"/>
        </w:rPr>
        <w:t>第十七条：具体运营基本条件包括：</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1、乙方须配备不低于20吨吊车一辆并提供吨袋吊装作业配套设备（缺一不可）。</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2、乙方根据现场情况自行接电、安装夜间照明设施。</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3、乙方根据现场情况提供钢板路基箱，铺设宽度不低于6m 作为库区进场道路，自行采购压膜预制件。</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4、设备使用过程中所发生的一切相关费用由乙方承担。所提供设备只供甲方作为填埋场的作业用途，不得转移他用。</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5、人员配备要求</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乙方须配备项目经理一名；项目技术负责人一名；吊车驾驶员不少于一名；安全员不少于一名；操作工人不少于10名。（自运营之日起，乙方需使用甲方现有飞灰填埋作业辅工人员，共10人，并支付其全部薪资和社会保险等福利待遇。）</w:t>
      </w:r>
      <w:r>
        <w:rPr>
          <w:rFonts w:hint="eastAsia" w:ascii="宋体" w:hAnsi="宋体" w:cs="宋体"/>
          <w:color w:val="000000" w:themeColor="text1"/>
          <w:sz w:val="24"/>
          <w:szCs w:val="24"/>
          <w:highlight w:val="none"/>
          <w14:textFill>
            <w14:solidFill>
              <w14:schemeClr w14:val="tx1"/>
            </w14:solidFill>
          </w14:textFill>
        </w:rPr>
        <w:t>并为驻焚烧灰渣处置场所有服务人员购买法律规定的五险、意外伤害保险、雇主责任险等保险。</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6、覆盖材料</w:t>
      </w:r>
    </w:p>
    <w:p>
      <w:pPr>
        <w:spacing w:line="360" w:lineRule="auto"/>
        <w:ind w:firstLine="480" w:firstLineChars="200"/>
        <w:jc w:val="left"/>
        <w:rPr>
          <w:highlight w:val="none"/>
        </w:rPr>
      </w:pPr>
      <w:r>
        <w:rPr>
          <w:rFonts w:hint="eastAsia" w:ascii="宋体" w:hAnsi="宋体" w:cs="宋体"/>
          <w:sz w:val="24"/>
          <w:szCs w:val="24"/>
          <w:highlight w:val="none"/>
        </w:rPr>
        <w:t>自行采购约3万平米1.0mm HDPE 膜进行覆盖(具体数量以满足现场覆盖为准)，购买膜、覆膜、焊膜、压膜材料等所需的一切相关费用由乙方自行承担。HDPE膜厚度不小于1.0mm,同时符合CJ/T234-2006标准。</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7、飞灰填埋作业的服务内容须满足《生活垃圾焚烧稳定化飞灰填埋处置技术标准》（DB32/T 4076-2021）的要求。运营费用具体至少包含如下费用：</w:t>
      </w:r>
    </w:p>
    <w:p>
      <w:pPr>
        <w:numPr>
          <w:ilvl w:val="0"/>
          <w:numId w:val="5"/>
        </w:numPr>
        <w:spacing w:line="360" w:lineRule="auto"/>
        <w:ind w:left="0" w:firstLine="480" w:firstLineChars="200"/>
        <w:rPr>
          <w:rFonts w:ascii="宋体" w:hAnsi="宋体" w:cs="宋体"/>
          <w:sz w:val="24"/>
          <w:szCs w:val="24"/>
          <w:highlight w:val="none"/>
        </w:rPr>
      </w:pPr>
      <w:r>
        <w:rPr>
          <w:rFonts w:hint="eastAsia" w:ascii="宋体" w:hAnsi="宋体" w:cs="宋体"/>
          <w:sz w:val="24"/>
          <w:szCs w:val="24"/>
          <w:highlight w:val="none"/>
        </w:rPr>
        <w:t>飞灰填埋场运营工作聘用人员的费用（含社保、福利、节假日加班费、作业工具、劳保用品、意外险等费用）；</w:t>
      </w:r>
    </w:p>
    <w:p>
      <w:pPr>
        <w:numPr>
          <w:ilvl w:val="0"/>
          <w:numId w:val="5"/>
        </w:numPr>
        <w:spacing w:line="360" w:lineRule="auto"/>
        <w:ind w:left="0" w:firstLine="480" w:firstLineChars="200"/>
        <w:rPr>
          <w:rFonts w:ascii="宋体" w:hAnsi="宋体" w:cs="宋体"/>
          <w:sz w:val="24"/>
          <w:szCs w:val="24"/>
          <w:highlight w:val="none"/>
        </w:rPr>
      </w:pPr>
      <w:r>
        <w:rPr>
          <w:rFonts w:hint="eastAsia" w:ascii="宋体" w:hAnsi="宋体" w:cs="宋体"/>
          <w:sz w:val="24"/>
          <w:szCs w:val="24"/>
          <w:highlight w:val="none"/>
        </w:rPr>
        <w:t>填埋场飞灰库区填埋作业、填埋覆盖、堆体整形、防飞灰飘散、防恶臭气味、雨污分流导排、边坡膜防护及渗滤液抽排等费用；</w:t>
      </w:r>
    </w:p>
    <w:p>
      <w:pPr>
        <w:numPr>
          <w:ilvl w:val="0"/>
          <w:numId w:val="5"/>
        </w:numPr>
        <w:spacing w:line="360" w:lineRule="auto"/>
        <w:ind w:left="0" w:firstLine="480" w:firstLineChars="200"/>
        <w:rPr>
          <w:rFonts w:ascii="宋体" w:hAnsi="宋体" w:cs="宋体"/>
          <w:sz w:val="24"/>
          <w:szCs w:val="24"/>
          <w:highlight w:val="none"/>
        </w:rPr>
      </w:pPr>
      <w:r>
        <w:rPr>
          <w:rFonts w:hint="eastAsia" w:ascii="宋体" w:hAnsi="宋体" w:cs="宋体"/>
          <w:sz w:val="24"/>
          <w:szCs w:val="24"/>
          <w:highlight w:val="none"/>
        </w:rPr>
        <w:t>填埋场飞灰库区内吊车、设施、设备的保养和维护、防汛、防火、安全生产以及环境卫生等费用；</w:t>
      </w:r>
    </w:p>
    <w:p>
      <w:pPr>
        <w:numPr>
          <w:ilvl w:val="0"/>
          <w:numId w:val="5"/>
        </w:numPr>
        <w:spacing w:line="360" w:lineRule="auto"/>
        <w:ind w:left="0" w:firstLine="480" w:firstLineChars="200"/>
        <w:rPr>
          <w:rFonts w:ascii="宋体" w:hAnsi="宋体" w:cs="宋体"/>
          <w:sz w:val="24"/>
          <w:szCs w:val="24"/>
          <w:highlight w:val="none"/>
        </w:rPr>
      </w:pPr>
      <w:r>
        <w:rPr>
          <w:rFonts w:hint="eastAsia" w:ascii="宋体" w:hAnsi="宋体" w:cs="宋体"/>
          <w:sz w:val="24"/>
          <w:szCs w:val="24"/>
          <w:highlight w:val="none"/>
        </w:rPr>
        <w:t>填埋场区排水沟清疏维护的费用；</w:t>
      </w:r>
    </w:p>
    <w:p>
      <w:pPr>
        <w:numPr>
          <w:ilvl w:val="0"/>
          <w:numId w:val="5"/>
        </w:numPr>
        <w:spacing w:line="360" w:lineRule="auto"/>
        <w:ind w:left="0" w:firstLine="480" w:firstLineChars="200"/>
        <w:rPr>
          <w:rFonts w:ascii="宋体" w:hAnsi="宋体" w:cs="宋体"/>
          <w:sz w:val="24"/>
          <w:szCs w:val="24"/>
          <w:highlight w:val="none"/>
        </w:rPr>
      </w:pPr>
      <w:r>
        <w:rPr>
          <w:rFonts w:hint="eastAsia" w:ascii="宋体" w:hAnsi="宋体" w:cs="宋体"/>
          <w:sz w:val="24"/>
          <w:szCs w:val="24"/>
          <w:highlight w:val="none"/>
        </w:rPr>
        <w:t>负责镇江市环境卫生管理服务中心飞灰库区运营服务采购项目运营所引起的应急处理费用；</w:t>
      </w:r>
    </w:p>
    <w:p>
      <w:pPr>
        <w:numPr>
          <w:ilvl w:val="0"/>
          <w:numId w:val="5"/>
        </w:numPr>
        <w:spacing w:line="360" w:lineRule="auto"/>
        <w:ind w:left="0" w:firstLine="480" w:firstLineChars="200"/>
        <w:rPr>
          <w:rFonts w:ascii="宋体" w:hAnsi="宋体" w:cs="宋体"/>
          <w:sz w:val="24"/>
          <w:szCs w:val="24"/>
          <w:highlight w:val="none"/>
        </w:rPr>
      </w:pPr>
      <w:r>
        <w:rPr>
          <w:rFonts w:hint="eastAsia" w:ascii="宋体" w:hAnsi="宋体" w:cs="宋体"/>
          <w:sz w:val="24"/>
          <w:szCs w:val="24"/>
          <w:highlight w:val="none"/>
        </w:rPr>
        <w:t>服务期间相关作业人员发生意外事件处理的一切费用。</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8、乙方每月底前需向甲方报送下一月度库区使用、填埋作业计划备案，明确填埋作业面的月度使用计划及日常运营计划。</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9、本项目运营须按《生活垃圾焚烧稳定化飞灰填埋处置技术标准》（DB32/T 4076-2021）的要求进行运营。</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10、本运营建设形成的固定资产所有权归甲方。</w:t>
      </w:r>
    </w:p>
    <w:p>
      <w:pPr>
        <w:pStyle w:val="4"/>
        <w:spacing w:line="360" w:lineRule="auto"/>
        <w:rPr>
          <w:rFonts w:ascii="宋体" w:hAnsi="宋体" w:eastAsia="宋体" w:cs="宋体"/>
          <w:b/>
          <w:bCs/>
          <w:sz w:val="24"/>
          <w:szCs w:val="24"/>
          <w:highlight w:val="none"/>
        </w:rPr>
      </w:pPr>
      <w:bookmarkStart w:id="116" w:name="_Toc152531532"/>
      <w:r>
        <w:rPr>
          <w:rFonts w:hint="eastAsia" w:ascii="宋体" w:hAnsi="宋体" w:eastAsia="宋体" w:cs="宋体"/>
          <w:b/>
          <w:bCs/>
          <w:sz w:val="24"/>
          <w:szCs w:val="24"/>
          <w:highlight w:val="none"/>
        </w:rPr>
        <w:t>五、运营工作要求</w:t>
      </w:r>
      <w:bookmarkEnd w:id="116"/>
    </w:p>
    <w:p>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第十八条：飞灰作业准备</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①飞灰处置运行管理人员应熟悉填埋作业工艺，掌握填埋场安全防护知识及应急预案要求。</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②飞灰处置生产人员应定期经过专业技能培训和安全教育，形成台账资料，熟练掌握各岗位操作要求。</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③乙方应根据库区实际情况制定分区分单元填埋作业计划，作业分区应采取有利于雨污分流的措施，须经甲方同意后实施。</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④乙方根据库区实际情况提前准备钢板路基箱并铺设道路宽度不低于6m 库区进场道路，同时使用钢板路基箱铺设吊装作业平台，作业平台面积需满足吊装设备作业要求及飞灰运输车辆调头。</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⑤乙方需自行采购厚度不小于1.0mm HDPE膜，须符合《高密度聚乙烯土工膜》（CJ/T234-2006）要求，甲方随机取样送第三方有资质单位检测，检测合格后方可使用（检测费由甲方承担；若检测不合格，乙方无条件负责调换合格产品，并承担相关检测费）。根据飞灰吊装作业计划及作业进度进行铺膜、覆膜、焊膜，完成雨污分流，做好日覆膜台账、焊膜台账。</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⑥乙方需根据现场情况自行接电、安装相应照明设施，照射范围需覆盖所有吊装作业单元，确保夜间吊装安全。</w:t>
      </w:r>
    </w:p>
    <w:p>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第十九条：飞灰作业工艺流程：</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①经螯合固化后达标处理的飞灰由有资质的第三方运输单位运至填埋场，经入口处的地磅计量后再由场内道路进入飞灰库区吊装作业平台，车辆进入作业区的速度应控制在15km/h以下。在现场安全员的指挥下，吊车驾驶员操作吊车将飞灰吨袋吊装至目标位置，吊装完成后进行堆体整形、压实堆体消除吨袋之间空隙，减少堆体的不均匀沉降，可提升堆体稳定性增加填埋量，延长作业单元和整个填埋场的使用年限。</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②飞灰运输车辆进入填埋场后应立即进行检查和称重，记录重量及校验飞灰转运联单。飞灰（渣）运输车辆在离开填埋场前，在洗车平台处冲洗轮胎和底盘，必要时进行消毒处理。</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③每一单元的飞灰堆体高度达到相应规定时即进行完全覆膜、焊膜,将已焊接完成的HDPE膜压好，保证膜面稳定。堆体加高过程中需进行堆体整形确保吨袋之间无空隙，边坡坡度应按1:3进行放坡。</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④日覆盖与中间覆盖：每天吊装作业结束后，应对堆体表面进行日覆盖（日覆盖材料使用防雨布或0.5mmHDPE膜），确保非作业时间无裸露作业面，这就是日覆盖，次日揭开覆盖材料后继续吊装作业。中间覆盖是填埋场在完成一个区域填埋且较长时间段内不再填埋的情况下，为减少渗滤液的产生而采取的措施。日覆盖和中间覆盖可以最大限度的减少渗滤液产生量，降低扬尘，改善场区环境。中间覆盖材料采用厚度不小于1.0mmHDPE 膜，HDPE膜应符合《高密度聚乙烯土工膜》（CJ/T234-2006）要求，作业程序如下：</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（1）膜覆盖作业程序应符合下列规定：</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a进行膜覆盖时，膜的外缘应拉出，宜开挖矩形锚固沟进行锚固；沟深、沟宽、水平覆盖间距和覆土厚度可根据实际情况确定；</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b日覆盖时应从当日作业面最远处的堆体逐渐向卸料平台靠近，中间覆盖时宜采取先上坡后下坡顺序覆盖；</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c日覆盖时膜与膜搭接的宽度宜为0.20 m 左右，中间覆盖时为0.08～0.10 m 左右，盖膜方向应顺坡搭接；</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d填埋场边坡处的膜覆盖，应使膜与边坡接触并有0.5～1.0 m宽度的膜盖住边坡，并铺至其上的锚固沟；</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e中间覆盖时，膜搭接处宜采取临时焊接或用压膜物进行有效固定；</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f覆盖后的膜应平直整齐，膜上需压放有整齐稳固的压膜材料；压膜材料应在膜与膜的搭接处，摆放的直线间距1 m左右；当日作业气候遇风力比较大时，也可在膜面上放置压膜物，如废旧轮胎等；直线间距2～3 m 左右。</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（2）膜覆盖作业应符合下列规定：</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a裁膜场地应宽敞、平整，不允许有碎石、树枝等尖锐物；</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b覆盖前应先对飞灰堆体进行整平、压实，堆体坡度控制在不大于1:3；</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c覆盖结束后，人员不宜在膜上行走；</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d压膜材料应选择废旧轮胎、预制件等；膜覆盖作业及压膜作业应顺风操作；</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e破损的压膜材料应及时修复或更换并保持覆盖后的膜表面干净无杂物；</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f堆体平整时，可根据实际情况开挖排水沟或填筑分隔坝。</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（3）飞灰堆体整形作业程序应符合下列规定：</w:t>
      </w:r>
    </w:p>
    <w:p>
      <w:pPr>
        <w:widowControl/>
        <w:numPr>
          <w:ilvl w:val="255"/>
          <w:numId w:val="0"/>
        </w:num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a在新作业单元，人工裁、揭原覆盖土工膜（作业单元需提前向甲方上报）；</w:t>
      </w:r>
    </w:p>
    <w:p>
      <w:pPr>
        <w:widowControl/>
        <w:numPr>
          <w:ilvl w:val="255"/>
          <w:numId w:val="0"/>
        </w:num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b人工用袋装黄砂构筑临时拦水堤坝（环绕新作业面一周）；</w:t>
      </w:r>
    </w:p>
    <w:p>
      <w:pPr>
        <w:widowControl/>
        <w:numPr>
          <w:ilvl w:val="255"/>
          <w:numId w:val="0"/>
        </w:num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c在新作业单元填埋飞灰；</w:t>
      </w:r>
    </w:p>
    <w:p>
      <w:pPr>
        <w:widowControl/>
        <w:numPr>
          <w:ilvl w:val="255"/>
          <w:numId w:val="0"/>
        </w:num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d新作业单元填满后，使用挖掘机等机械辅助，对飞灰堆体进行整形，并形成坡度，便于雨水汇集；</w:t>
      </w:r>
    </w:p>
    <w:p>
      <w:pPr>
        <w:widowControl/>
        <w:numPr>
          <w:ilvl w:val="255"/>
          <w:numId w:val="0"/>
        </w:num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e铺设600g长丝土工布一层，用于防护防渗膜；</w:t>
      </w:r>
    </w:p>
    <w:p>
      <w:pPr>
        <w:widowControl/>
        <w:numPr>
          <w:ilvl w:val="255"/>
          <w:numId w:val="0"/>
        </w:num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f铺设1.0mmHDPE土工膜一层，用于表层覆盖；</w:t>
      </w:r>
    </w:p>
    <w:p>
      <w:pPr>
        <w:widowControl/>
        <w:numPr>
          <w:ilvl w:val="255"/>
          <w:numId w:val="0"/>
        </w:num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g对铺设1.0mmHDPE土工膜连接处用双缝焊机进行热熔焊接；</w:t>
      </w:r>
    </w:p>
    <w:p>
      <w:pPr>
        <w:widowControl/>
        <w:numPr>
          <w:ilvl w:val="255"/>
          <w:numId w:val="0"/>
        </w:num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h用旧轮胎（或用自制配重预制水泥块）在新铺设1.0mmHDPE土工膜表面进行配重、压实，边沿处（与水泥路面接触处）用镀锌压条膨胀螺丝进行紧固压实。</w:t>
      </w:r>
    </w:p>
    <w:p>
      <w:pPr>
        <w:spacing w:line="360" w:lineRule="auto"/>
        <w:ind w:firstLine="480" w:firstLineChars="200"/>
        <w:rPr>
          <w:rFonts w:ascii="宋体" w:hAnsi="宋体" w:cs="宋体"/>
          <w:sz w:val="24"/>
          <w:szCs w:val="24"/>
          <w:highlight w:val="none"/>
        </w:rPr>
      </w:pPr>
      <w:r>
        <w:rPr>
          <w:rFonts w:hint="eastAsia" w:ascii="宋体" w:hAnsi="宋体" w:cs="宋体"/>
          <w:color w:val="000000" w:themeColor="text1"/>
          <w:sz w:val="24"/>
          <w:szCs w:val="24"/>
          <w:highlight w:val="none"/>
          <w14:textFill>
            <w14:solidFill>
              <w14:schemeClr w14:val="tx1"/>
            </w14:solidFill>
          </w14:textFill>
        </w:rPr>
        <w:t>⑤</w:t>
      </w:r>
      <w:r>
        <w:rPr>
          <w:rFonts w:hint="eastAsia" w:ascii="宋体" w:hAnsi="宋体" w:cs="宋体"/>
          <w:sz w:val="24"/>
          <w:szCs w:val="24"/>
          <w:highlight w:val="none"/>
        </w:rPr>
        <w:t>飞灰堆体经压实、覆膜后在其表面利用路基钢板箱铺设宽度不低于6m库区进场道路，铺设钢路基箱提高堆体承载力。乙方约需提供钢板路基箱150块（具体数量以满足作业现场需求为准），规格为：600cm×150cm×20cm，面板厚度≥8mm，底板厚度≥6mm，路基箱承载50t以上。</w:t>
      </w:r>
    </w:p>
    <w:p>
      <w:pPr>
        <w:spacing w:line="360" w:lineRule="auto"/>
        <w:ind w:firstLine="480" w:firstLineChars="200"/>
        <w:rPr>
          <w:rFonts w:ascii="宋体" w:hAnsi="宋体" w:cs="宋体"/>
          <w:sz w:val="24"/>
          <w:szCs w:val="24"/>
          <w:highlight w:val="none"/>
        </w:rPr>
      </w:pPr>
      <w:r>
        <w:rPr>
          <w:rFonts w:hint="eastAsia" w:ascii="宋体" w:hAnsi="宋体" w:cs="宋体"/>
          <w:color w:val="000000" w:themeColor="text1"/>
          <w:sz w:val="24"/>
          <w:szCs w:val="24"/>
          <w:highlight w:val="none"/>
          <w14:textFill>
            <w14:solidFill>
              <w14:schemeClr w14:val="tx1"/>
            </w14:solidFill>
          </w14:textFill>
        </w:rPr>
        <w:t>⑥</w:t>
      </w:r>
      <w:r>
        <w:rPr>
          <w:rFonts w:hint="eastAsia" w:ascii="宋体" w:hAnsi="宋体" w:cs="宋体"/>
          <w:sz w:val="24"/>
          <w:szCs w:val="24"/>
          <w:highlight w:val="none"/>
        </w:rPr>
        <w:t>特殊季节、特殊环境的作业：特殊季节主要指夏季、雨雪季节等，夏季高温来临的时候，在填埋作业过程中要注意避暑降温；雨季要注意防汛，加强检查，提前做好防汛抗洪准备；遇到强降雪天气，要注意清扫进场道路，确保进场车辆安全。</w:t>
      </w:r>
    </w:p>
    <w:p>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第二十条：管理要求</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1、服务期间未经甲方同意，乙方不得将该服务项目转包及分包。</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2、须积极配合甲方，进场完成运营的交接工作，所需所有费用由乙方负责。</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3、在运营期间，乙方及现场工作人员应该严格按照《稳定化飞灰填埋场运行维护技术规程》（CJJ 93）、《稳定化飞灰填埋处理技术规范》（GB 50869）、建设部令第 157 号《城市生活垃圾垃圾管理办法》、J150-2010《生活垃圾渗沥液处理技术规范》、CJJ93-2011《稳定化飞灰填埋场运行维护技术规程》、省住建厅苏建城【2013】139 号《江苏省稳定化飞灰填埋场运行管理考核评价标准》、环境保护部质检总局GB16889-2008《生活垃圾填埋场污染控制标准》、中华人民共和国国家环境保护标准 HJ 1134—2020 《生活垃圾焚烧飞灰污染控制技术规范》（试行）江苏省地方标准 DB32/T 4076-2021 《生活垃圾焚烧稳定化飞灰填埋处置技术标准》中的要求进行管理和运营。</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在运营期间，乙方必须根据项目规模安排满足填埋场运营的工作人员，并建立相应的排班制度，保持通讯渠道畅通，设立专门应急队伍，负责运营期间突发事件的处理，确保及时到位，并将事故现场拍照后汇报甲方。</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5、在运营期间，乙方应自行承担费用和风险，负责本项目的管理、运营、维护和修理，使本项目处于良好的运营状态并能够安全、稳定地处理、处置使之达到相关要求。</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确保场区保持在良好、干净、整齐及清洁的状况，包括实施必须的修理、购买及保存本项目必需的替换设备或零件，并保存适当库存量的零件与设备，清除和处理维修所产生的废料，期间所有费用由乙方负责。</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7、上岗操作人员必须能掌握设备使用性能及正确的操作方法，乙方应对运行人员的管理，技术进行培训。培训内容包括：飞灰填埋处置技术、工艺流程、机械操作、吊装作业规程及污染防治措施。</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8、项目工作人员必须挂牌上岗，统一穿着工作服，工作鞋，不能穿拖鞋上岗操作，机械设备的操作者，必须持有专门的上岗证书，不得擅自违章操作。</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9、乙方应向甲方提供《填埋场运营操作规程》，相关的部门制度应上墙，做好安全运营，并做好库区、办公区与生活区的卫生。</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10、乙方必须建立并保存完整的现场设备运行数据资料建档。总结运行经验，指导运营工作。运营现场的材料堆放整齐有序，结束后做到工完场地清。</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乙方如实填写运营台账，包含飞灰处理量统计（日报表、月报表、飞灰转运五联单等定期报送至甲方处）、设备维修保养定期记录表、道路及绿化设施维护记录、培训资料、安全台账等。同时乙方应接受甲方及相关职能部门监督检查， 对提出的问题，乙方如实讲解和回答，不得虚报实情。</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12、运营所需的柴汽油、易耗用品更换所需费用由乙方自行承担；运营过程中使用的主要消耗件、消耗品必须及时更换，更换产生的费用由乙方自行承担。不可为降低运营成本而延迟或拒绝更换主要消耗件、易耗品与配件，如因以上原因影响了处理量、处置效果，甲方在责成乙方更换有关配件后 10天内未完成的，则甲方可委托第三方实施更换，费用由乙方承担。</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13、在运营期间，乙方应合理安排检修、维护，保证填埋场正常运行，设备大修须停止运行的情况，乙方须提前一周时间书面通知甲方，乙方应立即另安排吊装机械进场开展吊装业务。如遇突发性事故而必须停止运行大修的，乙方须立即通知甲方，经甲方批准后全力展开维护、维修工作。</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14、因乙方违反操作规程或其他人为原因造成生产事故，导致生产设备损坏及影响填埋场正常运营而导致经济损失或安全事故的，将追究相关责任单位与责任人的相关法律、经济责任。</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15、乙方需建立针对本项目的应急预案，包括出现系统故障、极端天气（如台风、塌方）、水浸、临时停水停电、安全生产事故、监测指标不达标等情况。如导致填埋场不能正常运营，需及时申报甲方。</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16、乙方应依据制定的各项应急预案，制定灰渣场年度安全、消防等培训和演练计划，并按计划组织工作人员参加，做好培训和演练台账，以备甲方和相关职能部门审查。</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17、乙方应保障灰渣场生产运营的稳定和安全，防止事故发生，如出现重大意外事故，乙方应及时通知甲方，并尽最大人力、物力进行抢救，尽快恢复正常生产秩序，在事故影响期间，乙方应采取各种应急措施进行抢救，减少事故对公众、环境的影响，并承担由此造成的全部责任。</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18、服务期满，乙方未能获取下一阶段运营资格时，要积极配合与下一运营单位交接。不得以任何方式阻碍交接，影响甲方正常工作。</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19、在运营服务期间造成人员伤亡和财产损失的，由乙方负责赔偿。</w:t>
      </w:r>
    </w:p>
    <w:p>
      <w:pPr>
        <w:pStyle w:val="4"/>
        <w:spacing w:line="360" w:lineRule="auto"/>
        <w:rPr>
          <w:rFonts w:ascii="宋体" w:hAnsi="宋体" w:eastAsia="宋体" w:cs="宋体"/>
          <w:b/>
          <w:bCs/>
          <w:sz w:val="24"/>
          <w:szCs w:val="24"/>
          <w:highlight w:val="none"/>
        </w:rPr>
      </w:pPr>
      <w:bookmarkStart w:id="117" w:name="_Toc152531533"/>
      <w:r>
        <w:rPr>
          <w:rFonts w:hint="eastAsia" w:ascii="宋体" w:hAnsi="宋体" w:eastAsia="宋体" w:cs="宋体"/>
          <w:b/>
          <w:bCs/>
          <w:sz w:val="24"/>
          <w:szCs w:val="24"/>
          <w:highlight w:val="none"/>
        </w:rPr>
        <w:t>六、入场飞灰计量</w:t>
      </w:r>
      <w:bookmarkEnd w:id="117"/>
    </w:p>
    <w:p>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第二十一条：入场飞灰计量模式</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入场飞灰计量采用如下原则：</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自动称量为主、人工复核确认：甲方应确保飞灰计量系统具备自动衡量功能，入场飞灰量以自动称量数据为基础，对于个别异常情况，甲乙双方可以在自动计量数据的基础上注明实际情况并说明原因，每日由甲乙双方根据实际情况复核并于第二天签名确认，签名确认后原则上不得修改。</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实行联单制度、每日确认上报：计量数据实行联单制度，每进一车飞灰出具一份联单，联单分别由甲方、乙方各执一份；每日由甲乙双方对比联单的数据与自动称量汇总表的数据差异，如两者数据相同，则作为当天的入场飞灰量，如有不同，则根据实际情况并结合视频监管情况作出说明。</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3、异议申诉，受益方举证：对于有异议的部分，双方均应在第二天提出，并在提出当天处理完毕，相关的举证责任由受益方负责。</w:t>
      </w:r>
    </w:p>
    <w:p>
      <w:pPr>
        <w:pStyle w:val="4"/>
        <w:spacing w:line="360" w:lineRule="auto"/>
        <w:rPr>
          <w:rFonts w:ascii="宋体" w:hAnsi="宋体" w:eastAsia="宋体" w:cs="宋体"/>
          <w:b/>
          <w:bCs/>
          <w:sz w:val="24"/>
          <w:szCs w:val="24"/>
          <w:highlight w:val="none"/>
        </w:rPr>
      </w:pPr>
      <w:bookmarkStart w:id="118" w:name="_Toc152531534"/>
      <w:r>
        <w:rPr>
          <w:rFonts w:hint="eastAsia" w:ascii="宋体" w:hAnsi="宋体" w:eastAsia="宋体" w:cs="宋体"/>
          <w:b/>
          <w:bCs/>
          <w:sz w:val="24"/>
          <w:szCs w:val="24"/>
          <w:highlight w:val="none"/>
        </w:rPr>
        <w:t>七、运营监督管理</w:t>
      </w:r>
      <w:bookmarkEnd w:id="118"/>
    </w:p>
    <w:p>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第二十二条：运营监管机制</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根据市场化运营、规范化管理的原则，甲方与运营单位签订飞灰吊装运营合同，明确双方的责任、权利与义务，并通过对填埋场运营的日常监管理和考评，形成有效的监督管理考评机制。</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由甲方对填埋场的日常运行管理监管，以定期抽查或驻场的形式开展对运行单位的监管，并定期对填埋场的运行情况进行量化考核，考核结果作为运营服务费的支付依据。</w:t>
      </w:r>
    </w:p>
    <w:p>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第二十三条：运营质量考评办法</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1、甲方每3个月为一个考核期，根据《焚烧灰渣处置场运营考核标准》，进行运营质量考评、检查，不固定考评时间和次数。</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考评执行实查实扣分制度；若因人力不可抗拒因素(如地震、台风、水灾等)引起的运营质量问题，则不作为检查验评的依据，但不可抗力造成的人员伤亡和设备损坏，依据不可抗力相关法律和要求承担各自风险。</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3、每次考评后，甲方将以书面形式把当次考评结果送达乙方 。</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4、每季度3日前(遇节假日顺延或提前)，甲方对乙方上季度各次考评扣分数进行累计，再以考评分底分100分减去扣分的累计数，即为乙方上季度的季度考评分；</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5、每季度5日前(遇节假日顺延或提前) ，甲方以书面形式将乙方上季度月的考评分送达乙方。</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6、根据季度考评分扣减当月运营费用的方法：</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（1）季度考评分在 90分以上(含90分)，不扣减当季度运营费用；</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（2）季度考评分在 80 分以上(含 80 分) 、90分以下，扣减当季度运营费用的5%；</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（3）季度考评分在 70分以上(含70 分)、80分以下，扣减当季度运营费用的10%；</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（4）季度考评分在 70分（不含70</w:t>
      </w:r>
      <w:r>
        <w:rPr>
          <w:rFonts w:hint="eastAsia" w:ascii="宋体" w:hAnsi="宋体" w:cs="宋体"/>
          <w:sz w:val="24"/>
          <w:szCs w:val="24"/>
          <w:highlight w:val="none"/>
          <w:lang w:val="en-US" w:eastAsia="zh-CN"/>
        </w:rPr>
        <w:t>分</w:t>
      </w:r>
      <w:r>
        <w:rPr>
          <w:rFonts w:hint="eastAsia" w:ascii="宋体" w:hAnsi="宋体" w:cs="宋体"/>
          <w:sz w:val="24"/>
          <w:szCs w:val="24"/>
          <w:highlight w:val="none"/>
        </w:rPr>
        <w:t>）以下，扣减当季度运营费用的15%；</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（5）连续3次考核得分70分（不含70分）以下，甲方有权终止合同，由乙方承担甲方的损失。</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7、甲方可根据工作实际，不断完善本合同的运营工作要求和考评标准。对于一些新出现的作业要求和标准，甲方可以向乙方发出书面通知，乙方应参照上述运营工作要求和考评标准进行作业。</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8、考核标准</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填埋场的运营过程及质量应达到《稳定化飞灰填埋场运行维护技术规程》（CJJ 93）、《稳定化飞灰填埋处理技术规范》（GB 50869）和《生活垃圾填埋场污染控制标准》（ GB16889-2008）、《生活垃圾焚烧稳定化飞灰填埋处置技术标准》（DB32/T 4076-2021）的要求。</w:t>
      </w:r>
    </w:p>
    <w:p>
      <w:pPr>
        <w:pStyle w:val="4"/>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八、运营费用及支付方式</w:t>
      </w:r>
    </w:p>
    <w:p>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第二十四条：运营费用</w:t>
      </w:r>
    </w:p>
    <w:p>
      <w:pPr>
        <w:numPr>
          <w:ilvl w:val="0"/>
          <w:numId w:val="6"/>
        </w:num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每季度应付运营费用金额按中标单价×实际处理吨位数付款，同时根据当季度考核评分结果扣除当季度扣费额（若有）；当季度扣费额根据当季度考评结果计算确定。</w:t>
      </w:r>
    </w:p>
    <w:p>
      <w:pPr>
        <w:numPr>
          <w:ilvl w:val="0"/>
          <w:numId w:val="6"/>
        </w:num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运营服务费用包括不限于人员工资、福利、工伤待遇、劳保用品、险金（其中人身意外保险保额不低于100万元）、运营涉及的材料费、车辆维修费、配套机械设备购置及政策性文件规定的各项应有费用并承担一切风险责任，总之包括完成本项目的全部工作内容所发生的一切费用。甲方不再增添任何费用支出。</w:t>
      </w:r>
    </w:p>
    <w:p>
      <w:pPr>
        <w:spacing w:line="360" w:lineRule="auto"/>
        <w:ind w:left="420" w:leftChars="200"/>
        <w:rPr>
          <w:rFonts w:ascii="宋体" w:hAnsi="宋体" w:cs="宋体"/>
          <w:b/>
          <w:bCs/>
          <w:sz w:val="24"/>
          <w:szCs w:val="24"/>
          <w:highlight w:val="none"/>
        </w:rPr>
      </w:pPr>
      <w:r>
        <w:rPr>
          <w:rFonts w:hint="eastAsia" w:ascii="宋体" w:hAnsi="宋体" w:cs="宋体"/>
          <w:b/>
          <w:bCs/>
          <w:sz w:val="24"/>
          <w:szCs w:val="24"/>
          <w:highlight w:val="none"/>
        </w:rPr>
        <w:t>第二十五条：支付方式</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乙方</w:t>
      </w:r>
      <w:r>
        <w:rPr>
          <w:rFonts w:ascii="宋体" w:hAnsi="宋体" w:cs="宋体"/>
          <w:sz w:val="24"/>
          <w:szCs w:val="24"/>
          <w:highlight w:val="none"/>
        </w:rPr>
        <w:t>在每个季度结束后5个工作日内提交结算清单给</w:t>
      </w:r>
      <w:r>
        <w:rPr>
          <w:rFonts w:hint="eastAsia" w:ascii="宋体" w:hAnsi="宋体" w:cs="宋体"/>
          <w:sz w:val="24"/>
          <w:szCs w:val="24"/>
          <w:highlight w:val="none"/>
        </w:rPr>
        <w:t>甲方</w:t>
      </w:r>
      <w:r>
        <w:rPr>
          <w:rFonts w:ascii="宋体" w:hAnsi="宋体" w:cs="宋体"/>
          <w:sz w:val="24"/>
          <w:szCs w:val="24"/>
          <w:highlight w:val="none"/>
        </w:rPr>
        <w:t>，</w:t>
      </w:r>
      <w:r>
        <w:rPr>
          <w:rFonts w:hint="eastAsia" w:ascii="宋体" w:hAnsi="宋体" w:cs="宋体"/>
          <w:sz w:val="24"/>
          <w:szCs w:val="24"/>
          <w:highlight w:val="none"/>
        </w:rPr>
        <w:t>甲方</w:t>
      </w:r>
      <w:r>
        <w:rPr>
          <w:rFonts w:ascii="宋体" w:hAnsi="宋体" w:cs="宋体"/>
          <w:sz w:val="24"/>
          <w:szCs w:val="24"/>
          <w:highlight w:val="none"/>
        </w:rPr>
        <w:t>在当季度</w:t>
      </w:r>
      <w:r>
        <w:rPr>
          <w:rFonts w:hint="eastAsia" w:ascii="宋体" w:hAnsi="宋体" w:cs="宋体"/>
          <w:sz w:val="24"/>
          <w:szCs w:val="24"/>
          <w:highlight w:val="none"/>
        </w:rPr>
        <w:t>收到发票的15日内</w:t>
      </w:r>
      <w:r>
        <w:rPr>
          <w:rFonts w:ascii="宋体" w:hAnsi="宋体" w:cs="宋体"/>
          <w:sz w:val="24"/>
          <w:szCs w:val="24"/>
          <w:highlight w:val="none"/>
        </w:rPr>
        <w:t>结算</w:t>
      </w:r>
      <w:r>
        <w:rPr>
          <w:rFonts w:hint="eastAsia" w:ascii="宋体" w:hAnsi="宋体" w:cs="宋体"/>
          <w:sz w:val="24"/>
          <w:szCs w:val="24"/>
          <w:highlight w:val="none"/>
        </w:rPr>
        <w:t>乙方</w:t>
      </w:r>
      <w:r>
        <w:rPr>
          <w:rFonts w:ascii="宋体" w:hAnsi="宋体" w:cs="宋体"/>
          <w:sz w:val="24"/>
          <w:szCs w:val="24"/>
          <w:highlight w:val="none"/>
        </w:rPr>
        <w:t>上季度运营服务费【同时根据季度考核评分结果扣除该季度扣费额（若有）】。最后一个季度的运营费用在运营期满无任何安全事故发生，填埋场内业档案资料及外业均验收合格，</w:t>
      </w:r>
      <w:r>
        <w:rPr>
          <w:rFonts w:hint="eastAsia" w:ascii="宋体" w:hAnsi="宋体" w:cs="宋体"/>
          <w:sz w:val="24"/>
          <w:szCs w:val="24"/>
          <w:highlight w:val="none"/>
        </w:rPr>
        <w:t>甲方</w:t>
      </w:r>
      <w:r>
        <w:rPr>
          <w:rFonts w:ascii="宋体" w:hAnsi="宋体" w:cs="宋体"/>
          <w:sz w:val="24"/>
          <w:szCs w:val="24"/>
          <w:highlight w:val="none"/>
        </w:rPr>
        <w:t>则结清余款；若发生安全生产事故则扣除相应的安全事故处理费用后</w:t>
      </w:r>
      <w:r>
        <w:rPr>
          <w:rFonts w:hint="eastAsia" w:ascii="宋体" w:hAnsi="宋体" w:cs="宋体"/>
          <w:sz w:val="24"/>
          <w:szCs w:val="24"/>
          <w:highlight w:val="none"/>
        </w:rPr>
        <w:t>支付</w:t>
      </w:r>
      <w:r>
        <w:rPr>
          <w:rFonts w:ascii="宋体" w:hAnsi="宋体" w:cs="宋体"/>
          <w:sz w:val="24"/>
          <w:szCs w:val="24"/>
          <w:highlight w:val="none"/>
        </w:rPr>
        <w:t>。</w:t>
      </w:r>
    </w:p>
    <w:p>
      <w:pPr>
        <w:pStyle w:val="4"/>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九、污染物排放</w:t>
      </w:r>
    </w:p>
    <w:p>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第二十六条：填埋场运营过程应满足以下污染物排放标准：</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全场实行雨污分流，形成两个独立的收集、排放系统。噪声排放执行《工业企业厂界环境噪声排放标准》(GB12348-2008)中的表1-3类标准。填埋过程中扬尘等颗粒物执行《大气污染物综合排放标准》(GB16297-1996)中无组织排放监控浓度值，特征因子 H</w:t>
      </w:r>
      <w:r>
        <w:rPr>
          <w:rFonts w:hint="eastAsia" w:ascii="宋体" w:hAnsi="宋体" w:cs="宋体"/>
          <w:sz w:val="24"/>
          <w:szCs w:val="24"/>
          <w:highlight w:val="none"/>
          <w:vertAlign w:val="subscript"/>
        </w:rPr>
        <w:t>2</w:t>
      </w:r>
      <w:r>
        <w:rPr>
          <w:rFonts w:hint="eastAsia" w:ascii="宋体" w:hAnsi="宋体" w:cs="宋体"/>
          <w:sz w:val="24"/>
          <w:szCs w:val="24"/>
          <w:highlight w:val="none"/>
        </w:rPr>
        <w:t>S、NH</w:t>
      </w:r>
      <w:r>
        <w:rPr>
          <w:rFonts w:hint="eastAsia" w:ascii="宋体" w:hAnsi="宋体" w:cs="宋体"/>
          <w:sz w:val="24"/>
          <w:szCs w:val="24"/>
          <w:highlight w:val="none"/>
          <w:vertAlign w:val="subscript"/>
        </w:rPr>
        <w:t>3</w:t>
      </w:r>
      <w:r>
        <w:rPr>
          <w:rFonts w:hint="eastAsia" w:ascii="宋体" w:hAnsi="宋体" w:cs="宋体"/>
          <w:sz w:val="24"/>
          <w:szCs w:val="24"/>
          <w:highlight w:val="none"/>
        </w:rPr>
        <w:t>、臭气浓度执行《恶臭污染物排放标准》 (GB14554-93)中二级新改扩建恶臭污染物厂界标准值。场区内其他管理要求需满足本方案及《生活垃圾填埋场污染控制标准》（GB 16889）、《稳定化飞灰填埋场运行维护技术规程》（CJJ 93）、《生活垃圾填埋场填埋气体收集处理及利用工程技术规范》（CJJ133）、《稳定化飞灰填埋气体收集处理及利用工程运行维护技术规程》（CJJ 175）等相关标准（规程）的要求。</w:t>
      </w:r>
    </w:p>
    <w:p>
      <w:pPr>
        <w:pStyle w:val="4"/>
        <w:spacing w:line="360" w:lineRule="auto"/>
        <w:rPr>
          <w:rFonts w:ascii="宋体" w:hAnsi="宋体" w:eastAsia="宋体" w:cs="宋体"/>
          <w:b/>
          <w:bCs/>
          <w:sz w:val="24"/>
          <w:szCs w:val="24"/>
          <w:highlight w:val="none"/>
        </w:rPr>
      </w:pPr>
      <w:bookmarkStart w:id="119" w:name="_Toc152531535"/>
      <w:r>
        <w:rPr>
          <w:rFonts w:hint="eastAsia" w:ascii="宋体" w:hAnsi="宋体" w:eastAsia="宋体" w:cs="宋体"/>
          <w:b/>
          <w:bCs/>
          <w:sz w:val="24"/>
          <w:szCs w:val="24"/>
          <w:highlight w:val="none"/>
        </w:rPr>
        <w:t>十、调价机制</w:t>
      </w:r>
      <w:bookmarkEnd w:id="119"/>
    </w:p>
    <w:p>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第二十七条：调价机制</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市场风险和管理风险导致的价格变动均不进行调价。</w:t>
      </w:r>
    </w:p>
    <w:p>
      <w:pPr>
        <w:pStyle w:val="4"/>
        <w:spacing w:line="360" w:lineRule="auto"/>
        <w:rPr>
          <w:rFonts w:ascii="宋体" w:hAnsi="宋体" w:eastAsia="宋体" w:cs="宋体"/>
          <w:b/>
          <w:bCs/>
          <w:sz w:val="24"/>
          <w:szCs w:val="24"/>
          <w:highlight w:val="none"/>
        </w:rPr>
      </w:pPr>
      <w:bookmarkStart w:id="120" w:name="_Toc152531536"/>
      <w:r>
        <w:rPr>
          <w:rFonts w:hint="eastAsia" w:ascii="宋体" w:hAnsi="宋体" w:eastAsia="宋体" w:cs="宋体"/>
          <w:b/>
          <w:bCs/>
          <w:sz w:val="24"/>
          <w:szCs w:val="24"/>
          <w:highlight w:val="none"/>
        </w:rPr>
        <w:t>十一、违约责任</w:t>
      </w:r>
      <w:bookmarkEnd w:id="120"/>
    </w:p>
    <w:p>
      <w:pPr>
        <w:spacing w:line="360" w:lineRule="auto"/>
        <w:ind w:firstLine="482" w:firstLineChars="200"/>
        <w:rPr>
          <w:rFonts w:ascii="宋体" w:hAnsi="宋体" w:cs="宋体"/>
          <w:sz w:val="24"/>
          <w:szCs w:val="24"/>
          <w:highlight w:val="none"/>
        </w:rPr>
      </w:pPr>
      <w:r>
        <w:rPr>
          <w:rFonts w:hint="eastAsia" w:ascii="宋体" w:hAnsi="宋体" w:cs="宋体"/>
          <w:b/>
          <w:bCs/>
          <w:sz w:val="24"/>
          <w:szCs w:val="24"/>
          <w:highlight w:val="none"/>
        </w:rPr>
        <w:t>第二十八条：</w:t>
      </w:r>
      <w:r>
        <w:rPr>
          <w:rFonts w:hint="eastAsia" w:ascii="宋体" w:hAnsi="宋体" w:cs="宋体"/>
          <w:sz w:val="24"/>
          <w:szCs w:val="24"/>
          <w:highlight w:val="none"/>
        </w:rPr>
        <w:t>在本合同有效期内如乙方违约，甲方有权在支付运营费中扣除。在本合同有效期内，在乙方出现违约情形时，甲方有权依照本合同有关条款的约定一次性没收应支付运营费，或者采取其他包括追究乙方赔偿损失的途径。</w:t>
      </w:r>
    </w:p>
    <w:p>
      <w:pPr>
        <w:spacing w:line="360" w:lineRule="auto"/>
        <w:ind w:firstLine="482" w:firstLineChars="200"/>
        <w:rPr>
          <w:rFonts w:ascii="宋体" w:hAnsi="宋体" w:cs="宋体"/>
          <w:sz w:val="24"/>
          <w:szCs w:val="24"/>
          <w:highlight w:val="none"/>
        </w:rPr>
      </w:pPr>
      <w:r>
        <w:rPr>
          <w:rFonts w:hint="eastAsia" w:ascii="宋体" w:hAnsi="宋体" w:cs="宋体"/>
          <w:b/>
          <w:bCs/>
          <w:sz w:val="24"/>
          <w:szCs w:val="24"/>
          <w:highlight w:val="none"/>
        </w:rPr>
        <w:t>第二十九条：</w:t>
      </w:r>
      <w:r>
        <w:rPr>
          <w:rFonts w:hint="eastAsia" w:ascii="宋体" w:hAnsi="宋体" w:cs="宋体"/>
          <w:sz w:val="24"/>
          <w:szCs w:val="24"/>
          <w:highlight w:val="none"/>
        </w:rPr>
        <w:t>甲方违反合同的约定，使乙方未能完成规定的管理目标，乙方有权要求甲方在一定期限解决，逾期未解决的，乙方有权终止合同；造成乙方经济损失的，甲方应给与乙方经济赔偿。</w:t>
      </w:r>
    </w:p>
    <w:p>
      <w:pPr>
        <w:spacing w:line="360" w:lineRule="auto"/>
        <w:ind w:firstLine="482" w:firstLineChars="200"/>
        <w:rPr>
          <w:rFonts w:ascii="宋体" w:hAnsi="宋体" w:cs="宋体"/>
          <w:sz w:val="24"/>
          <w:szCs w:val="24"/>
          <w:highlight w:val="none"/>
        </w:rPr>
      </w:pPr>
      <w:r>
        <w:rPr>
          <w:rFonts w:hint="eastAsia" w:ascii="宋体" w:hAnsi="宋体" w:cs="宋体"/>
          <w:b/>
          <w:bCs/>
          <w:sz w:val="24"/>
          <w:szCs w:val="24"/>
          <w:highlight w:val="none"/>
        </w:rPr>
        <w:t>第三十条：</w:t>
      </w:r>
      <w:r>
        <w:rPr>
          <w:rFonts w:hint="eastAsia" w:ascii="宋体" w:hAnsi="宋体" w:cs="宋体"/>
          <w:sz w:val="24"/>
          <w:szCs w:val="24"/>
          <w:highlight w:val="none"/>
        </w:rPr>
        <w:t>乙方违反合同预定，未能达到约定的管理目标，甲方有权要求乙方限期整改，逾期未解决的，而未有正当理由的，甲方有权扣罚当月支给乙方的运营费用，如情节严重甲方有权终止合同。</w:t>
      </w:r>
    </w:p>
    <w:p>
      <w:pPr>
        <w:spacing w:line="360" w:lineRule="auto"/>
        <w:ind w:firstLine="482" w:firstLineChars="200"/>
        <w:rPr>
          <w:rFonts w:ascii="宋体" w:hAnsi="宋体" w:cs="宋体"/>
          <w:sz w:val="24"/>
          <w:szCs w:val="24"/>
          <w:highlight w:val="none"/>
        </w:rPr>
      </w:pPr>
      <w:r>
        <w:rPr>
          <w:rFonts w:hint="eastAsia" w:ascii="宋体" w:hAnsi="宋体" w:cs="宋体"/>
          <w:b/>
          <w:bCs/>
          <w:sz w:val="24"/>
          <w:szCs w:val="24"/>
          <w:highlight w:val="none"/>
        </w:rPr>
        <w:t>第三十一条：</w:t>
      </w:r>
      <w:r>
        <w:rPr>
          <w:rFonts w:hint="eastAsia" w:ascii="宋体" w:hAnsi="宋体" w:cs="宋体"/>
          <w:sz w:val="24"/>
          <w:szCs w:val="24"/>
          <w:highlight w:val="none"/>
        </w:rPr>
        <w:t>乙方违反合同的有关义务，对甲方造成经济损失的。应给予甲方经济赔偿；如造成重大损失的，甲方有权终止合同。</w:t>
      </w:r>
    </w:p>
    <w:p>
      <w:pPr>
        <w:spacing w:line="360" w:lineRule="auto"/>
        <w:ind w:firstLine="482" w:firstLineChars="200"/>
        <w:rPr>
          <w:rFonts w:ascii="宋体" w:hAnsi="宋体" w:cs="宋体"/>
          <w:sz w:val="24"/>
          <w:szCs w:val="24"/>
          <w:highlight w:val="none"/>
        </w:rPr>
      </w:pPr>
      <w:r>
        <w:rPr>
          <w:rFonts w:hint="eastAsia" w:ascii="宋体" w:hAnsi="宋体" w:cs="宋体"/>
          <w:b/>
          <w:bCs/>
          <w:sz w:val="24"/>
          <w:szCs w:val="24"/>
          <w:highlight w:val="none"/>
        </w:rPr>
        <w:t>第三十二条：</w:t>
      </w:r>
      <w:r>
        <w:rPr>
          <w:rFonts w:hint="eastAsia" w:ascii="宋体" w:hAnsi="宋体" w:cs="宋体"/>
          <w:sz w:val="24"/>
          <w:szCs w:val="24"/>
          <w:highlight w:val="none"/>
        </w:rPr>
        <w:t>因乙方原因造成甲方交付管理的财产、设施等损失，或者造成泄密、管理制度外流，或者影响甲方正常工作等，乙方应承担违约责任并赔偿损失。</w:t>
      </w:r>
      <w:r>
        <w:rPr>
          <w:rFonts w:ascii="宋体" w:hAnsi="宋体" w:cs="宋体"/>
          <w:sz w:val="24"/>
          <w:szCs w:val="24"/>
          <w:highlight w:val="none"/>
        </w:rPr>
        <w:t>未经审批的飞灰进入填埋场的</w:t>
      </w:r>
      <w:r>
        <w:rPr>
          <w:rFonts w:hint="eastAsia" w:ascii="宋体" w:hAnsi="宋体" w:cs="宋体"/>
          <w:sz w:val="24"/>
          <w:szCs w:val="24"/>
          <w:highlight w:val="none"/>
        </w:rPr>
        <w:t>，甲方有权终止合同。</w:t>
      </w:r>
    </w:p>
    <w:p>
      <w:pPr>
        <w:spacing w:line="360" w:lineRule="auto"/>
        <w:ind w:firstLine="482" w:firstLineChars="200"/>
        <w:rPr>
          <w:rFonts w:ascii="宋体" w:hAnsi="宋体" w:cs="宋体"/>
          <w:sz w:val="24"/>
          <w:szCs w:val="24"/>
          <w:highlight w:val="none"/>
        </w:rPr>
      </w:pPr>
      <w:r>
        <w:rPr>
          <w:rFonts w:hint="eastAsia" w:ascii="宋体" w:hAnsi="宋体" w:cs="宋体"/>
          <w:b/>
          <w:bCs/>
          <w:sz w:val="24"/>
          <w:szCs w:val="24"/>
          <w:highlight w:val="none"/>
        </w:rPr>
        <w:t>第三十三条：</w:t>
      </w:r>
      <w:r>
        <w:rPr>
          <w:rFonts w:hint="eastAsia" w:ascii="宋体" w:hAnsi="宋体" w:cs="宋体"/>
          <w:sz w:val="24"/>
          <w:szCs w:val="24"/>
          <w:highlight w:val="none"/>
        </w:rPr>
        <w:t>甲乙任何一方无正当理由提前终止合同的，应向对方支付合同总额×5%的违约金。</w:t>
      </w:r>
    </w:p>
    <w:p>
      <w:pPr>
        <w:spacing w:line="360" w:lineRule="auto"/>
        <w:ind w:firstLine="482" w:firstLineChars="200"/>
        <w:rPr>
          <w:rFonts w:ascii="宋体" w:hAnsi="宋体" w:cs="宋体"/>
          <w:sz w:val="24"/>
          <w:szCs w:val="24"/>
          <w:highlight w:val="none"/>
        </w:rPr>
      </w:pPr>
      <w:r>
        <w:rPr>
          <w:rFonts w:hint="eastAsia" w:ascii="宋体" w:hAnsi="宋体" w:cs="宋体"/>
          <w:b/>
          <w:bCs/>
          <w:sz w:val="24"/>
          <w:szCs w:val="24"/>
          <w:highlight w:val="none"/>
        </w:rPr>
        <w:t>第三十四条：</w:t>
      </w:r>
      <w:r>
        <w:rPr>
          <w:rFonts w:hint="eastAsia" w:ascii="宋体" w:hAnsi="宋体" w:cs="宋体"/>
          <w:sz w:val="24"/>
          <w:szCs w:val="24"/>
          <w:highlight w:val="none"/>
        </w:rPr>
        <w:t>乙方在接管10 天内不能正常运作，属于乙方责任的，应由乙方负责，甲方有权解除合同。</w:t>
      </w:r>
    </w:p>
    <w:p>
      <w:pPr>
        <w:pStyle w:val="4"/>
        <w:spacing w:line="360" w:lineRule="auto"/>
        <w:rPr>
          <w:rFonts w:ascii="宋体" w:hAnsi="宋体" w:eastAsia="宋体" w:cs="宋体"/>
          <w:b/>
          <w:bCs/>
          <w:sz w:val="24"/>
          <w:szCs w:val="24"/>
          <w:highlight w:val="none"/>
        </w:rPr>
      </w:pPr>
      <w:bookmarkStart w:id="121" w:name="_Toc152531537"/>
      <w:r>
        <w:rPr>
          <w:rFonts w:hint="eastAsia" w:ascii="宋体" w:hAnsi="宋体" w:eastAsia="宋体" w:cs="宋体"/>
          <w:b/>
          <w:bCs/>
          <w:sz w:val="24"/>
          <w:szCs w:val="24"/>
          <w:highlight w:val="none"/>
        </w:rPr>
        <w:t>十二、项目移交</w:t>
      </w:r>
      <w:bookmarkEnd w:id="121"/>
    </w:p>
    <w:p>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第三十五条：入场移交</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1、乙方入场前，需按照合同约定的内容办理移交手续，发现不满足项目建设标准或合同约定的，应由甲方协助提供或解决。</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2、乙方入场后对相应排水设施进行检查，并办理移交手续，避免设计或施工质量缺陷导致运营过程的环境污染或成本增加,发现不满足工程建设标准或合同约定的，应由甲方协助提供或解决。</w:t>
      </w:r>
    </w:p>
    <w:p>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第三十六条：服务期满移交</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在本项目运营期结束前1个月，乙方须开始对相关设施进行一次保养、维护，确保雨污分流系统、渗滤液及膜上雨水导排系统在项目移交时能正常使用和处于正常运营状态，且相关的运营资料经甲方验收合格后需完全移交给甲方。</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2、在本项目运营期结束前1个月，乙方须提供库区防渗系统的完备性、渗滤液抽排系统的性能测试，甲方根据所提交的测试数据或报告提出整改意见，乙方应如实完成整改后报甲方验收。</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在本项目的移交日或之前，乙方必须妥善处理与本项目有关的任何种类或性质的债务、留置权或者其他担保物权，以及相关债权，以保证将本项目的设施、器材、配件以及所有对场地的使用权无偿的毫无妨碍的移交给甲方。移交后的本项目应是得到良好维护和处于良好运行状态的。乙方还应将本项目所有的运营手册、运营记录、移交记录和甲方合理要求的其他资料提交给甲方，以使其能够直接或通过其指定的执行机构继续本项目的运营。</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4、在本项目的移交日或之前，乙方应付清本项目相关的人员工资、福利、工伤待遇、险金（其中人身意外险保额不低于100万元）、材料费、车辆维修等费用及其他相关的一切费用。</w:t>
      </w:r>
    </w:p>
    <w:p>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第三十七条：移交后的有关事项</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在本项目的移交日之后15天之内，乙方应自行从本项目场地移走其全部的所属物品。移走的物品仅限于乙方雇员的个人用品以及设备，不包括本项目的设计图纸和技术资料或者其他本项目营运和维护的必需物品。乙方如果在上述时间内没有移走这些物品，甲方在通知乙方之后，可以移走或将物品转运至适当的地点以便安全保管。乙方应承担该搬移、运输和保管的合理费用和风险。</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2、在本项目的移交过程中和移交之后，甲方无须向乙方支付任何补偿或移交费用。双方应负责各自的成本和费用，包括将本项目移交给甲方的法律费用和支出。</w:t>
      </w:r>
    </w:p>
    <w:p>
      <w:pPr>
        <w:pStyle w:val="4"/>
        <w:spacing w:line="360" w:lineRule="auto"/>
        <w:rPr>
          <w:rFonts w:ascii="宋体" w:hAnsi="宋体" w:eastAsia="宋体" w:cs="宋体"/>
          <w:b/>
          <w:bCs/>
          <w:sz w:val="24"/>
          <w:szCs w:val="24"/>
          <w:highlight w:val="none"/>
        </w:rPr>
      </w:pPr>
      <w:bookmarkStart w:id="122" w:name="_Toc152531538"/>
      <w:r>
        <w:rPr>
          <w:rFonts w:hint="eastAsia" w:ascii="宋体" w:hAnsi="宋体" w:eastAsia="宋体" w:cs="宋体"/>
          <w:b/>
          <w:bCs/>
          <w:sz w:val="24"/>
          <w:szCs w:val="24"/>
          <w:highlight w:val="none"/>
        </w:rPr>
        <w:t>十三、合同提前终止的条件</w:t>
      </w:r>
      <w:bookmarkEnd w:id="122"/>
    </w:p>
    <w:p>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第三十八条：甲方可提出合同提前终止的条件：</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1、乙方将填埋场的飞灰填埋作业分包其他单位进行运营；</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2、乙方丧失运营资质或无力继续正常履行运营合同；</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3、未经甲方同意，乙方擅自处理不符合入场规定的飞灰两次；</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4、填埋场发生中毒、爆炸、火灾等安全事故，管理方要求乙方在规定时间内进行整改，其逾期未整改或整改后仍达不到相关要求；</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5、甲方填埋场库区库容已满；</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6、国家、省、市环保部门进行环保检查，检查结果为不合格。</w:t>
      </w:r>
    </w:p>
    <w:p>
      <w:pPr>
        <w:spacing w:line="360" w:lineRule="auto"/>
        <w:ind w:firstLine="482" w:firstLineChars="200"/>
        <w:rPr>
          <w:rFonts w:ascii="宋体" w:hAnsi="宋体" w:cs="宋体"/>
          <w:sz w:val="24"/>
          <w:szCs w:val="24"/>
          <w:highlight w:val="none"/>
        </w:rPr>
      </w:pPr>
      <w:r>
        <w:rPr>
          <w:rFonts w:hint="eastAsia" w:ascii="宋体" w:hAnsi="宋体" w:cs="宋体"/>
          <w:b/>
          <w:bCs/>
          <w:sz w:val="24"/>
          <w:szCs w:val="24"/>
          <w:highlight w:val="none"/>
        </w:rPr>
        <w:t>第三十九条：</w:t>
      </w:r>
      <w:r>
        <w:rPr>
          <w:rFonts w:hint="eastAsia" w:ascii="宋体" w:hAnsi="宋体" w:cs="宋体"/>
          <w:sz w:val="24"/>
          <w:szCs w:val="24"/>
          <w:highlight w:val="none"/>
        </w:rPr>
        <w:t>提前终止合同的责任归属：因乙方过失导致甲方提出合同提前终止的，乙方应支付甲方为确定下一任运营者所需的费用；因甲方过失导致乙方提出合同提前终止的，甲方应支付乙方为办理撤场所需的费用。</w:t>
      </w:r>
    </w:p>
    <w:p>
      <w:pPr>
        <w:spacing w:line="360" w:lineRule="auto"/>
        <w:ind w:firstLine="482" w:firstLineChars="200"/>
        <w:rPr>
          <w:rFonts w:ascii="宋体" w:hAnsi="宋体" w:cs="宋体"/>
          <w:sz w:val="24"/>
          <w:szCs w:val="24"/>
          <w:highlight w:val="none"/>
        </w:rPr>
      </w:pPr>
      <w:r>
        <w:rPr>
          <w:rFonts w:hint="eastAsia" w:ascii="宋体" w:hAnsi="宋体" w:cs="宋体"/>
          <w:b/>
          <w:bCs/>
          <w:sz w:val="24"/>
          <w:szCs w:val="24"/>
          <w:highlight w:val="none"/>
        </w:rPr>
        <w:t>第四十条：</w:t>
      </w:r>
      <w:r>
        <w:rPr>
          <w:rFonts w:hint="eastAsia" w:ascii="宋体" w:hAnsi="宋体" w:cs="宋体"/>
          <w:sz w:val="24"/>
          <w:szCs w:val="24"/>
          <w:highlight w:val="none"/>
        </w:rPr>
        <w:t>双方可对本同的条款进行补充，以书面形式签订补充协议 ， 补充协议与本合同具有同等效力；在本合同履行过程中，如甲方认为合同条款需要变更，应与乙方协商，并就变更事宜与乙方签订协议。</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第三十八条：本合同之附件均为合同有效组成部分。本合同及其附件内空格部分填写的文字经双确认后与印刷文字具有同等效力。</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本合同附件：</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附件1：《焚烧灰渣处置场运营考核标准》</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补充协议（如有）</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本合同及其附件和补充协议中未规定的事宜，均遵照中华人民共和国有关法律、法规和规章执行。</w:t>
      </w:r>
    </w:p>
    <w:p>
      <w:pPr>
        <w:spacing w:line="360" w:lineRule="auto"/>
        <w:ind w:firstLine="482" w:firstLineChars="200"/>
        <w:rPr>
          <w:rFonts w:ascii="宋体" w:hAnsi="宋体" w:cs="宋体"/>
          <w:sz w:val="24"/>
          <w:szCs w:val="24"/>
          <w:highlight w:val="none"/>
        </w:rPr>
      </w:pPr>
      <w:r>
        <w:rPr>
          <w:rFonts w:hint="eastAsia" w:ascii="宋体" w:hAnsi="宋体" w:cs="宋体"/>
          <w:b/>
          <w:bCs/>
          <w:sz w:val="24"/>
          <w:szCs w:val="24"/>
          <w:highlight w:val="none"/>
        </w:rPr>
        <w:t>第四十一条：</w:t>
      </w:r>
      <w:r>
        <w:rPr>
          <w:rFonts w:hint="eastAsia" w:ascii="宋体" w:hAnsi="宋体" w:cs="宋体"/>
          <w:sz w:val="24"/>
          <w:szCs w:val="24"/>
          <w:highlight w:val="none"/>
        </w:rPr>
        <w:t>本合同正本一式肆份，甲乙双方各执贰份，具有同等法律效力。</w:t>
      </w:r>
    </w:p>
    <w:p>
      <w:pPr>
        <w:spacing w:line="360" w:lineRule="auto"/>
        <w:ind w:firstLine="482" w:firstLineChars="200"/>
        <w:rPr>
          <w:rFonts w:ascii="宋体" w:hAnsi="宋体" w:cs="宋体"/>
          <w:sz w:val="24"/>
          <w:szCs w:val="24"/>
          <w:highlight w:val="none"/>
        </w:rPr>
      </w:pPr>
      <w:r>
        <w:rPr>
          <w:rFonts w:hint="eastAsia" w:ascii="宋体" w:hAnsi="宋体" w:cs="宋体"/>
          <w:b/>
          <w:bCs/>
          <w:sz w:val="24"/>
          <w:szCs w:val="24"/>
          <w:highlight w:val="none"/>
        </w:rPr>
        <w:t>第四十二条：</w:t>
      </w:r>
      <w:r>
        <w:rPr>
          <w:rFonts w:hint="eastAsia" w:ascii="宋体" w:hAnsi="宋体" w:cs="宋体"/>
          <w:sz w:val="24"/>
          <w:szCs w:val="24"/>
          <w:highlight w:val="none"/>
        </w:rPr>
        <w:t>本合同执行期间，如遇不可抗力，致使合同无法履行时，双方应按有关法律规定处理。</w:t>
      </w:r>
    </w:p>
    <w:p>
      <w:pPr>
        <w:tabs>
          <w:tab w:val="left" w:pos="567"/>
        </w:tabs>
        <w:spacing w:line="360" w:lineRule="auto"/>
        <w:ind w:firstLine="482" w:firstLineChars="200"/>
        <w:rPr>
          <w:rFonts w:ascii="宋体" w:hAnsi="宋体" w:cs="宋体"/>
          <w:sz w:val="24"/>
          <w:szCs w:val="24"/>
          <w:highlight w:val="none"/>
        </w:rPr>
      </w:pPr>
      <w:r>
        <w:rPr>
          <w:rFonts w:hint="eastAsia" w:ascii="宋体" w:hAnsi="宋体" w:cs="宋体"/>
          <w:b/>
          <w:bCs/>
          <w:sz w:val="24"/>
          <w:szCs w:val="24"/>
          <w:highlight w:val="none"/>
        </w:rPr>
        <w:t>第四十三条：</w:t>
      </w:r>
      <w:r>
        <w:rPr>
          <w:rFonts w:hint="eastAsia" w:ascii="宋体" w:hAnsi="宋体" w:cs="宋体"/>
          <w:sz w:val="24"/>
          <w:szCs w:val="24"/>
          <w:highlight w:val="none"/>
        </w:rPr>
        <w:t>争议的解决</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因本合同引起的或与本合同有关的任何争议,双方可通过友好协商解决。友好协商解决不成的，可在下列一种方式解决</w:t>
      </w:r>
      <w:r>
        <w:rPr>
          <w:rFonts w:hint="eastAsia" w:ascii="宋体" w:hAnsi="宋体" w:cs="宋体"/>
          <w:sz w:val="24"/>
          <w:szCs w:val="24"/>
          <w:highlight w:val="none"/>
          <w:u w:val="single"/>
        </w:rPr>
        <w:t xml:space="preserve">   （2）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（1）向镇江市仲裁委员会申请仲裁； </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（2）向有管辖权的甲方所在地的人民法院提起诉讼。</w:t>
      </w:r>
    </w:p>
    <w:p>
      <w:pPr>
        <w:spacing w:line="360" w:lineRule="auto"/>
        <w:ind w:firstLine="482" w:firstLineChars="200"/>
        <w:rPr>
          <w:rFonts w:ascii="宋体" w:hAnsi="宋体" w:cs="宋体"/>
          <w:sz w:val="24"/>
          <w:szCs w:val="24"/>
          <w:highlight w:val="none"/>
        </w:rPr>
      </w:pPr>
      <w:r>
        <w:rPr>
          <w:rFonts w:hint="eastAsia" w:ascii="宋体" w:hAnsi="宋体" w:cs="宋体"/>
          <w:b/>
          <w:bCs/>
          <w:sz w:val="24"/>
          <w:szCs w:val="24"/>
          <w:highlight w:val="none"/>
        </w:rPr>
        <w:t>第四十四条：</w:t>
      </w:r>
      <w:r>
        <w:rPr>
          <w:rFonts w:hint="eastAsia" w:ascii="宋体" w:hAnsi="宋体" w:cs="宋体"/>
          <w:sz w:val="24"/>
          <w:szCs w:val="24"/>
          <w:highlight w:val="none"/>
        </w:rPr>
        <w:t>合同期满本合同自然终止。</w:t>
      </w:r>
    </w:p>
    <w:p>
      <w:pPr>
        <w:autoSpaceDE w:val="0"/>
        <w:autoSpaceDN w:val="0"/>
        <w:adjustRightInd w:val="0"/>
        <w:snapToGrid w:val="0"/>
        <w:spacing w:line="360" w:lineRule="auto"/>
        <w:jc w:val="left"/>
        <w:rPr>
          <w:rFonts w:ascii="宋体" w:hAnsi="宋体" w:cs="宋体"/>
          <w:sz w:val="24"/>
          <w:szCs w:val="24"/>
          <w:highlight w:val="none"/>
        </w:rPr>
      </w:pPr>
    </w:p>
    <w:p>
      <w:pPr>
        <w:autoSpaceDE w:val="0"/>
        <w:autoSpaceDN w:val="0"/>
        <w:adjustRightInd w:val="0"/>
        <w:snapToGrid w:val="0"/>
        <w:spacing w:line="360" w:lineRule="auto"/>
        <w:jc w:val="left"/>
        <w:rPr>
          <w:rFonts w:ascii="宋体" w:hAnsi="宋体" w:cs="宋体"/>
          <w:sz w:val="24"/>
          <w:szCs w:val="24"/>
          <w:highlight w:val="none"/>
        </w:rPr>
      </w:pPr>
      <w:r>
        <w:rPr>
          <w:rFonts w:hint="eastAsia" w:ascii="宋体" w:hAnsi="宋体" w:cs="宋体"/>
          <w:sz w:val="24"/>
          <w:szCs w:val="24"/>
          <w:highlight w:val="none"/>
        </w:rPr>
        <w:t>甲方（单位盖章）：镇江市环境卫生管理服务中心                                单位地址：镇江市运河路47号</w:t>
      </w:r>
    </w:p>
    <w:p>
      <w:pPr>
        <w:autoSpaceDE w:val="0"/>
        <w:autoSpaceDN w:val="0"/>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 xml:space="preserve">联系电话： </w:t>
      </w:r>
    </w:p>
    <w:p>
      <w:pPr>
        <w:autoSpaceDE w:val="0"/>
        <w:autoSpaceDN w:val="0"/>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 xml:space="preserve">法定代表或委托代理人（签字）：                  </w:t>
      </w:r>
    </w:p>
    <w:p>
      <w:pPr>
        <w:autoSpaceDE w:val="0"/>
        <w:autoSpaceDN w:val="0"/>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 xml:space="preserve">乙方（单位盖章）：   </w:t>
      </w:r>
    </w:p>
    <w:p>
      <w:pPr>
        <w:autoSpaceDE w:val="0"/>
        <w:autoSpaceDN w:val="0"/>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单位地址：</w:t>
      </w:r>
    </w:p>
    <w:p>
      <w:pPr>
        <w:autoSpaceDE w:val="0"/>
        <w:autoSpaceDN w:val="0"/>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 xml:space="preserve">联系电话： </w:t>
      </w:r>
    </w:p>
    <w:p>
      <w:pPr>
        <w:tabs>
          <w:tab w:val="center" w:pos="4987"/>
        </w:tabs>
        <w:autoSpaceDE w:val="0"/>
        <w:autoSpaceDN w:val="0"/>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法定代表或委托代理人（签字）：</w:t>
      </w:r>
    </w:p>
    <w:p>
      <w:pPr>
        <w:autoSpaceDE w:val="0"/>
        <w:autoSpaceDN w:val="0"/>
        <w:spacing w:line="360" w:lineRule="auto"/>
        <w:rPr>
          <w:rFonts w:ascii="宋体" w:hAnsi="宋体" w:cs="宋体"/>
          <w:bCs/>
          <w:color w:val="000000"/>
          <w:sz w:val="24"/>
          <w:szCs w:val="24"/>
          <w:highlight w:val="none"/>
        </w:rPr>
      </w:pPr>
    </w:p>
    <w:p>
      <w:pPr>
        <w:spacing w:line="360" w:lineRule="auto"/>
        <w:rPr>
          <w:highlight w:val="none"/>
        </w:rPr>
      </w:pPr>
      <w:r>
        <w:rPr>
          <w:rFonts w:hint="eastAsia" w:ascii="宋体" w:hAnsi="宋体" w:cs="宋体"/>
          <w:bCs/>
          <w:color w:val="000000"/>
          <w:sz w:val="24"/>
          <w:szCs w:val="24"/>
          <w:highlight w:val="none"/>
        </w:rPr>
        <w:t xml:space="preserve">                                        </w:t>
      </w:r>
      <w:r>
        <w:rPr>
          <w:rFonts w:hint="eastAsia" w:ascii="宋体" w:hAnsi="宋体" w:cs="宋体"/>
          <w:b/>
          <w:bCs/>
          <w:sz w:val="24"/>
          <w:szCs w:val="24"/>
          <w:highlight w:val="none"/>
        </w:rPr>
        <w:t xml:space="preserve">合同签订日期： </w:t>
      </w:r>
      <w:r>
        <w:rPr>
          <w:rFonts w:ascii="宋体" w:hAnsi="宋体" w:cs="宋体"/>
          <w:b/>
          <w:bCs/>
          <w:sz w:val="24"/>
          <w:szCs w:val="24"/>
          <w:highlight w:val="none"/>
        </w:rPr>
        <w:t xml:space="preserve"> </w:t>
      </w:r>
      <w:r>
        <w:rPr>
          <w:rFonts w:hint="eastAsia" w:ascii="宋体" w:hAnsi="宋体" w:cs="宋体"/>
          <w:b/>
          <w:bCs/>
          <w:sz w:val="24"/>
          <w:szCs w:val="24"/>
          <w:highlight w:val="none"/>
        </w:rPr>
        <w:t xml:space="preserve"> 年   月   日</w:t>
      </w:r>
    </w:p>
    <w:p>
      <w:pPr>
        <w:pStyle w:val="1301"/>
        <w:keepNext/>
        <w:keepLines/>
        <w:pageBreakBefore/>
        <w:widowControl w:val="0"/>
        <w:numPr>
          <w:ilvl w:val="0"/>
          <w:numId w:val="7"/>
        </w:numPr>
        <w:ind w:left="0" w:firstLine="0"/>
        <w:jc w:val="center"/>
        <w:rPr>
          <w:rFonts w:ascii="宋体" w:eastAsia="宋体"/>
          <w:color w:val="000000" w:themeColor="text1"/>
          <w:highlight w:val="none"/>
          <w14:textFill>
            <w14:solidFill>
              <w14:schemeClr w14:val="tx1"/>
            </w14:solidFill>
          </w14:textFill>
        </w:rPr>
      </w:pPr>
      <w:bookmarkStart w:id="123" w:name="_Toc152531540"/>
      <w:r>
        <w:rPr>
          <w:rFonts w:hint="eastAsia" w:ascii="宋体" w:eastAsia="宋体"/>
          <w:color w:val="000000" w:themeColor="text1"/>
          <w:highlight w:val="none"/>
          <w14:textFill>
            <w14:solidFill>
              <w14:schemeClr w14:val="tx1"/>
            </w14:solidFill>
          </w14:textFill>
        </w:rPr>
        <w:t>采购需求</w:t>
      </w:r>
      <w:bookmarkEnd w:id="123"/>
    </w:p>
    <w:p>
      <w:pPr>
        <w:pStyle w:val="4"/>
        <w:spacing w:line="360" w:lineRule="auto"/>
        <w:rPr>
          <w:rFonts w:ascii="宋体" w:hAnsi="宋体" w:eastAsia="宋体" w:cs="宋体"/>
          <w:b/>
          <w:bCs/>
          <w:color w:val="000000" w:themeColor="text1"/>
          <w:sz w:val="24"/>
          <w:szCs w:val="24"/>
          <w:highlight w:val="none"/>
          <w14:textFill>
            <w14:solidFill>
              <w14:schemeClr w14:val="tx1"/>
            </w14:solidFill>
          </w14:textFill>
        </w:rPr>
      </w:pPr>
      <w:bookmarkStart w:id="124" w:name="_Toc152531541"/>
      <w:bookmarkStart w:id="125" w:name="EB8062ab44c04d4769b864d48cc6971b50"/>
      <w:r>
        <w:rPr>
          <w:rFonts w:hint="eastAsia" w:ascii="宋体" w:hAnsi="宋体" w:eastAsia="宋体" w:cs="宋体"/>
          <w:b/>
          <w:bCs/>
          <w:color w:val="000000" w:themeColor="text1"/>
          <w:sz w:val="24"/>
          <w:szCs w:val="24"/>
          <w:highlight w:val="none"/>
          <w14:textFill>
            <w14:solidFill>
              <w14:schemeClr w14:val="tx1"/>
            </w14:solidFill>
          </w14:textFill>
        </w:rPr>
        <w:t>一、项目概况</w:t>
      </w:r>
      <w:bookmarkEnd w:id="124"/>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焚烧灰渣处置场项目位于位于镇江市化工园区粮山路西侧</w:t>
      </w:r>
      <w:bookmarkStart w:id="126" w:name="_Hlk138322756"/>
      <w:r>
        <w:rPr>
          <w:rFonts w:hint="eastAsia" w:ascii="宋体" w:hAnsi="宋体" w:cs="宋体"/>
          <w:color w:val="000000" w:themeColor="text1"/>
          <w:sz w:val="24"/>
          <w:szCs w:val="24"/>
          <w:highlight w:val="none"/>
          <w14:textFill>
            <w14:solidFill>
              <w14:schemeClr w14:val="tx1"/>
            </w14:solidFill>
          </w14:textFill>
        </w:rPr>
        <w:t>釆石宕口</w:t>
      </w:r>
      <w:bookmarkEnd w:id="126"/>
      <w:r>
        <w:rPr>
          <w:rFonts w:hint="eastAsia" w:ascii="宋体" w:hAnsi="宋体" w:cs="宋体"/>
          <w:color w:val="000000" w:themeColor="text1"/>
          <w:sz w:val="24"/>
          <w:szCs w:val="24"/>
          <w:highlight w:val="none"/>
          <w14:textFill>
            <w14:solidFill>
              <w14:schemeClr w14:val="tx1"/>
            </w14:solidFill>
          </w14:textFill>
        </w:rPr>
        <w:t>，本项目为镇江市生活垃圾焚烧厂的配套灰渣处置场。项目总用地面积约48189</w:t>
      </w:r>
      <w:bookmarkStart w:id="127" w:name="_Hlk138334622"/>
      <w:r>
        <w:rPr>
          <w:rFonts w:hint="eastAsia" w:ascii="宋体" w:hAnsi="宋体" w:cs="宋体"/>
          <w:color w:val="000000" w:themeColor="text1"/>
          <w:sz w:val="24"/>
          <w:szCs w:val="24"/>
          <w:highlight w:val="none"/>
          <w14:textFill>
            <w14:solidFill>
              <w14:schemeClr w14:val="tx1"/>
            </w14:solidFill>
          </w14:textFill>
        </w:rPr>
        <w:t>㎡</w:t>
      </w:r>
      <w:bookmarkEnd w:id="127"/>
      <w:r>
        <w:rPr>
          <w:rFonts w:hint="eastAsia" w:ascii="宋体" w:hAnsi="宋体" w:cs="宋体"/>
          <w:color w:val="000000" w:themeColor="text1"/>
          <w:sz w:val="24"/>
          <w:szCs w:val="24"/>
          <w:highlight w:val="none"/>
          <w14:textFill>
            <w14:solidFill>
              <w14:schemeClr w14:val="tx1"/>
            </w14:solidFill>
          </w14:textFill>
        </w:rPr>
        <w:t>，项目库容 29.5万m³，日处理灰渣约 78 吨，年填埋场处置量约为2.85万吨，设计使用年限为12年；项目自建成投运以来严格按照《城市生活垃圾卫生填埋场运行维护技术规程》（CJJ93-2011）《生活垃圾卫生填埋处理技术规范》（GB 50869-2013）《生活垃圾焚烧稳定化飞灰填埋处置技术标准》（DB32T4076-2021）对进场飞灰进行无害化卫生填埋处理，库区污染物排放严格按照《生活垃圾填埋场污染控制标准（GB16889-2008）》予以控制。</w:t>
      </w:r>
    </w:p>
    <w:p>
      <w:pPr>
        <w:pStyle w:val="4"/>
        <w:spacing w:line="360" w:lineRule="auto"/>
        <w:rPr>
          <w:rFonts w:ascii="宋体" w:hAnsi="宋体" w:eastAsia="宋体" w:cs="宋体"/>
          <w:b/>
          <w:bCs/>
          <w:color w:val="000000" w:themeColor="text1"/>
          <w:sz w:val="24"/>
          <w:szCs w:val="24"/>
          <w:highlight w:val="none"/>
          <w14:textFill>
            <w14:solidFill>
              <w14:schemeClr w14:val="tx1"/>
            </w14:solidFill>
          </w14:textFill>
        </w:rPr>
      </w:pPr>
      <w:bookmarkStart w:id="128" w:name="_Toc152531542"/>
      <w:r>
        <w:rPr>
          <w:rFonts w:hint="eastAsia" w:ascii="宋体" w:hAnsi="宋体" w:eastAsia="宋体" w:cs="宋体"/>
          <w:b/>
          <w:bCs/>
          <w:color w:val="000000" w:themeColor="text1"/>
          <w:sz w:val="24"/>
          <w:szCs w:val="24"/>
          <w:highlight w:val="none"/>
          <w14:textFill>
            <w14:solidFill>
              <w14:schemeClr w14:val="tx1"/>
            </w14:solidFill>
          </w14:textFill>
        </w:rPr>
        <w:t>二、服务要求</w:t>
      </w:r>
      <w:bookmarkEnd w:id="128"/>
    </w:p>
    <w:p>
      <w:pPr>
        <w:autoSpaceDE w:val="0"/>
        <w:autoSpaceDN w:val="0"/>
        <w:adjustRightInd w:val="0"/>
        <w:snapToGrid w:val="0"/>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1.服务范围</w:t>
      </w:r>
    </w:p>
    <w:p>
      <w:pPr>
        <w:widowControl/>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镇江市焚烧灰渣处置场运营管理，对进场飞灰进行安全填埋，依托已建成雨污分流系统及时导排渗滤液、雨水，雨水经在线监测系统达标后排放，对场区周边及填埋库区截洪沟日常养护、进出场道路保洁；对场内渗滤液处理运营单位、污水在线监测系统、雨水在线监测系统、危化品和危险废物管理进行监管。</w:t>
      </w:r>
    </w:p>
    <w:p>
      <w:pPr>
        <w:autoSpaceDE w:val="0"/>
        <w:autoSpaceDN w:val="0"/>
        <w:adjustRightInd w:val="0"/>
        <w:snapToGrid w:val="0"/>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2.服务内容</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 严格按照填埋场运行管理要求与飞灰填埋计划分区、分单元进行作业和日常维护。经螯合固化后的飞灰由有资质第三方运输单位运至填埋场（飞灰的螯合固化、运输服务不包含在此次采购范围内），经门口处的地磅计量后再由场内道路（供应商须自行使用路基钢板箱进行铺设）进入飞灰填埋库区吊装作业平台（路基钢板箱铺设，中标人约需提供150块左右钢板路基箱，具体数量以满足现场作业要求为准）。在现场安全员的指挥下按填埋作业顺序进行无害化处置。揭开作业面 HDPE 膜，操作吊车将飞灰吨袋进行吊装至目标位置，吊装完成后对堆体进行压实、整形以保证其稳定性；当日吊装结束后需覆盖防雨布或0.5mmHDPE膜并填写日覆膜台账（包括日覆盖、中间覆盖）</w:t>
      </w:r>
      <w:r>
        <w:rPr>
          <w:rFonts w:hint="eastAsia" w:ascii="宋体" w:hAnsi="宋体" w:cs="宋体"/>
          <w:sz w:val="24"/>
          <w:szCs w:val="24"/>
          <w:highlight w:val="none"/>
        </w:rPr>
        <w:t>，减少渗滤液的产生，</w:t>
      </w:r>
      <w:r>
        <w:rPr>
          <w:rFonts w:hint="eastAsia" w:ascii="宋体" w:hAnsi="宋体" w:cs="宋体"/>
          <w:color w:val="000000" w:themeColor="text1"/>
          <w:sz w:val="24"/>
          <w:szCs w:val="24"/>
          <w:highlight w:val="none"/>
          <w14:textFill>
            <w14:solidFill>
              <w14:schemeClr w14:val="tx1"/>
            </w14:solidFill>
          </w14:textFill>
        </w:rPr>
        <w:t>确保雨污分流效果。待本作业单元堆体整体高度达到规定高度时，供应商需自行采购厚度不小于1.0mm HDPE 膜（必须符合《高密度聚乙烯土工膜》CJ/T234-2006 要求）进行焊接，对焊接完成的膜面需用轮胎或压膜材料（中标单位自行采购）压住；压膜预制件主要参数为：混凝土强度C30或以上等级；直径≥400mm 厚度≥120mm，形状为圆柱体，整体无棱角，需对边缘进行倒角处理；把手钢筋整体长度≥300mm，粗细8mm，露出预制件部分长度≥220mm，把手整体形状为“Ω”，必须能够牢牢连接预制件，便于操作人员提携。</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2.2对场内渗滤液处理运营单位、污水在线监测系统、雨水在线监测系统、危化品和危险废物管理进行监管和检查评价。</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2.3对飞灰填埋库区内设施、设备的保养、维护，对场区周边及填埋库区截洪沟清理、进场道路保洁。</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2.5依托已建成雨污分流系统及时导排渗滤液和雨水，做好雨污分流，确保雨水经雨水在线监测系统达标排放。</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2.6填报飞灰填埋作业台账数据（含江苏省固体废物管理信息系统、江苏省污染源“一企一档”管理系统、镇江新区新材料产业园智慧园区平台）。</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2.7修订焚烧灰渣处置场管理制度和安全生产应急预案，按计划落实安全生产培训和应急演练及环境卫生等工作。</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2.8根据要求做好环保、安全检查等准备工作及后续整改工作。</w:t>
      </w:r>
    </w:p>
    <w:p>
      <w:pPr>
        <w:autoSpaceDE w:val="0"/>
        <w:autoSpaceDN w:val="0"/>
        <w:adjustRightInd w:val="0"/>
        <w:snapToGrid w:val="0"/>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3.服务技术要求</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3.1飞灰作业准备</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①飞灰处置运行管理人员应熟悉填埋作业工艺，掌握填埋场安全防护知识及应急预案要求。</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②飞灰处置生产人员应定期经过专业技能培训和安全教育，形成台账资料，熟练掌握各岗位操作要求。</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③供应商应根据库区实际情况制定分区分单元填埋作业计划，作业分区应采取有利于雨污分流的措施，须经采购人同意后实施。</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④供应商根据库区实际情况提前准备钢板路基箱并铺设道路宽度不低于6m 库区进场道路，同时使用钢板路基箱铺设吊装作业平台，作业平台面积需吊装设备使用及飞灰运输车辆调头。</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⑤供应商需自行采购厚度不小于1.0mm HDPE膜，须符合《高密度聚乙烯土工膜》（CJ/T234-2006）要求，采购人随机取样送第三方有资质单位检测，检测合格后方可使用（检测费由采购人承担；若检测不合格，供应商无条件负责调换合格产品，并承担相关检测费）。根据飞灰吊装作业计划及作业进度进行铺膜、覆膜、焊膜，完成雨污分流，做好日覆膜台账、焊膜台账。</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⑥供应商需根据现场情况自行接电、安装相应照明设施，照射范围需覆盖所有吊装作业单元，确保夜间吊装安全。</w:t>
      </w:r>
    </w:p>
    <w:p>
      <w:pPr>
        <w:autoSpaceDE w:val="0"/>
        <w:autoSpaceDN w:val="0"/>
        <w:adjustRightInd w:val="0"/>
        <w:snapToGrid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3.2飞灰作业工艺流程：</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①经螯合固化后达标处理的飞灰由有资质的第三方运输单位运至填埋场，经入口处的地磅计量后再由场内道路进入飞灰库区吊装作业平台，车辆进入作业区的速度应控制在15km/h以下。在现场安全员的指挥下，吊车驾驶员操作吊车将飞灰吨袋吊装至目标位置，吊装完成后进行堆体整形、压实堆体消除吨袋之间空隙，减少堆体的不均匀沉降，可提升堆体稳定性增加填埋量，延长作业单元和整个填埋场的使用年限。</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②飞灰运输车辆进入填埋场后应立即进行检查和称重，记录重量及校验飞灰转运联单。飞灰（渣）运输车辆在离开填埋场前，在洗车平台处冲洗轮胎和底盘，必要时进行消毒处理。</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③每一单元的飞灰堆体高度达到相应规定时即进行完全覆膜、焊膜,将已焊接完成的HDPE膜压好，保证膜面稳定。堆体加高过程中需进行堆体整形确保吨袋之间无空隙，边坡坡度应按1:3进行放坡。</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④日覆盖与中间覆盖：每天吊装作业结束后，应对堆体表面进行日覆盖（日覆盖材料使用防雨布或0.5mmHDPE膜），确保非作业时间无裸露作业面，这就是日覆盖，次日揭开覆盖材料后继续吊装作业。中间覆盖是填埋场在完成一个区域填埋且较长时间段内不再填埋的情况下，为减少渗滤液的产生而采取的措施。日覆盖和中间覆盖可以最大限度的减少渗滤液产生量，降低扬尘，改善场区环境。中间覆盖材料采用厚度不小于1.0mmHDPE 膜，HDPE膜应符合《高密度聚乙烯土工膜》（CJ/T234-2006）要求，作业程序如下：</w:t>
      </w:r>
    </w:p>
    <w:p>
      <w:pPr>
        <w:autoSpaceDE w:val="0"/>
        <w:autoSpaceDN w:val="0"/>
        <w:adjustRightInd w:val="0"/>
        <w:snapToGrid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（1）膜覆盖作业程序应符合下列规定：</w:t>
      </w:r>
    </w:p>
    <w:p>
      <w:pPr>
        <w:autoSpaceDE w:val="0"/>
        <w:autoSpaceDN w:val="0"/>
        <w:adjustRightInd w:val="0"/>
        <w:snapToGrid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a进行膜覆盖时，膜的外缘应拉出，宜开挖矩形锚固沟进行锚固；沟深、沟宽、水平覆盖间距和覆土厚度可根据实际情况确定；</w:t>
      </w:r>
    </w:p>
    <w:p>
      <w:pPr>
        <w:autoSpaceDE w:val="0"/>
        <w:autoSpaceDN w:val="0"/>
        <w:adjustRightInd w:val="0"/>
        <w:snapToGrid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b日覆盖时应从当日作业面最远处的堆体逐渐向卸料平台靠近，中间覆盖时宜采取先上坡后下坡顺序覆盖；</w:t>
      </w:r>
    </w:p>
    <w:p>
      <w:pPr>
        <w:autoSpaceDE w:val="0"/>
        <w:autoSpaceDN w:val="0"/>
        <w:adjustRightInd w:val="0"/>
        <w:snapToGrid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c日覆盖时膜与膜搭接的宽度宜为0.20 m 左右，中间覆盖时为0.08～0.10 m 左右，盖膜方向应顺坡搭接；</w:t>
      </w:r>
    </w:p>
    <w:p>
      <w:pPr>
        <w:autoSpaceDE w:val="0"/>
        <w:autoSpaceDN w:val="0"/>
        <w:adjustRightInd w:val="0"/>
        <w:snapToGrid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d填埋场边坡处的膜覆盖，应使膜与边坡接触并有0.5～1.0 m宽度的膜盖住边坡，</w:t>
      </w:r>
    </w:p>
    <w:p>
      <w:pPr>
        <w:autoSpaceDE w:val="0"/>
        <w:autoSpaceDN w:val="0"/>
        <w:adjustRightInd w:val="0"/>
        <w:snapToGrid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并铺至其上的锚固沟；</w:t>
      </w:r>
    </w:p>
    <w:p>
      <w:pPr>
        <w:autoSpaceDE w:val="0"/>
        <w:autoSpaceDN w:val="0"/>
        <w:adjustRightInd w:val="0"/>
        <w:snapToGrid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e中间覆盖时，膜搭接处宜采取临时焊接或用压膜物进行有效固定；</w:t>
      </w:r>
    </w:p>
    <w:p>
      <w:pPr>
        <w:autoSpaceDE w:val="0"/>
        <w:autoSpaceDN w:val="0"/>
        <w:adjustRightInd w:val="0"/>
        <w:snapToGrid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f覆盖后的膜应平直整齐，膜上需压放有整齐稳固的压膜材料；压膜材料应在膜与膜的搭接处，摆放的直线间距1 m左右；当日作业气候遇风力比较大时，也可在膜面上放置压膜物，如废旧轮胎等；直线间距2～3 m 左右。</w:t>
      </w:r>
    </w:p>
    <w:p>
      <w:pPr>
        <w:autoSpaceDE w:val="0"/>
        <w:autoSpaceDN w:val="0"/>
        <w:adjustRightInd w:val="0"/>
        <w:snapToGrid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（2）膜覆盖作业应符合下列规定：</w:t>
      </w:r>
    </w:p>
    <w:p>
      <w:pPr>
        <w:autoSpaceDE w:val="0"/>
        <w:autoSpaceDN w:val="0"/>
        <w:adjustRightInd w:val="0"/>
        <w:snapToGrid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a裁膜场地应宽敞、平整，不允许有碎石、树枝等尖锐物；</w:t>
      </w:r>
    </w:p>
    <w:p>
      <w:pPr>
        <w:autoSpaceDE w:val="0"/>
        <w:autoSpaceDN w:val="0"/>
        <w:adjustRightInd w:val="0"/>
        <w:snapToGrid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b覆盖前应先对飞灰堆体进行整平、压实，堆体坡度控制在不大于1:3；</w:t>
      </w:r>
    </w:p>
    <w:p>
      <w:pPr>
        <w:autoSpaceDE w:val="0"/>
        <w:autoSpaceDN w:val="0"/>
        <w:adjustRightInd w:val="0"/>
        <w:snapToGrid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c覆盖结束后，人员不宜在膜上行走；</w:t>
      </w:r>
    </w:p>
    <w:p>
      <w:pPr>
        <w:autoSpaceDE w:val="0"/>
        <w:autoSpaceDN w:val="0"/>
        <w:adjustRightInd w:val="0"/>
        <w:snapToGrid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d压膜材料应选择废旧轮胎、预制件等；膜覆盖作业及压膜作业应顺风操作；</w:t>
      </w:r>
    </w:p>
    <w:p>
      <w:pPr>
        <w:autoSpaceDE w:val="0"/>
        <w:autoSpaceDN w:val="0"/>
        <w:adjustRightInd w:val="0"/>
        <w:snapToGrid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e破损的压膜材料应及时修复或更换并保持覆盖后的膜表面干净无杂物；</w:t>
      </w:r>
    </w:p>
    <w:p>
      <w:pPr>
        <w:autoSpaceDE w:val="0"/>
        <w:autoSpaceDN w:val="0"/>
        <w:adjustRightInd w:val="0"/>
        <w:snapToGrid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f堆体平整时，可根据实际情况开挖排水沟或填筑分隔坝。</w:t>
      </w:r>
    </w:p>
    <w:p>
      <w:pPr>
        <w:autoSpaceDE w:val="0"/>
        <w:autoSpaceDN w:val="0"/>
        <w:adjustRightInd w:val="0"/>
        <w:snapToGrid w:val="0"/>
        <w:spacing w:line="360" w:lineRule="auto"/>
        <w:jc w:val="left"/>
        <w:rPr>
          <w:rFonts w:ascii="宋体" w:hAnsi="宋体" w:cs="宋体"/>
          <w:sz w:val="24"/>
          <w:szCs w:val="24"/>
          <w:highlight w:val="none"/>
        </w:rPr>
      </w:pPr>
      <w:r>
        <w:rPr>
          <w:rFonts w:hint="eastAsia" w:ascii="宋体" w:hAnsi="宋体" w:cs="宋体"/>
          <w:sz w:val="24"/>
          <w:szCs w:val="24"/>
          <w:highlight w:val="none"/>
        </w:rPr>
        <w:t>（3）飞灰堆体整形作业程序应符合下列规定：</w:t>
      </w:r>
    </w:p>
    <w:p>
      <w:pPr>
        <w:autoSpaceDE w:val="0"/>
        <w:autoSpaceDN w:val="0"/>
        <w:adjustRightInd w:val="0"/>
        <w:snapToGrid w:val="0"/>
        <w:spacing w:line="360" w:lineRule="auto"/>
        <w:jc w:val="left"/>
        <w:rPr>
          <w:rFonts w:ascii="宋体" w:hAnsi="宋体" w:cs="宋体"/>
          <w:sz w:val="24"/>
          <w:szCs w:val="24"/>
          <w:highlight w:val="none"/>
        </w:rPr>
      </w:pPr>
      <w:r>
        <w:rPr>
          <w:rFonts w:hint="eastAsia" w:ascii="宋体" w:hAnsi="宋体" w:cs="宋体"/>
          <w:sz w:val="24"/>
          <w:szCs w:val="24"/>
          <w:highlight w:val="none"/>
        </w:rPr>
        <w:t>a在新作业单元，人工裁、揭原覆盖土工膜（作业单元需提前向甲方上报）；</w:t>
      </w:r>
    </w:p>
    <w:p>
      <w:pPr>
        <w:autoSpaceDE w:val="0"/>
        <w:autoSpaceDN w:val="0"/>
        <w:adjustRightInd w:val="0"/>
        <w:snapToGrid w:val="0"/>
        <w:spacing w:line="360" w:lineRule="auto"/>
        <w:jc w:val="left"/>
        <w:rPr>
          <w:rFonts w:ascii="宋体" w:hAnsi="宋体" w:cs="宋体"/>
          <w:sz w:val="24"/>
          <w:szCs w:val="24"/>
          <w:highlight w:val="none"/>
        </w:rPr>
      </w:pPr>
      <w:r>
        <w:rPr>
          <w:rFonts w:hint="eastAsia" w:ascii="宋体" w:hAnsi="宋体" w:cs="宋体"/>
          <w:sz w:val="24"/>
          <w:szCs w:val="24"/>
          <w:highlight w:val="none"/>
        </w:rPr>
        <w:t>b人工用袋装黄砂构筑临时拦水堤坝（环绕新作业面一周）；</w:t>
      </w:r>
    </w:p>
    <w:p>
      <w:pPr>
        <w:autoSpaceDE w:val="0"/>
        <w:autoSpaceDN w:val="0"/>
        <w:adjustRightInd w:val="0"/>
        <w:snapToGrid w:val="0"/>
        <w:spacing w:line="360" w:lineRule="auto"/>
        <w:jc w:val="left"/>
        <w:rPr>
          <w:rFonts w:ascii="宋体" w:hAnsi="宋体" w:cs="宋体"/>
          <w:sz w:val="24"/>
          <w:szCs w:val="24"/>
          <w:highlight w:val="none"/>
        </w:rPr>
      </w:pPr>
      <w:r>
        <w:rPr>
          <w:rFonts w:hint="eastAsia" w:ascii="宋体" w:hAnsi="宋体" w:cs="宋体"/>
          <w:sz w:val="24"/>
          <w:szCs w:val="24"/>
          <w:highlight w:val="none"/>
        </w:rPr>
        <w:t>c在新作业单元填埋飞灰；</w:t>
      </w:r>
    </w:p>
    <w:p>
      <w:pPr>
        <w:autoSpaceDE w:val="0"/>
        <w:autoSpaceDN w:val="0"/>
        <w:adjustRightInd w:val="0"/>
        <w:snapToGrid w:val="0"/>
        <w:spacing w:line="360" w:lineRule="auto"/>
        <w:jc w:val="left"/>
        <w:rPr>
          <w:rFonts w:ascii="宋体" w:hAnsi="宋体" w:cs="宋体"/>
          <w:sz w:val="24"/>
          <w:szCs w:val="24"/>
          <w:highlight w:val="none"/>
        </w:rPr>
      </w:pPr>
      <w:r>
        <w:rPr>
          <w:rFonts w:hint="eastAsia" w:ascii="宋体" w:hAnsi="宋体" w:cs="宋体"/>
          <w:sz w:val="24"/>
          <w:szCs w:val="24"/>
          <w:highlight w:val="none"/>
        </w:rPr>
        <w:t>d新作业单元填满后，使用挖掘机等机械辅助，对飞灰堆体进行整形，并形成坡度，便于雨水汇集；</w:t>
      </w:r>
    </w:p>
    <w:p>
      <w:pPr>
        <w:autoSpaceDE w:val="0"/>
        <w:autoSpaceDN w:val="0"/>
        <w:adjustRightInd w:val="0"/>
        <w:snapToGrid w:val="0"/>
        <w:spacing w:line="360" w:lineRule="auto"/>
        <w:jc w:val="left"/>
        <w:rPr>
          <w:rFonts w:ascii="宋体" w:hAnsi="宋体" w:cs="宋体"/>
          <w:sz w:val="24"/>
          <w:szCs w:val="24"/>
          <w:highlight w:val="none"/>
        </w:rPr>
      </w:pPr>
      <w:r>
        <w:rPr>
          <w:rFonts w:hint="eastAsia" w:ascii="宋体" w:hAnsi="宋体" w:cs="宋体"/>
          <w:sz w:val="24"/>
          <w:szCs w:val="24"/>
          <w:highlight w:val="none"/>
        </w:rPr>
        <w:t>e铺设600g长丝土工布一层，用于防护防渗膜；</w:t>
      </w:r>
    </w:p>
    <w:p>
      <w:pPr>
        <w:autoSpaceDE w:val="0"/>
        <w:autoSpaceDN w:val="0"/>
        <w:adjustRightInd w:val="0"/>
        <w:snapToGrid w:val="0"/>
        <w:spacing w:line="360" w:lineRule="auto"/>
        <w:jc w:val="left"/>
        <w:rPr>
          <w:rFonts w:ascii="宋体" w:hAnsi="宋体" w:cs="宋体"/>
          <w:sz w:val="24"/>
          <w:szCs w:val="24"/>
          <w:highlight w:val="none"/>
        </w:rPr>
      </w:pPr>
      <w:r>
        <w:rPr>
          <w:rFonts w:hint="eastAsia" w:ascii="宋体" w:hAnsi="宋体" w:cs="宋体"/>
          <w:sz w:val="24"/>
          <w:szCs w:val="24"/>
          <w:highlight w:val="none"/>
        </w:rPr>
        <w:t>f铺设1.0mmHDPE土工膜一层，用于表层覆盖；</w:t>
      </w:r>
    </w:p>
    <w:p>
      <w:pPr>
        <w:autoSpaceDE w:val="0"/>
        <w:autoSpaceDN w:val="0"/>
        <w:adjustRightInd w:val="0"/>
        <w:snapToGrid w:val="0"/>
        <w:spacing w:line="360" w:lineRule="auto"/>
        <w:jc w:val="left"/>
        <w:rPr>
          <w:rFonts w:ascii="宋体" w:hAnsi="宋体" w:cs="宋体"/>
          <w:sz w:val="24"/>
          <w:szCs w:val="24"/>
          <w:highlight w:val="none"/>
        </w:rPr>
      </w:pPr>
      <w:r>
        <w:rPr>
          <w:rFonts w:hint="eastAsia" w:ascii="宋体" w:hAnsi="宋体" w:cs="宋体"/>
          <w:sz w:val="24"/>
          <w:szCs w:val="24"/>
          <w:highlight w:val="none"/>
        </w:rPr>
        <w:t>g对铺设1.0mmHDPE土工膜连接处用双缝焊机进行热熔焊接；</w:t>
      </w:r>
    </w:p>
    <w:p>
      <w:pPr>
        <w:autoSpaceDE w:val="0"/>
        <w:autoSpaceDN w:val="0"/>
        <w:adjustRightInd w:val="0"/>
        <w:snapToGrid w:val="0"/>
        <w:spacing w:line="360" w:lineRule="auto"/>
        <w:jc w:val="left"/>
        <w:rPr>
          <w:rFonts w:ascii="宋体" w:hAnsi="宋体" w:cs="宋体"/>
          <w:sz w:val="24"/>
          <w:szCs w:val="24"/>
          <w:highlight w:val="none"/>
        </w:rPr>
      </w:pPr>
      <w:r>
        <w:rPr>
          <w:rFonts w:hint="eastAsia" w:ascii="宋体" w:hAnsi="宋体" w:cs="宋体"/>
          <w:sz w:val="24"/>
          <w:szCs w:val="24"/>
          <w:highlight w:val="none"/>
        </w:rPr>
        <w:t>h用旧轮胎（或用自制配重预制水泥块）在新铺设1.0mmHDPE土工膜表面进行配重、压实，边沿处（与水泥路面接触处）用镀锌压条膨胀螺丝进行紧固压实。</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⑤飞灰堆体经压实、覆膜后在其表面利用路基钢板箱铺设宽度不低于6m库区进场道路，铺设钢路基箱提高堆体承载力。中标人约需提供钢板路基箱150块（具体数量以满足作业现场需求为准），规格为：600cm×150cm×20cm，面板厚度≥8mm，底板厚度≥6mm，路基箱承载50t以上。</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⑥特殊季节、特殊环境的作业：特殊季节主要指夏季、雨雪季节等，夏季高温来临的时候，在填埋作业过程中要注意避暑降温；雨季要注意防汛，加强检查，提前做好防汛抗洪准备；遇到强降雪天气，要注意清扫进场道路，确保进场车辆安全。</w:t>
      </w:r>
    </w:p>
    <w:p>
      <w:pPr>
        <w:autoSpaceDE w:val="0"/>
        <w:autoSpaceDN w:val="0"/>
        <w:adjustRightInd w:val="0"/>
        <w:snapToGrid w:val="0"/>
        <w:spacing w:line="360" w:lineRule="auto"/>
        <w:ind w:firstLine="482" w:firstLineChars="200"/>
        <w:jc w:val="lef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4.管理要求</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1、服务期间未经采购人同意，中标人不得将该服务项目转包及分包。</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2、须在中标后积极配合采购人，进场完成运营的交接工作，所需所有费用由中标人负责。</w:t>
      </w:r>
    </w:p>
    <w:p>
      <w:pPr>
        <w:autoSpaceDE w:val="0"/>
        <w:autoSpaceDN w:val="0"/>
        <w:adjustRightInd w:val="0"/>
        <w:snapToGri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3、在运营期间，中标人及现场工作人员应该严格按照《稳定化飞灰填埋场运行维护技术规程》（CJJ 93）、《稳定化飞灰填埋处理技术规范》（GB 50869）、建设部令第 157 号《城市生活垃圾垃圾管理办法》、CJJ150-2010《生活垃圾渗沥液处理技术规范》、CJJ93-2011《稳定化飞灰填埋场运行维护技术规程》、省住建厅苏建城【2013】139 号《江苏省稳定化飞灰填埋场运行管理考核评价标准》、环境保护部质检总局GB16889-2008《生活垃圾填埋场污染控制标准》、中华人民共和国国家环境保护标准 HJ 1134—2020 《生活垃圾焚烧飞灰污染控制技术规范》（试行）江苏省地方标准 DB32/T 4076-2021 《生活垃圾焚烧稳定化飞灰填埋处置技术标准》中的要求进行管理和运营。</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在运营期间，中标人必须根据项目规模安排满足填埋场运营的工作人员，并建立相应的排班制度，保持通讯渠道畅通，设立专门应急队伍，负责运营期间突发事件的处理，确保及时到位，并将事故现场拍照后汇报采购人。</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5、在运营期间，中标人应自行承担费用和风险，负责本项目的管理、运营、维护和修理，使本项目处于良好的运营状态并能够安全、稳定地处理、处置使之达到相关要求。</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确保场区保持在良好、干净、整齐及清洁的状况，包括实施必须的修理、购买及保存本项目必需的替换设备或零件，并保存适当库存量的零件与设备，清除和处理维修所产生的废料，期间所有费用由中标人负责。</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7、上岗操作人员必须能掌握设备使用性能及正确的操作方法，供应商应对运行人员的管理，技术进行培训。培训内容包括：飞灰填埋处置技术、工艺流程、机械操作、吊装作业规程及污染防治措施。</w:t>
      </w:r>
    </w:p>
    <w:p>
      <w:pPr>
        <w:autoSpaceDE w:val="0"/>
        <w:autoSpaceDN w:val="0"/>
        <w:adjustRightInd w:val="0"/>
        <w:snapToGri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8、项目工作人员必须挂牌上岗，统一穿着工作服，工作鞋，不能穿拖鞋上岗操作，机械设备的操作者，必须持有专门的上岗证书，不得擅自违章操作。</w:t>
      </w:r>
    </w:p>
    <w:p>
      <w:pPr>
        <w:autoSpaceDE w:val="0"/>
        <w:autoSpaceDN w:val="0"/>
        <w:adjustRightInd w:val="0"/>
        <w:snapToGri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9、中标人应向采购人提供《填埋场运营操作规程》，相关的部门制度应上墙，做好安全运营，并做好库区、办公区与生活区的卫生。</w:t>
      </w:r>
    </w:p>
    <w:p>
      <w:pPr>
        <w:autoSpaceDE w:val="0"/>
        <w:autoSpaceDN w:val="0"/>
        <w:adjustRightInd w:val="0"/>
        <w:snapToGri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10、中标人必须建立并保存完整的现场设备运行数据资料建档。总结运行经验，指导运营工作。运营现场的材料堆放整齐有序，结束后做到工完场地清。</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sz w:val="24"/>
          <w:szCs w:val="24"/>
          <w:highlight w:val="none"/>
        </w:rPr>
        <w:t>11、中标人如实填写运营台账，包含飞灰处理量统计（日报表、月报表、飞灰转运五联单等定期报送至采购人处）、设备维修保养定期记录表、道路及绿化设施维护记录、培训资料、安全台账等。同时供应商应接受采购人及相关职能部门监督检查， 对提出的问题，中标人如实讲</w:t>
      </w:r>
      <w:r>
        <w:rPr>
          <w:rFonts w:hint="eastAsia" w:ascii="宋体" w:hAnsi="宋体" w:cs="宋体"/>
          <w:color w:val="000000" w:themeColor="text1"/>
          <w:sz w:val="24"/>
          <w:szCs w:val="24"/>
          <w:highlight w:val="none"/>
          <w14:textFill>
            <w14:solidFill>
              <w14:schemeClr w14:val="tx1"/>
            </w14:solidFill>
          </w14:textFill>
        </w:rPr>
        <w:t>解和回答，不得虚报实情。</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运营所需的柴汽油、易耗用品更换所需费用由中标人自行承担；运营过程中使用的主要消耗件、消耗品必须及时更换，更换产生的费用由中标人自行承担。不可为降低运营成本而延迟或拒绝更换主要消耗件、易耗品与配件，如因以上原因影响了处理量、处置效果，采购人在责成供应商更换有关配件后 10天内未完成的，则采购人可委托第三方实施更换，费用由中标人承担。</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在运营期间，供应商应合理安排检修、维护，保证填埋场正常运行，设备大修须停止运行的情况，中标人须提前一周时间书面通知采购人，供应商应立即另安排吊装机械进场开展吊装业务。如遇突发性事故而必须停止运行大修的，中标人须立即通知采购人，经采购人批准后全力展开维护、维修工作。</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14、因中标人违反操作规程或其他人为原因造成生产事故，导致生产设备损坏及影响填埋场正常运营而导致经济损失或安全事故的，将追究相关责任单位与责任人的相关法律、经济责任。</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15、中标人需建立针对本项目的应急预案，包括出现系统故障、极端天气（如台风、塌方）、水浸、临时停水停电、安全生产事故、监测指标不达标等情况。如导致填埋场不能正常运营，需及时申报采购人。</w:t>
      </w:r>
    </w:p>
    <w:p>
      <w:pPr>
        <w:autoSpaceDE w:val="0"/>
        <w:autoSpaceDN w:val="0"/>
        <w:adjustRightInd w:val="0"/>
        <w:snapToGri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16、中标人应依据制定的各项应急预案，制定灰渣场年度安全、消防等培训和演练计划，并按计划组织工作人员定期参加，做好培训和演练台账，以备采购人审查。</w:t>
      </w:r>
    </w:p>
    <w:p>
      <w:pPr>
        <w:autoSpaceDE w:val="0"/>
        <w:autoSpaceDN w:val="0"/>
        <w:adjustRightInd w:val="0"/>
        <w:snapToGri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17、中标人应保障灰渣场生产运营的稳定和安全，防止事故发生，如出现重大意外事故，中标人应及时通知采购人，并尽最大人力、物力进行抢救，尽快恢复正常生产秩序，在事故影响期间，中标人应采取各种应急措施进行抢救，减少事故对公众、环境的影响，并承担由此造成的全部责任。</w:t>
      </w:r>
    </w:p>
    <w:p>
      <w:pPr>
        <w:autoSpaceDE w:val="0"/>
        <w:autoSpaceDN w:val="0"/>
        <w:adjustRightInd w:val="0"/>
        <w:snapToGri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18、服务期满，中标人未能获取下一阶段运营资格时，要积极配合与下一运营单位交接。不得以任何方式阻碍交接，影响采购人正常工作。</w:t>
      </w:r>
    </w:p>
    <w:p>
      <w:pPr>
        <w:autoSpaceDE w:val="0"/>
        <w:autoSpaceDN w:val="0"/>
        <w:adjustRightInd w:val="0"/>
        <w:snapToGri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19、在运营服务期间造成人员伤亡和财产损失的，由中标人负责赔偿。</w:t>
      </w:r>
    </w:p>
    <w:p>
      <w:pPr>
        <w:pStyle w:val="4"/>
        <w:spacing w:line="360" w:lineRule="auto"/>
        <w:rPr>
          <w:rFonts w:ascii="宋体" w:hAnsi="宋体" w:eastAsia="宋体" w:cs="宋体"/>
          <w:b/>
          <w:bCs/>
          <w:color w:val="000000" w:themeColor="text1"/>
          <w:sz w:val="24"/>
          <w:szCs w:val="24"/>
          <w:highlight w:val="none"/>
          <w14:textFill>
            <w14:solidFill>
              <w14:schemeClr w14:val="tx1"/>
            </w14:solidFill>
          </w14:textFill>
        </w:rPr>
      </w:pPr>
      <w:bookmarkStart w:id="129" w:name="_Toc152531543"/>
      <w:r>
        <w:rPr>
          <w:rFonts w:hint="eastAsia" w:ascii="宋体" w:hAnsi="宋体" w:eastAsia="宋体" w:cs="宋体"/>
          <w:b/>
          <w:bCs/>
          <w:color w:val="000000" w:themeColor="text1"/>
          <w:sz w:val="24"/>
          <w:szCs w:val="24"/>
          <w:highlight w:val="none"/>
          <w14:textFill>
            <w14:solidFill>
              <w14:schemeClr w14:val="tx1"/>
            </w14:solidFill>
          </w14:textFill>
        </w:rPr>
        <w:t>三、项目运营条件</w:t>
      </w:r>
      <w:bookmarkEnd w:id="129"/>
    </w:p>
    <w:p>
      <w:pPr>
        <w:autoSpaceDE w:val="0"/>
        <w:autoSpaceDN w:val="0"/>
        <w:adjustRightInd w:val="0"/>
        <w:snapToGrid w:val="0"/>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1.机械设备</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 </w:t>
      </w:r>
      <w:r>
        <w:rPr>
          <w:rFonts w:hint="eastAsia" w:ascii="宋体" w:hAnsi="宋体" w:cs="宋体"/>
          <w:b/>
          <w:bCs/>
          <w:sz w:val="24"/>
          <w:szCs w:val="24"/>
          <w:highlight w:val="none"/>
          <w:u w:val="single"/>
        </w:rPr>
        <w:t>投标人须配备不低于20吨吊车一辆</w:t>
      </w:r>
      <w:r>
        <w:rPr>
          <w:rFonts w:ascii="宋体" w:hAnsi="宋体" w:cs="宋体"/>
          <w:b/>
          <w:bCs/>
          <w:sz w:val="24"/>
          <w:szCs w:val="24"/>
          <w:highlight w:val="none"/>
          <w:u w:val="single"/>
        </w:rPr>
        <w:t>并提供吨袋吊装作业配套设备(缺一不可)</w:t>
      </w:r>
      <w:r>
        <w:rPr>
          <w:rFonts w:hint="eastAsia" w:ascii="宋体" w:hAnsi="宋体" w:cs="宋体"/>
          <w:b/>
          <w:bCs/>
          <w:sz w:val="24"/>
          <w:szCs w:val="24"/>
          <w:highlight w:val="none"/>
          <w:u w:val="single"/>
        </w:rPr>
        <w:t>。（投标文件中提供车辆购置发票或车辆购买、租赁合同（协议） 及车辆铭牌照片或车辆合格证扫描件并投标人加盖公章，否则作投标无效处理。）</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 根据现场情况自行接电、安装夜间照明设施。</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 根据现场情况提供钢板路基箱，铺设宽度不低于6m作为库区进场道路，自行采购压膜预制件。</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 设备使用过程中所发生的一切相关费用由中标人承担。</w:t>
      </w:r>
    </w:p>
    <w:p>
      <w:pPr>
        <w:autoSpaceDE w:val="0"/>
        <w:autoSpaceDN w:val="0"/>
        <w:adjustRightInd w:val="0"/>
        <w:snapToGrid w:val="0"/>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★2.人员配备要求</w:t>
      </w:r>
    </w:p>
    <w:p>
      <w:pPr>
        <w:autoSpaceDE w:val="0"/>
        <w:autoSpaceDN w:val="0"/>
        <w:adjustRightInd w:val="0"/>
        <w:snapToGrid w:val="0"/>
        <w:spacing w:line="360" w:lineRule="auto"/>
        <w:ind w:firstLine="482" w:firstLineChars="200"/>
        <w:rPr>
          <w:rFonts w:ascii="宋体" w:hAnsi="宋体" w:cs="宋体"/>
          <w:b/>
          <w:bCs/>
          <w:color w:val="000000" w:themeColor="text1"/>
          <w:sz w:val="24"/>
          <w:szCs w:val="24"/>
          <w:highlight w:val="none"/>
          <w:u w:val="single"/>
          <w14:textFill>
            <w14:solidFill>
              <w14:schemeClr w14:val="tx1"/>
            </w14:solidFill>
          </w14:textFill>
        </w:rPr>
      </w:pPr>
      <w:r>
        <w:rPr>
          <w:rFonts w:hint="eastAsia" w:ascii="宋体" w:hAnsi="宋体" w:cs="宋体"/>
          <w:b/>
          <w:bCs/>
          <w:color w:val="000000" w:themeColor="text1"/>
          <w:sz w:val="24"/>
          <w:szCs w:val="24"/>
          <w:highlight w:val="none"/>
          <w:u w:val="single"/>
          <w14:textFill>
            <w14:solidFill>
              <w14:schemeClr w14:val="tx1"/>
            </w14:solidFill>
          </w14:textFill>
        </w:rPr>
        <w:t>投标人须配备项目经理一名；项目技术负责人一名；吊车驾驶员不少于一名；安全员不少于一名；</w:t>
      </w:r>
      <w:r>
        <w:rPr>
          <w:rFonts w:hint="eastAsia" w:ascii="宋体" w:hAnsi="宋体" w:cs="宋体"/>
          <w:b/>
          <w:bCs/>
          <w:sz w:val="24"/>
          <w:szCs w:val="24"/>
          <w:highlight w:val="none"/>
          <w:u w:val="single"/>
        </w:rPr>
        <w:t>操作工人不少于10名。（自运营之日起，乙方需使用甲方现有飞灰填埋作业辅工人员，共10人，并支付其不限于现有标准的全部薪资和社会保险等福利待遇，</w:t>
      </w:r>
      <w:r>
        <w:rPr>
          <w:rFonts w:hint="eastAsia" w:ascii="宋体" w:hAnsi="宋体" w:cs="宋体"/>
          <w:b/>
          <w:bCs/>
          <w:color w:val="000000" w:themeColor="text1"/>
          <w:sz w:val="24"/>
          <w:szCs w:val="24"/>
          <w:highlight w:val="none"/>
          <w:u w:val="single"/>
          <w14:textFill>
            <w14:solidFill>
              <w14:schemeClr w14:val="tx1"/>
            </w14:solidFill>
          </w14:textFill>
        </w:rPr>
        <w:t>承诺为驻焚烧灰渣处置场所有服务人员购买法律规定的五险、意外伤害保险、雇主责任险等保险。投标人提供书面承诺函并加盖投标人公章，否则作投标无效处理）。现有10名作业辅工人员全部薪资和社会保险等福利待遇为488280元/年。</w:t>
      </w:r>
    </w:p>
    <w:p>
      <w:pPr>
        <w:autoSpaceDE w:val="0"/>
        <w:autoSpaceDN w:val="0"/>
        <w:adjustRightInd w:val="0"/>
        <w:snapToGrid w:val="0"/>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3.覆盖材料</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自行采购约3万平米1.0mm HDPE 膜进行覆盖(具体数量以满足现场覆盖为准)，购买膜、覆膜、焊膜、压膜材料等所需的一切相关费用由中标人自行承担。HDPE膜厚度不小于1.0mm,同时符合CJ/T234-2006标准。</w:t>
      </w:r>
    </w:p>
    <w:p>
      <w:pPr>
        <w:pStyle w:val="4"/>
        <w:spacing w:line="360" w:lineRule="auto"/>
        <w:rPr>
          <w:rFonts w:ascii="宋体" w:hAnsi="宋体" w:eastAsia="宋体" w:cs="宋体"/>
          <w:b/>
          <w:bCs/>
          <w:color w:val="000000" w:themeColor="text1"/>
          <w:sz w:val="24"/>
          <w:szCs w:val="24"/>
          <w:highlight w:val="none"/>
          <w14:textFill>
            <w14:solidFill>
              <w14:schemeClr w14:val="tx1"/>
            </w14:solidFill>
          </w14:textFill>
        </w:rPr>
      </w:pPr>
      <w:bookmarkStart w:id="130" w:name="_Toc152531544"/>
      <w:r>
        <w:rPr>
          <w:rFonts w:hint="eastAsia" w:ascii="宋体" w:hAnsi="宋体" w:eastAsia="宋体" w:cs="宋体"/>
          <w:b/>
          <w:bCs/>
          <w:color w:val="000000" w:themeColor="text1"/>
          <w:sz w:val="24"/>
          <w:szCs w:val="24"/>
          <w:highlight w:val="none"/>
          <w14:textFill>
            <w14:solidFill>
              <w14:schemeClr w14:val="tx1"/>
            </w14:solidFill>
          </w14:textFill>
        </w:rPr>
        <w:t>四、服务期限与开始运营时间</w:t>
      </w:r>
      <w:bookmarkEnd w:id="130"/>
    </w:p>
    <w:p>
      <w:pPr>
        <w:spacing w:line="360" w:lineRule="auto"/>
        <w:ind w:firstLine="480"/>
        <w:rPr>
          <w:rFonts w:ascii="宋体" w:hAnsi="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★1.服务期限：自合同签订之日起 36个月（如遇特殊情况或不可抗力可顺延）。</w:t>
      </w:r>
      <w:r>
        <w:rPr>
          <w:rFonts w:hint="eastAsia" w:ascii="宋体" w:hAnsi="宋体"/>
          <w:color w:val="000000" w:themeColor="text1"/>
          <w:sz w:val="24"/>
          <w:szCs w:val="28"/>
          <w:highlight w:val="none"/>
          <w14:textFill>
            <w14:solidFill>
              <w14:schemeClr w14:val="tx1"/>
            </w14:solidFill>
          </w14:textFill>
        </w:rPr>
        <w:t>合同一年一签。一年度合同服务期满后，采购人考核合格后续签下一年度合同，否则将重新组织招标。</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2.开始运营时间：自合同签订之日起15天内人员、设备进场。</w:t>
      </w:r>
    </w:p>
    <w:p>
      <w:pPr>
        <w:pStyle w:val="4"/>
        <w:spacing w:line="360" w:lineRule="auto"/>
        <w:rPr>
          <w:rFonts w:ascii="宋体" w:hAnsi="宋体" w:eastAsia="宋体" w:cs="宋体"/>
          <w:b/>
          <w:bCs/>
          <w:color w:val="000000" w:themeColor="text1"/>
          <w:sz w:val="24"/>
          <w:szCs w:val="24"/>
          <w:highlight w:val="none"/>
          <w14:textFill>
            <w14:solidFill>
              <w14:schemeClr w14:val="tx1"/>
            </w14:solidFill>
          </w14:textFill>
        </w:rPr>
      </w:pPr>
      <w:bookmarkStart w:id="131" w:name="_Toc152531545"/>
      <w:r>
        <w:rPr>
          <w:rFonts w:hint="eastAsia" w:ascii="宋体" w:hAnsi="宋体" w:eastAsia="宋体" w:cs="宋体"/>
          <w:b/>
          <w:bCs/>
          <w:color w:val="000000" w:themeColor="text1"/>
          <w:sz w:val="24"/>
          <w:szCs w:val="24"/>
          <w:highlight w:val="none"/>
          <w14:textFill>
            <w14:solidFill>
              <w14:schemeClr w14:val="tx1"/>
            </w14:solidFill>
          </w14:textFill>
        </w:rPr>
        <w:t>五、监管、考核办法及考核标准</w:t>
      </w:r>
      <w:bookmarkEnd w:id="131"/>
    </w:p>
    <w:p>
      <w:pPr>
        <w:autoSpaceDE w:val="0"/>
        <w:autoSpaceDN w:val="0"/>
        <w:adjustRightInd w:val="0"/>
        <w:snapToGrid w:val="0"/>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1.监管</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根据市场化运营、规范化管理的原则，采购人与运营单位签订飞灰吊装运营合同，明确双方的责任、权利与义务，并通过对填埋场运营的日常监管理和考评，形成有效的监督管理考评机制。</w:t>
      </w:r>
    </w:p>
    <w:p>
      <w:pPr>
        <w:autoSpaceDE w:val="0"/>
        <w:autoSpaceDN w:val="0"/>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由采购人对填埋场的日常运行管理监管，以定期抽查或驻场的形式开展对运行单位的监管，并定期对填埋场的运行情况进行量化考核，考核结果作为运营服务费的支付依据。</w:t>
      </w:r>
    </w:p>
    <w:p>
      <w:pPr>
        <w:autoSpaceDE w:val="0"/>
        <w:autoSpaceDN w:val="0"/>
        <w:adjustRightInd w:val="0"/>
        <w:snapToGrid w:val="0"/>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2.考核办法</w:t>
      </w:r>
    </w:p>
    <w:p>
      <w:pPr>
        <w:adjustRightInd w:val="0"/>
        <w:snapToGri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焚烧灰渣处置场飞灰填埋服务运营期间，每 3 个月为一个考核期，考核方式为累积式扣分，并将考核结果作为</w:t>
      </w:r>
      <w:r>
        <w:rPr>
          <w:rFonts w:hint="eastAsia" w:ascii="宋体" w:hAnsi="宋体" w:cs="宋体"/>
          <w:sz w:val="24"/>
          <w:szCs w:val="24"/>
          <w:highlight w:val="none"/>
          <w:lang w:val="en-US" w:eastAsia="zh-CN"/>
        </w:rPr>
        <w:t>运营管理</w:t>
      </w:r>
      <w:r>
        <w:rPr>
          <w:rFonts w:hint="eastAsia" w:ascii="宋体" w:hAnsi="宋体" w:cs="宋体"/>
          <w:sz w:val="24"/>
          <w:szCs w:val="24"/>
          <w:highlight w:val="none"/>
        </w:rPr>
        <w:t>服务费支付依据。每次考核得分在 90 分及以上，采购人全额支付</w:t>
      </w:r>
      <w:r>
        <w:rPr>
          <w:rFonts w:hint="eastAsia" w:ascii="宋体" w:hAnsi="宋体" w:cs="宋体"/>
          <w:sz w:val="24"/>
          <w:szCs w:val="24"/>
          <w:highlight w:val="none"/>
          <w:lang w:val="en-US" w:eastAsia="zh-CN"/>
        </w:rPr>
        <w:t>当季度运营</w:t>
      </w:r>
      <w:r>
        <w:rPr>
          <w:rFonts w:hint="eastAsia" w:ascii="宋体" w:hAnsi="宋体" w:cs="宋体"/>
          <w:sz w:val="24"/>
          <w:szCs w:val="24"/>
          <w:highlight w:val="none"/>
        </w:rPr>
        <w:t>费用；每次考核得分为80—90分（含80分），采购人有权扣除</w:t>
      </w:r>
      <w:r>
        <w:rPr>
          <w:rFonts w:hint="eastAsia" w:ascii="宋体" w:hAnsi="宋体" w:cs="宋体"/>
          <w:sz w:val="24"/>
          <w:szCs w:val="24"/>
          <w:highlight w:val="none"/>
          <w:lang w:val="en-US" w:eastAsia="zh-CN"/>
        </w:rPr>
        <w:t>当季度运营</w:t>
      </w:r>
      <w:r>
        <w:rPr>
          <w:rFonts w:hint="eastAsia" w:ascii="宋体" w:hAnsi="宋体" w:cs="宋体"/>
          <w:sz w:val="24"/>
          <w:szCs w:val="24"/>
          <w:highlight w:val="none"/>
        </w:rPr>
        <w:t>费用的5%；每次考核得分为70—80分（含70分），采购人有权扣当</w:t>
      </w:r>
      <w:r>
        <w:rPr>
          <w:rFonts w:hint="eastAsia" w:ascii="宋体" w:hAnsi="宋体" w:cs="宋体"/>
          <w:sz w:val="24"/>
          <w:szCs w:val="24"/>
          <w:highlight w:val="none"/>
          <w:lang w:val="en-US" w:eastAsia="zh-CN"/>
        </w:rPr>
        <w:t>季度运营</w:t>
      </w:r>
      <w:r>
        <w:rPr>
          <w:rFonts w:hint="eastAsia" w:ascii="宋体" w:hAnsi="宋体" w:cs="宋体"/>
          <w:sz w:val="24"/>
          <w:szCs w:val="24"/>
          <w:highlight w:val="none"/>
        </w:rPr>
        <w:t>费用的10%；70分（不含70分）以下，采购人有权扣当次服务扣减当季度运营费用的15%。</w:t>
      </w:r>
    </w:p>
    <w:p>
      <w:pPr>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连续3次考核得分70分（不含70分）以下，采购人有权终止合同，由中标人承担采购人的损失。</w:t>
      </w:r>
    </w:p>
    <w:p>
      <w:pPr>
        <w:autoSpaceDE w:val="0"/>
        <w:autoSpaceDN w:val="0"/>
        <w:adjustRightInd w:val="0"/>
        <w:snapToGrid w:val="0"/>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3.考核标准</w:t>
      </w:r>
    </w:p>
    <w:p>
      <w:pPr>
        <w:adjustRightInd w:val="0"/>
        <w:snapToGri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填埋场的运营过程及质量应达到《稳定化飞灰填埋场运行维护技术规程》（CJJ 93）、《稳定化飞灰填埋处理技术规范》（GB 50869）和《生活垃圾填埋场污染控制标准》（ GB16889-2008）、《生活垃圾焚烧稳定化飞灰填埋处置技术标准》（DB32/T 4076-2021）的要求。</w:t>
      </w:r>
    </w:p>
    <w:p>
      <w:pPr>
        <w:adjustRightInd w:val="0"/>
        <w:snapToGrid w:val="0"/>
        <w:spacing w:before="240" w:line="360" w:lineRule="auto"/>
        <w:ind w:firstLine="474" w:firstLineChars="200"/>
        <w:jc w:val="center"/>
        <w:rPr>
          <w:rFonts w:hint="eastAsia" w:ascii="宋体" w:hAnsi="宋体" w:cs="宋体"/>
          <w:b/>
          <w:bCs/>
          <w:color w:val="000000" w:themeColor="text1"/>
          <w:spacing w:val="-2"/>
          <w:sz w:val="24"/>
          <w:szCs w:val="24"/>
          <w:highlight w:val="none"/>
          <w14:textFill>
            <w14:solidFill>
              <w14:schemeClr w14:val="tx1"/>
            </w14:solidFill>
          </w14:textFill>
        </w:rPr>
      </w:pPr>
    </w:p>
    <w:p>
      <w:pPr>
        <w:adjustRightInd w:val="0"/>
        <w:snapToGrid w:val="0"/>
        <w:spacing w:before="240" w:line="360" w:lineRule="auto"/>
        <w:ind w:firstLine="474" w:firstLineChars="200"/>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pacing w:val="-2"/>
          <w:sz w:val="24"/>
          <w:szCs w:val="24"/>
          <w:highlight w:val="none"/>
          <w14:textFill>
            <w14:solidFill>
              <w14:schemeClr w14:val="tx1"/>
            </w14:solidFill>
          </w14:textFill>
        </w:rPr>
        <w:t>焚烧灰渣处置场</w:t>
      </w:r>
      <w:r>
        <w:rPr>
          <w:rFonts w:ascii="宋体" w:hAnsi="宋体" w:cs="宋体"/>
          <w:b/>
          <w:bCs/>
          <w:color w:val="000000" w:themeColor="text1"/>
          <w:spacing w:val="-2"/>
          <w:sz w:val="24"/>
          <w:szCs w:val="24"/>
          <w:highlight w:val="none"/>
          <w14:textFill>
            <w14:solidFill>
              <w14:schemeClr w14:val="tx1"/>
            </w14:solidFill>
          </w14:textFill>
        </w:rPr>
        <w:t>运营考核标准</w:t>
      </w:r>
    </w:p>
    <w:tbl>
      <w:tblPr>
        <w:tblStyle w:val="1665"/>
        <w:tblW w:w="500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7"/>
        <w:gridCol w:w="1370"/>
        <w:gridCol w:w="3064"/>
        <w:gridCol w:w="312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756" w:type="dxa"/>
          </w:tcPr>
          <w:p>
            <w:pPr>
              <w:pStyle w:val="401"/>
              <w:autoSpaceDE w:val="0"/>
              <w:autoSpaceDN w:val="0"/>
              <w:spacing w:before="53" w:line="240" w:lineRule="auto"/>
              <w:ind w:firstLine="207" w:firstLineChars="100"/>
              <w:rPr>
                <w:rFonts w:ascii="宋体" w:hAnsi="宋体"/>
                <w:b/>
                <w:bCs/>
                <w:sz w:val="21"/>
                <w:highlight w:val="none"/>
                <w:lang w:eastAsia="en-US"/>
              </w:rPr>
            </w:pPr>
            <w:r>
              <w:rPr>
                <w:rFonts w:ascii="宋体" w:hAnsi="宋体"/>
                <w:b/>
                <w:bCs/>
                <w:spacing w:val="-2"/>
                <w:sz w:val="21"/>
                <w:highlight w:val="none"/>
                <w:lang w:eastAsia="en-US"/>
              </w:rPr>
              <w:t>序号</w:t>
            </w:r>
          </w:p>
        </w:tc>
        <w:tc>
          <w:tcPr>
            <w:tcW w:w="1368" w:type="dxa"/>
          </w:tcPr>
          <w:p>
            <w:pPr>
              <w:pStyle w:val="401"/>
              <w:autoSpaceDE w:val="0"/>
              <w:autoSpaceDN w:val="0"/>
              <w:spacing w:before="53" w:line="240" w:lineRule="auto"/>
              <w:ind w:firstLine="207" w:firstLineChars="100"/>
              <w:rPr>
                <w:rFonts w:ascii="宋体" w:hAnsi="宋体"/>
                <w:b/>
                <w:bCs/>
                <w:sz w:val="21"/>
                <w:highlight w:val="none"/>
                <w:lang w:eastAsia="en-US"/>
              </w:rPr>
            </w:pPr>
            <w:r>
              <w:rPr>
                <w:rFonts w:ascii="宋体" w:hAnsi="宋体"/>
                <w:b/>
                <w:bCs/>
                <w:spacing w:val="-2"/>
                <w:sz w:val="21"/>
                <w:highlight w:val="none"/>
                <w:lang w:eastAsia="en-US"/>
              </w:rPr>
              <w:t>考核项目</w:t>
            </w:r>
          </w:p>
        </w:tc>
        <w:tc>
          <w:tcPr>
            <w:tcW w:w="3060" w:type="dxa"/>
          </w:tcPr>
          <w:p>
            <w:pPr>
              <w:pStyle w:val="401"/>
              <w:autoSpaceDE w:val="0"/>
              <w:autoSpaceDN w:val="0"/>
              <w:spacing w:before="53" w:line="240" w:lineRule="auto"/>
              <w:ind w:left="1293"/>
              <w:rPr>
                <w:rFonts w:ascii="宋体" w:hAnsi="宋体"/>
                <w:b/>
                <w:bCs/>
                <w:sz w:val="21"/>
                <w:highlight w:val="none"/>
                <w:lang w:eastAsia="en-US"/>
              </w:rPr>
            </w:pPr>
            <w:r>
              <w:rPr>
                <w:rFonts w:ascii="宋体" w:hAnsi="宋体"/>
                <w:b/>
                <w:bCs/>
                <w:spacing w:val="-2"/>
                <w:sz w:val="21"/>
                <w:highlight w:val="none"/>
                <w:lang w:eastAsia="en-US"/>
              </w:rPr>
              <w:t>考核内容</w:t>
            </w:r>
          </w:p>
        </w:tc>
        <w:tc>
          <w:tcPr>
            <w:tcW w:w="3120" w:type="dxa"/>
          </w:tcPr>
          <w:p>
            <w:pPr>
              <w:pStyle w:val="401"/>
              <w:autoSpaceDE w:val="0"/>
              <w:autoSpaceDN w:val="0"/>
              <w:spacing w:before="53" w:line="240" w:lineRule="auto"/>
              <w:ind w:left="1349"/>
              <w:rPr>
                <w:rFonts w:ascii="宋体" w:hAnsi="宋体"/>
                <w:b/>
                <w:bCs/>
                <w:sz w:val="21"/>
                <w:highlight w:val="none"/>
                <w:lang w:eastAsia="en-US"/>
              </w:rPr>
            </w:pPr>
            <w:r>
              <w:rPr>
                <w:rFonts w:ascii="宋体" w:hAnsi="宋体"/>
                <w:b/>
                <w:bCs/>
                <w:spacing w:val="-3"/>
                <w:sz w:val="21"/>
                <w:highlight w:val="none"/>
                <w:lang w:eastAsia="en-US"/>
              </w:rPr>
              <w:t>扣分标准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jc w:val="center"/>
        </w:trPr>
        <w:tc>
          <w:tcPr>
            <w:tcW w:w="756" w:type="dxa"/>
          </w:tcPr>
          <w:p>
            <w:pPr>
              <w:pStyle w:val="401"/>
              <w:autoSpaceDE w:val="0"/>
              <w:autoSpaceDN w:val="0"/>
              <w:spacing w:before="127" w:line="240" w:lineRule="auto"/>
              <w:ind w:left="25"/>
              <w:jc w:val="center"/>
              <w:rPr>
                <w:rFonts w:ascii="宋体" w:hAnsi="宋体"/>
                <w:sz w:val="21"/>
                <w:highlight w:val="none"/>
                <w:lang w:eastAsia="en-US"/>
              </w:rPr>
            </w:pPr>
            <w:r>
              <w:rPr>
                <w:rFonts w:ascii="宋体" w:hAnsi="宋体"/>
                <w:position w:val="-4"/>
                <w:sz w:val="21"/>
                <w:highlight w:val="none"/>
                <w:lang w:eastAsia="en-US"/>
              </w:rPr>
              <w:t>一</w:t>
            </w:r>
          </w:p>
        </w:tc>
        <w:tc>
          <w:tcPr>
            <w:tcW w:w="7548" w:type="dxa"/>
            <w:gridSpan w:val="3"/>
            <w:vAlign w:val="center"/>
          </w:tcPr>
          <w:p>
            <w:pPr>
              <w:pStyle w:val="401"/>
              <w:autoSpaceDE w:val="0"/>
              <w:autoSpaceDN w:val="0"/>
              <w:spacing w:before="48" w:line="240" w:lineRule="auto"/>
              <w:ind w:left="19"/>
              <w:jc w:val="center"/>
              <w:rPr>
                <w:rFonts w:ascii="宋体" w:hAnsi="宋体"/>
                <w:sz w:val="21"/>
                <w:highlight w:val="none"/>
                <w:lang w:eastAsia="en-US"/>
              </w:rPr>
            </w:pPr>
            <w:r>
              <w:rPr>
                <w:rFonts w:ascii="宋体" w:hAnsi="宋体"/>
                <w:spacing w:val="-2"/>
                <w:sz w:val="21"/>
                <w:highlight w:val="none"/>
                <w:lang w:eastAsia="en-US"/>
              </w:rPr>
              <w:t>制度管理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6" w:hRule="atLeast"/>
          <w:jc w:val="center"/>
        </w:trPr>
        <w:tc>
          <w:tcPr>
            <w:tcW w:w="756" w:type="dxa"/>
            <w:vMerge w:val="restart"/>
            <w:tcBorders>
              <w:bottom w:val="nil"/>
            </w:tcBorders>
            <w:vAlign w:val="center"/>
          </w:tcPr>
          <w:p>
            <w:pPr>
              <w:pStyle w:val="401"/>
              <w:autoSpaceDE w:val="0"/>
              <w:autoSpaceDN w:val="0"/>
              <w:spacing w:before="68" w:line="240" w:lineRule="auto"/>
              <w:ind w:left="38"/>
              <w:jc w:val="center"/>
              <w:rPr>
                <w:rFonts w:ascii="宋体" w:hAnsi="宋体"/>
                <w:sz w:val="21"/>
                <w:highlight w:val="none"/>
                <w:lang w:eastAsia="en-US"/>
              </w:rPr>
            </w:pPr>
            <w:r>
              <w:rPr>
                <w:rFonts w:ascii="宋体" w:hAnsi="宋体"/>
                <w:spacing w:val="-5"/>
                <w:sz w:val="21"/>
                <w:highlight w:val="none"/>
                <w:lang w:eastAsia="en-US"/>
              </w:rPr>
              <w:t>1.1</w:t>
            </w:r>
          </w:p>
        </w:tc>
        <w:tc>
          <w:tcPr>
            <w:tcW w:w="1368" w:type="dxa"/>
            <w:vMerge w:val="restart"/>
            <w:tcBorders>
              <w:bottom w:val="nil"/>
            </w:tcBorders>
            <w:vAlign w:val="center"/>
          </w:tcPr>
          <w:p>
            <w:pPr>
              <w:pStyle w:val="401"/>
              <w:autoSpaceDE w:val="0"/>
              <w:autoSpaceDN w:val="0"/>
              <w:spacing w:before="68" w:line="240" w:lineRule="auto"/>
              <w:ind w:left="19"/>
              <w:jc w:val="center"/>
              <w:rPr>
                <w:rFonts w:ascii="宋体" w:hAnsi="宋体"/>
                <w:sz w:val="21"/>
                <w:highlight w:val="none"/>
                <w:lang w:eastAsia="en-US"/>
              </w:rPr>
            </w:pPr>
            <w:r>
              <w:rPr>
                <w:rFonts w:ascii="宋体" w:hAnsi="宋体"/>
                <w:spacing w:val="-2"/>
                <w:sz w:val="21"/>
                <w:highlight w:val="none"/>
                <w:lang w:eastAsia="en-US"/>
              </w:rPr>
              <w:t>制度管理</w:t>
            </w:r>
          </w:p>
        </w:tc>
        <w:tc>
          <w:tcPr>
            <w:tcW w:w="3060" w:type="dxa"/>
            <w:vAlign w:val="center"/>
          </w:tcPr>
          <w:p>
            <w:pPr>
              <w:pStyle w:val="401"/>
              <w:autoSpaceDE w:val="0"/>
              <w:autoSpaceDN w:val="0"/>
              <w:spacing w:before="191" w:line="240" w:lineRule="auto"/>
              <w:ind w:left="21" w:firstLine="12"/>
              <w:jc w:val="both"/>
              <w:rPr>
                <w:rFonts w:ascii="宋体" w:hAnsi="宋体"/>
                <w:sz w:val="21"/>
                <w:highlight w:val="none"/>
                <w:lang w:eastAsia="en-US"/>
              </w:rPr>
            </w:pPr>
            <w:r>
              <w:rPr>
                <w:rFonts w:ascii="宋体" w:hAnsi="宋体"/>
                <w:spacing w:val="-17"/>
                <w:sz w:val="21"/>
                <w:highlight w:val="none"/>
                <w:lang w:eastAsia="en-US"/>
              </w:rPr>
              <w:t>1、飞灰填埋各项规章制度、操作规程、</w:t>
            </w:r>
            <w:r>
              <w:rPr>
                <w:rFonts w:ascii="宋体" w:hAnsi="宋体"/>
                <w:spacing w:val="-5"/>
                <w:sz w:val="21"/>
                <w:highlight w:val="none"/>
                <w:lang w:eastAsia="en-US"/>
              </w:rPr>
              <w:t>安全生产标识、运行台账记录等，保</w:t>
            </w:r>
            <w:r>
              <w:rPr>
                <w:rFonts w:ascii="宋体" w:hAnsi="宋体"/>
                <w:spacing w:val="-4"/>
                <w:sz w:val="21"/>
                <w:highlight w:val="none"/>
                <w:lang w:eastAsia="en-US"/>
              </w:rPr>
              <w:t>持制度牌整洁、完好和台账完整。</w:t>
            </w:r>
          </w:p>
        </w:tc>
        <w:tc>
          <w:tcPr>
            <w:tcW w:w="3120" w:type="dxa"/>
            <w:vAlign w:val="center"/>
          </w:tcPr>
          <w:p>
            <w:pPr>
              <w:pStyle w:val="401"/>
              <w:numPr>
                <w:ilvl w:val="255"/>
                <w:numId w:val="0"/>
              </w:numPr>
              <w:autoSpaceDE w:val="0"/>
              <w:autoSpaceDN w:val="0"/>
              <w:spacing w:before="51" w:line="240" w:lineRule="auto"/>
              <w:ind w:left="36" w:right="40"/>
              <w:jc w:val="both"/>
              <w:rPr>
                <w:rFonts w:ascii="宋体" w:hAnsi="宋体"/>
                <w:spacing w:val="-2"/>
                <w:sz w:val="21"/>
                <w:highlight w:val="none"/>
                <w:lang w:eastAsia="en-US"/>
              </w:rPr>
            </w:pPr>
            <w:r>
              <w:rPr>
                <w:rFonts w:hint="eastAsia" w:ascii="宋体" w:hAnsi="宋体"/>
                <w:spacing w:val="-2"/>
                <w:sz w:val="21"/>
                <w:highlight w:val="none"/>
                <w:lang w:eastAsia="en-US"/>
              </w:rPr>
              <w:t>1.运行台账记录不及时、不规范、缺失或数据统计错误，0.5分/处；</w:t>
            </w:r>
          </w:p>
          <w:p>
            <w:pPr>
              <w:pStyle w:val="401"/>
              <w:numPr>
                <w:ilvl w:val="255"/>
                <w:numId w:val="0"/>
              </w:numPr>
              <w:autoSpaceDE w:val="0"/>
              <w:autoSpaceDN w:val="0"/>
              <w:spacing w:before="51" w:line="240" w:lineRule="auto"/>
              <w:ind w:left="36" w:right="40"/>
              <w:jc w:val="both"/>
              <w:rPr>
                <w:rFonts w:ascii="宋体" w:hAnsi="宋体"/>
                <w:spacing w:val="-6"/>
                <w:sz w:val="21"/>
                <w:highlight w:val="none"/>
                <w:lang w:eastAsia="en-US"/>
              </w:rPr>
            </w:pPr>
            <w:r>
              <w:rPr>
                <w:rFonts w:hint="eastAsia" w:ascii="宋体" w:hAnsi="宋体"/>
                <w:spacing w:val="-2"/>
                <w:sz w:val="21"/>
                <w:highlight w:val="none"/>
                <w:lang w:eastAsia="en-US"/>
              </w:rPr>
              <w:t>2.场区安全管理规章制度</w:t>
            </w:r>
            <w:r>
              <w:rPr>
                <w:rFonts w:ascii="宋体" w:hAnsi="宋体"/>
                <w:spacing w:val="-2"/>
                <w:sz w:val="21"/>
                <w:highlight w:val="none"/>
                <w:lang w:eastAsia="en-US"/>
              </w:rPr>
              <w:t>未按规定上墙、设置不规范、不醒</w:t>
            </w:r>
            <w:r>
              <w:rPr>
                <w:rFonts w:ascii="宋体" w:hAnsi="宋体"/>
                <w:spacing w:val="-6"/>
                <w:sz w:val="21"/>
                <w:highlight w:val="none"/>
                <w:lang w:eastAsia="en-US"/>
              </w:rPr>
              <w:t>目、污损扣 0.5</w:t>
            </w:r>
            <w:r>
              <w:rPr>
                <w:rFonts w:ascii="宋体" w:hAnsi="宋体"/>
                <w:spacing w:val="-1"/>
                <w:sz w:val="21"/>
                <w:highlight w:val="none"/>
                <w:lang w:eastAsia="en-US"/>
              </w:rPr>
              <w:t>分/处；未按照招标文件、相关文件规</w:t>
            </w:r>
            <w:r>
              <w:rPr>
                <w:rFonts w:ascii="宋体" w:hAnsi="宋体"/>
                <w:spacing w:val="-6"/>
                <w:sz w:val="21"/>
                <w:highlight w:val="none"/>
                <w:lang w:eastAsia="en-US"/>
              </w:rPr>
              <w:t>范设置的每项扣1分</w:t>
            </w:r>
            <w:r>
              <w:rPr>
                <w:rFonts w:hint="eastAsia" w:ascii="宋体" w:hAnsi="宋体"/>
                <w:spacing w:val="-6"/>
                <w:sz w:val="21"/>
                <w:highlight w:val="none"/>
                <w:lang w:eastAsia="en-US"/>
              </w:rPr>
              <w:t>；</w:t>
            </w:r>
          </w:p>
          <w:p>
            <w:pPr>
              <w:pStyle w:val="401"/>
              <w:numPr>
                <w:ilvl w:val="255"/>
                <w:numId w:val="0"/>
              </w:numPr>
              <w:autoSpaceDE w:val="0"/>
              <w:autoSpaceDN w:val="0"/>
              <w:spacing w:before="51" w:line="240" w:lineRule="auto"/>
              <w:ind w:left="36" w:right="40"/>
              <w:jc w:val="both"/>
              <w:rPr>
                <w:rFonts w:ascii="宋体" w:hAnsi="宋体"/>
                <w:spacing w:val="-6"/>
                <w:sz w:val="21"/>
                <w:highlight w:val="none"/>
                <w:lang w:eastAsia="en-US"/>
              </w:rPr>
            </w:pPr>
            <w:r>
              <w:rPr>
                <w:rFonts w:hint="eastAsia" w:ascii="宋体" w:hAnsi="宋体"/>
                <w:spacing w:val="-6"/>
                <w:sz w:val="21"/>
                <w:highlight w:val="none"/>
                <w:lang w:eastAsia="en-US"/>
              </w:rPr>
              <w:t>3.落实场区每日巡查、检查，并做好登记，巡检不落实或不记录扣0.5分/次；</w:t>
            </w:r>
          </w:p>
          <w:p>
            <w:pPr>
              <w:pStyle w:val="401"/>
              <w:numPr>
                <w:ilvl w:val="255"/>
                <w:numId w:val="0"/>
              </w:numPr>
              <w:autoSpaceDE w:val="0"/>
              <w:autoSpaceDN w:val="0"/>
              <w:spacing w:before="51" w:line="240" w:lineRule="auto"/>
              <w:ind w:left="36" w:right="40"/>
              <w:jc w:val="both"/>
              <w:rPr>
                <w:rFonts w:ascii="宋体" w:hAnsi="宋体"/>
                <w:sz w:val="21"/>
                <w:highlight w:val="none"/>
                <w:lang w:eastAsia="en-US"/>
              </w:rPr>
            </w:pPr>
            <w:r>
              <w:rPr>
                <w:rFonts w:hint="eastAsia" w:ascii="宋体" w:hAnsi="宋体"/>
                <w:spacing w:val="-6"/>
                <w:sz w:val="21"/>
                <w:highlight w:val="none"/>
                <w:lang w:eastAsia="en-US"/>
              </w:rPr>
              <w:t>4.每月开展安全隐患排查，排查不落实、不细致，扣0.5分/次。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2" w:hRule="atLeast"/>
          <w:jc w:val="center"/>
        </w:trPr>
        <w:tc>
          <w:tcPr>
            <w:tcW w:w="756" w:type="dxa"/>
            <w:vMerge w:val="continue"/>
            <w:tcBorders>
              <w:top w:val="nil"/>
              <w:bottom w:val="nil"/>
            </w:tcBorders>
          </w:tcPr>
          <w:p>
            <w:pPr>
              <w:autoSpaceDE w:val="0"/>
              <w:autoSpaceDN w:val="0"/>
              <w:jc w:val="center"/>
              <w:rPr>
                <w:rFonts w:ascii="宋体" w:hAnsi="宋体"/>
                <w:sz w:val="20"/>
                <w:highlight w:val="none"/>
                <w:lang w:eastAsia="en-US"/>
              </w:rPr>
            </w:pPr>
          </w:p>
        </w:tc>
        <w:tc>
          <w:tcPr>
            <w:tcW w:w="1368" w:type="dxa"/>
            <w:vMerge w:val="continue"/>
            <w:tcBorders>
              <w:top w:val="nil"/>
              <w:bottom w:val="nil"/>
            </w:tcBorders>
          </w:tcPr>
          <w:p>
            <w:pPr>
              <w:autoSpaceDE w:val="0"/>
              <w:autoSpaceDN w:val="0"/>
              <w:jc w:val="left"/>
              <w:rPr>
                <w:rFonts w:ascii="宋体" w:hAnsi="宋体"/>
                <w:sz w:val="20"/>
                <w:highlight w:val="none"/>
                <w:lang w:eastAsia="en-US"/>
              </w:rPr>
            </w:pPr>
          </w:p>
        </w:tc>
        <w:tc>
          <w:tcPr>
            <w:tcW w:w="3060" w:type="dxa"/>
            <w:vAlign w:val="center"/>
          </w:tcPr>
          <w:p>
            <w:pPr>
              <w:pStyle w:val="401"/>
              <w:autoSpaceDE w:val="0"/>
              <w:autoSpaceDN w:val="0"/>
              <w:spacing w:before="56" w:line="240" w:lineRule="auto"/>
              <w:ind w:left="20" w:right="22" w:firstLine="1"/>
              <w:jc w:val="both"/>
              <w:rPr>
                <w:rFonts w:ascii="宋体" w:hAnsi="宋体"/>
                <w:sz w:val="21"/>
                <w:highlight w:val="none"/>
                <w:lang w:eastAsia="en-US"/>
              </w:rPr>
            </w:pPr>
            <w:r>
              <w:rPr>
                <w:rFonts w:ascii="宋体" w:hAnsi="宋体"/>
                <w:spacing w:val="-6"/>
                <w:sz w:val="21"/>
                <w:highlight w:val="none"/>
                <w:lang w:eastAsia="en-US"/>
              </w:rPr>
              <w:t>2、操作人员培训合格后方能上岗；工</w:t>
            </w:r>
            <w:r>
              <w:rPr>
                <w:rFonts w:ascii="宋体" w:hAnsi="宋体"/>
                <w:spacing w:val="-1"/>
                <w:sz w:val="21"/>
                <w:highlight w:val="none"/>
                <w:lang w:eastAsia="en-US"/>
              </w:rPr>
              <w:t>作期间要求统一着装，佩证上岗，文</w:t>
            </w:r>
            <w:r>
              <w:rPr>
                <w:rFonts w:ascii="宋体" w:hAnsi="宋体"/>
                <w:spacing w:val="-2"/>
                <w:sz w:val="21"/>
                <w:highlight w:val="none"/>
                <w:lang w:eastAsia="en-US"/>
              </w:rPr>
              <w:t>明服务。</w:t>
            </w:r>
          </w:p>
        </w:tc>
        <w:tc>
          <w:tcPr>
            <w:tcW w:w="3120" w:type="dxa"/>
            <w:vAlign w:val="center"/>
          </w:tcPr>
          <w:p>
            <w:pPr>
              <w:pStyle w:val="401"/>
              <w:autoSpaceDE w:val="0"/>
              <w:autoSpaceDN w:val="0"/>
              <w:spacing w:before="193" w:line="240" w:lineRule="auto"/>
              <w:ind w:right="14"/>
              <w:jc w:val="both"/>
              <w:rPr>
                <w:rFonts w:ascii="宋体" w:hAnsi="宋体"/>
                <w:spacing w:val="-5"/>
                <w:sz w:val="21"/>
                <w:highlight w:val="none"/>
                <w:lang w:eastAsia="en-US"/>
              </w:rPr>
            </w:pPr>
            <w:r>
              <w:rPr>
                <w:rFonts w:hint="eastAsia" w:ascii="宋体" w:hAnsi="宋体"/>
                <w:spacing w:val="-3"/>
                <w:sz w:val="21"/>
                <w:highlight w:val="none"/>
                <w:lang w:eastAsia="en-US"/>
              </w:rPr>
              <w:t>1.</w:t>
            </w:r>
            <w:r>
              <w:rPr>
                <w:rFonts w:ascii="宋体" w:hAnsi="宋体"/>
                <w:spacing w:val="-3"/>
                <w:sz w:val="21"/>
                <w:highlight w:val="none"/>
                <w:lang w:eastAsia="en-US"/>
              </w:rPr>
              <w:t>未按规定着装、佩戴工作证扣0.5</w:t>
            </w:r>
            <w:r>
              <w:rPr>
                <w:rFonts w:ascii="宋体" w:hAnsi="宋体"/>
                <w:spacing w:val="-5"/>
                <w:sz w:val="21"/>
                <w:highlight w:val="none"/>
                <w:lang w:eastAsia="en-US"/>
              </w:rPr>
              <w:t>分/人次</w:t>
            </w:r>
            <w:r>
              <w:rPr>
                <w:rFonts w:hint="eastAsia" w:ascii="宋体" w:hAnsi="宋体"/>
                <w:spacing w:val="-5"/>
                <w:sz w:val="21"/>
                <w:highlight w:val="none"/>
                <w:lang w:eastAsia="en-US"/>
              </w:rPr>
              <w:t>；</w:t>
            </w:r>
          </w:p>
          <w:p>
            <w:pPr>
              <w:pStyle w:val="401"/>
              <w:autoSpaceDE w:val="0"/>
              <w:autoSpaceDN w:val="0"/>
              <w:spacing w:before="193" w:line="240" w:lineRule="auto"/>
              <w:ind w:right="14"/>
              <w:jc w:val="both"/>
              <w:rPr>
                <w:rFonts w:ascii="宋体" w:hAnsi="宋体"/>
                <w:spacing w:val="-5"/>
                <w:sz w:val="21"/>
                <w:highlight w:val="none"/>
                <w:lang w:eastAsia="en-US"/>
              </w:rPr>
            </w:pPr>
            <w:r>
              <w:rPr>
                <w:rFonts w:hint="eastAsia" w:ascii="宋体" w:hAnsi="宋体"/>
                <w:spacing w:val="-5"/>
                <w:sz w:val="21"/>
                <w:highlight w:val="none"/>
                <w:lang w:eastAsia="en-US"/>
              </w:rPr>
              <w:t>2.飞灰填埋作业时，未按规范佩戴相应劳保防护用品（安全帽、防护口罩等）</w:t>
            </w:r>
            <w:r>
              <w:rPr>
                <w:rFonts w:ascii="宋体" w:hAnsi="宋体"/>
                <w:spacing w:val="-3"/>
                <w:sz w:val="21"/>
                <w:highlight w:val="none"/>
                <w:lang w:eastAsia="en-US"/>
              </w:rPr>
              <w:t>扣0.5</w:t>
            </w:r>
            <w:r>
              <w:rPr>
                <w:rFonts w:ascii="宋体" w:hAnsi="宋体"/>
                <w:spacing w:val="-5"/>
                <w:sz w:val="21"/>
                <w:highlight w:val="none"/>
                <w:lang w:eastAsia="en-US"/>
              </w:rPr>
              <w:t>分/人次</w:t>
            </w:r>
            <w:r>
              <w:rPr>
                <w:rFonts w:hint="eastAsia" w:ascii="宋体" w:hAnsi="宋体"/>
                <w:spacing w:val="-5"/>
                <w:sz w:val="21"/>
                <w:highlight w:val="none"/>
                <w:lang w:eastAsia="en-US"/>
              </w:rPr>
              <w:t>；</w:t>
            </w:r>
          </w:p>
          <w:p>
            <w:pPr>
              <w:pStyle w:val="401"/>
              <w:numPr>
                <w:ilvl w:val="255"/>
                <w:numId w:val="0"/>
              </w:numPr>
              <w:autoSpaceDE w:val="0"/>
              <w:autoSpaceDN w:val="0"/>
              <w:spacing w:before="193" w:line="240" w:lineRule="auto"/>
              <w:ind w:right="14"/>
              <w:jc w:val="both"/>
              <w:rPr>
                <w:rFonts w:ascii="宋体" w:hAnsi="宋体"/>
                <w:spacing w:val="-5"/>
                <w:sz w:val="21"/>
                <w:highlight w:val="none"/>
                <w:lang w:eastAsia="en-US"/>
              </w:rPr>
            </w:pPr>
            <w:r>
              <w:rPr>
                <w:rFonts w:hint="eastAsia" w:ascii="宋体" w:hAnsi="宋体"/>
                <w:spacing w:val="-5"/>
                <w:sz w:val="21"/>
                <w:highlight w:val="none"/>
                <w:lang w:eastAsia="en-US"/>
              </w:rPr>
              <w:t>3.飞灰填埋作业过程不按规范作业</w:t>
            </w:r>
            <w:r>
              <w:rPr>
                <w:rFonts w:ascii="宋体" w:hAnsi="宋体"/>
                <w:spacing w:val="-3"/>
                <w:sz w:val="21"/>
                <w:highlight w:val="none"/>
                <w:lang w:eastAsia="en-US"/>
              </w:rPr>
              <w:t>扣</w:t>
            </w:r>
            <w:r>
              <w:rPr>
                <w:rFonts w:hint="eastAsia" w:ascii="宋体" w:hAnsi="宋体"/>
                <w:spacing w:val="-3"/>
                <w:sz w:val="21"/>
                <w:highlight w:val="none"/>
                <w:lang w:eastAsia="en-US"/>
              </w:rPr>
              <w:t>2</w:t>
            </w:r>
            <w:r>
              <w:rPr>
                <w:rFonts w:ascii="宋体" w:hAnsi="宋体"/>
                <w:spacing w:val="-5"/>
                <w:sz w:val="21"/>
                <w:highlight w:val="none"/>
                <w:lang w:eastAsia="en-US"/>
              </w:rPr>
              <w:t>分/人次</w:t>
            </w:r>
            <w:r>
              <w:rPr>
                <w:rFonts w:hint="eastAsia" w:ascii="宋体" w:hAnsi="宋体"/>
                <w:spacing w:val="-5"/>
                <w:sz w:val="21"/>
                <w:highlight w:val="none"/>
                <w:lang w:eastAsia="en-US"/>
              </w:rPr>
              <w:t>；</w:t>
            </w:r>
          </w:p>
          <w:p>
            <w:pPr>
              <w:pStyle w:val="401"/>
              <w:numPr>
                <w:ilvl w:val="255"/>
                <w:numId w:val="0"/>
              </w:numPr>
              <w:autoSpaceDE w:val="0"/>
              <w:autoSpaceDN w:val="0"/>
              <w:spacing w:before="193" w:line="240" w:lineRule="auto"/>
              <w:ind w:right="14"/>
              <w:jc w:val="both"/>
              <w:rPr>
                <w:rFonts w:ascii="宋体" w:hAnsi="宋体"/>
                <w:spacing w:val="-5"/>
                <w:sz w:val="21"/>
                <w:highlight w:val="none"/>
                <w:lang w:eastAsia="en-US"/>
              </w:rPr>
            </w:pPr>
            <w:r>
              <w:rPr>
                <w:rFonts w:hint="eastAsia" w:ascii="宋体" w:hAnsi="宋体"/>
                <w:spacing w:val="-5"/>
                <w:sz w:val="21"/>
                <w:highlight w:val="none"/>
                <w:lang w:eastAsia="en-US"/>
              </w:rPr>
              <w:t>4.飞灰填埋作业过程出现危险动作，如吊臂下站人等</w:t>
            </w:r>
            <w:r>
              <w:rPr>
                <w:rFonts w:hint="eastAsia" w:ascii="宋体" w:hAnsi="宋体"/>
                <w:spacing w:val="-3"/>
                <w:sz w:val="21"/>
                <w:highlight w:val="none"/>
                <w:lang w:eastAsia="en-US"/>
              </w:rPr>
              <w:t>1</w:t>
            </w:r>
            <w:r>
              <w:rPr>
                <w:rFonts w:ascii="宋体" w:hAnsi="宋体"/>
                <w:spacing w:val="-5"/>
                <w:sz w:val="21"/>
                <w:highlight w:val="none"/>
                <w:lang w:eastAsia="en-US"/>
              </w:rPr>
              <w:t>分/人次</w:t>
            </w:r>
            <w:r>
              <w:rPr>
                <w:rFonts w:hint="eastAsia" w:ascii="宋体" w:hAnsi="宋体"/>
                <w:spacing w:val="-5"/>
                <w:sz w:val="21"/>
                <w:highlight w:val="none"/>
                <w:lang w:eastAsia="en-US"/>
              </w:rPr>
              <w:t>；</w:t>
            </w:r>
          </w:p>
          <w:p>
            <w:pPr>
              <w:pStyle w:val="401"/>
              <w:numPr>
                <w:ilvl w:val="255"/>
                <w:numId w:val="0"/>
              </w:numPr>
              <w:autoSpaceDE w:val="0"/>
              <w:autoSpaceDN w:val="0"/>
              <w:spacing w:before="193" w:line="240" w:lineRule="auto"/>
              <w:ind w:right="14"/>
              <w:jc w:val="both"/>
              <w:rPr>
                <w:rFonts w:ascii="宋体" w:hAnsi="宋体"/>
                <w:spacing w:val="-5"/>
                <w:sz w:val="21"/>
                <w:highlight w:val="none"/>
                <w:lang w:eastAsia="en-US"/>
              </w:rPr>
            </w:pPr>
            <w:r>
              <w:rPr>
                <w:rFonts w:hint="eastAsia" w:ascii="宋体" w:hAnsi="宋体"/>
                <w:spacing w:val="-5"/>
                <w:sz w:val="21"/>
                <w:highlight w:val="none"/>
                <w:lang w:eastAsia="en-US"/>
              </w:rPr>
              <w:t>5.严格落实填埋库区防火规定，严禁吸烟，</w:t>
            </w:r>
            <w:r>
              <w:rPr>
                <w:rFonts w:ascii="宋体" w:hAnsi="宋体"/>
                <w:spacing w:val="-3"/>
                <w:sz w:val="21"/>
                <w:highlight w:val="none"/>
                <w:lang w:eastAsia="en-US"/>
              </w:rPr>
              <w:t>扣</w:t>
            </w:r>
            <w:r>
              <w:rPr>
                <w:rFonts w:hint="eastAsia" w:ascii="宋体" w:hAnsi="宋体"/>
                <w:spacing w:val="-3"/>
                <w:sz w:val="21"/>
                <w:highlight w:val="none"/>
                <w:lang w:eastAsia="en-US"/>
              </w:rPr>
              <w:t>1</w:t>
            </w:r>
            <w:r>
              <w:rPr>
                <w:rFonts w:ascii="宋体" w:hAnsi="宋体"/>
                <w:spacing w:val="-5"/>
                <w:sz w:val="21"/>
                <w:highlight w:val="none"/>
                <w:lang w:eastAsia="en-US"/>
              </w:rPr>
              <w:t>分/人次</w:t>
            </w:r>
            <w:r>
              <w:rPr>
                <w:rFonts w:hint="eastAsia" w:ascii="宋体" w:hAnsi="宋体"/>
                <w:spacing w:val="-5"/>
                <w:sz w:val="21"/>
                <w:highlight w:val="none"/>
                <w:lang w:eastAsia="en-US"/>
              </w:rPr>
              <w:t>；</w:t>
            </w:r>
          </w:p>
          <w:p>
            <w:pPr>
              <w:pStyle w:val="401"/>
              <w:numPr>
                <w:ilvl w:val="255"/>
                <w:numId w:val="0"/>
              </w:numPr>
              <w:autoSpaceDE w:val="0"/>
              <w:autoSpaceDN w:val="0"/>
              <w:spacing w:before="193" w:line="240" w:lineRule="auto"/>
              <w:ind w:right="14"/>
              <w:jc w:val="both"/>
              <w:rPr>
                <w:rFonts w:ascii="宋体" w:hAnsi="宋体"/>
                <w:spacing w:val="-5"/>
                <w:sz w:val="21"/>
                <w:highlight w:val="none"/>
                <w:lang w:eastAsia="en-US"/>
              </w:rPr>
            </w:pPr>
            <w:r>
              <w:rPr>
                <w:rFonts w:hint="eastAsia" w:ascii="宋体" w:hAnsi="宋体"/>
                <w:spacing w:val="-5"/>
                <w:sz w:val="21"/>
                <w:highlight w:val="none"/>
                <w:lang w:eastAsia="en-US"/>
              </w:rPr>
              <w:t>6.飞灰填埋作业时，严禁骑电动自行车到作业平台，</w:t>
            </w:r>
            <w:r>
              <w:rPr>
                <w:rFonts w:ascii="宋体" w:hAnsi="宋体"/>
                <w:spacing w:val="-3"/>
                <w:sz w:val="21"/>
                <w:highlight w:val="none"/>
                <w:lang w:eastAsia="en-US"/>
              </w:rPr>
              <w:t>扣</w:t>
            </w:r>
            <w:r>
              <w:rPr>
                <w:rFonts w:hint="eastAsia" w:ascii="宋体" w:hAnsi="宋体"/>
                <w:spacing w:val="-3"/>
                <w:sz w:val="21"/>
                <w:highlight w:val="none"/>
                <w:lang w:eastAsia="en-US"/>
              </w:rPr>
              <w:t>1</w:t>
            </w:r>
            <w:r>
              <w:rPr>
                <w:rFonts w:ascii="宋体" w:hAnsi="宋体"/>
                <w:spacing w:val="-5"/>
                <w:sz w:val="21"/>
                <w:highlight w:val="none"/>
                <w:lang w:eastAsia="en-US"/>
              </w:rPr>
              <w:t>分/人次</w:t>
            </w:r>
            <w:r>
              <w:rPr>
                <w:rFonts w:hint="eastAsia" w:ascii="宋体" w:hAnsi="宋体"/>
                <w:spacing w:val="-5"/>
                <w:sz w:val="21"/>
                <w:highlight w:val="none"/>
                <w:lang w:eastAsia="en-US"/>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1" w:hRule="atLeast"/>
          <w:jc w:val="center"/>
        </w:trPr>
        <w:tc>
          <w:tcPr>
            <w:tcW w:w="756" w:type="dxa"/>
            <w:vMerge w:val="continue"/>
            <w:tcBorders>
              <w:top w:val="nil"/>
            </w:tcBorders>
          </w:tcPr>
          <w:p>
            <w:pPr>
              <w:autoSpaceDE w:val="0"/>
              <w:autoSpaceDN w:val="0"/>
              <w:jc w:val="center"/>
              <w:rPr>
                <w:rFonts w:ascii="宋体" w:hAnsi="宋体"/>
                <w:sz w:val="20"/>
                <w:highlight w:val="none"/>
                <w:lang w:eastAsia="en-US"/>
              </w:rPr>
            </w:pPr>
          </w:p>
        </w:tc>
        <w:tc>
          <w:tcPr>
            <w:tcW w:w="1368" w:type="dxa"/>
            <w:vMerge w:val="continue"/>
            <w:tcBorders>
              <w:top w:val="nil"/>
            </w:tcBorders>
          </w:tcPr>
          <w:p>
            <w:pPr>
              <w:autoSpaceDE w:val="0"/>
              <w:autoSpaceDN w:val="0"/>
              <w:jc w:val="left"/>
              <w:rPr>
                <w:rFonts w:ascii="宋体" w:hAnsi="宋体"/>
                <w:sz w:val="20"/>
                <w:highlight w:val="none"/>
                <w:lang w:eastAsia="en-US"/>
              </w:rPr>
            </w:pPr>
          </w:p>
        </w:tc>
        <w:tc>
          <w:tcPr>
            <w:tcW w:w="3060" w:type="dxa"/>
            <w:vAlign w:val="center"/>
          </w:tcPr>
          <w:p>
            <w:pPr>
              <w:pStyle w:val="401"/>
              <w:autoSpaceDE w:val="0"/>
              <w:autoSpaceDN w:val="0"/>
              <w:spacing w:before="68" w:line="240" w:lineRule="auto"/>
              <w:ind w:left="23"/>
              <w:jc w:val="both"/>
              <w:rPr>
                <w:rFonts w:ascii="宋体" w:hAnsi="宋体"/>
                <w:sz w:val="21"/>
                <w:highlight w:val="none"/>
                <w:lang w:eastAsia="en-US"/>
              </w:rPr>
            </w:pPr>
            <w:r>
              <w:rPr>
                <w:rFonts w:ascii="宋体" w:hAnsi="宋体"/>
                <w:spacing w:val="-1"/>
                <w:sz w:val="21"/>
                <w:highlight w:val="none"/>
                <w:lang w:eastAsia="en-US"/>
              </w:rPr>
              <w:t>3、实行人员到岗考核制度。</w:t>
            </w:r>
          </w:p>
        </w:tc>
        <w:tc>
          <w:tcPr>
            <w:tcW w:w="3120" w:type="dxa"/>
            <w:vAlign w:val="center"/>
          </w:tcPr>
          <w:p>
            <w:pPr>
              <w:pStyle w:val="401"/>
              <w:autoSpaceDE w:val="0"/>
              <w:autoSpaceDN w:val="0"/>
              <w:spacing w:before="52" w:line="240" w:lineRule="auto"/>
              <w:ind w:left="23" w:right="40" w:firstLine="1"/>
              <w:jc w:val="both"/>
              <w:rPr>
                <w:rFonts w:ascii="宋体" w:hAnsi="宋体"/>
                <w:spacing w:val="-5"/>
                <w:sz w:val="21"/>
                <w:highlight w:val="none"/>
                <w:lang w:eastAsia="en-US"/>
              </w:rPr>
            </w:pPr>
            <w:r>
              <w:rPr>
                <w:rFonts w:hint="eastAsia" w:ascii="宋体" w:hAnsi="宋体"/>
                <w:spacing w:val="-2"/>
                <w:sz w:val="21"/>
                <w:highlight w:val="none"/>
                <w:lang w:eastAsia="en-US"/>
              </w:rPr>
              <w:t>1.飞灰填埋作业日，乙方应保证填埋作业班组人员在场，完成当日飞灰填埋任务，若因</w:t>
            </w:r>
            <w:r>
              <w:rPr>
                <w:rFonts w:ascii="宋体" w:hAnsi="宋体"/>
                <w:spacing w:val="-2"/>
                <w:sz w:val="21"/>
                <w:highlight w:val="none"/>
                <w:lang w:eastAsia="en-US"/>
              </w:rPr>
              <w:t>服务人员</w:t>
            </w:r>
            <w:r>
              <w:rPr>
                <w:rFonts w:hint="eastAsia" w:ascii="宋体" w:hAnsi="宋体"/>
                <w:spacing w:val="-2"/>
                <w:sz w:val="21"/>
                <w:highlight w:val="none"/>
                <w:lang w:eastAsia="en-US"/>
              </w:rPr>
              <w:t>不在岗不在位造成飞灰滞留场区等</w:t>
            </w:r>
            <w:r>
              <w:rPr>
                <w:rFonts w:ascii="宋体" w:hAnsi="宋体"/>
                <w:spacing w:val="-5"/>
                <w:sz w:val="21"/>
                <w:highlight w:val="none"/>
                <w:lang w:eastAsia="en-US"/>
              </w:rPr>
              <w:t>扣2分/</w:t>
            </w:r>
            <w:r>
              <w:rPr>
                <w:rFonts w:hint="eastAsia" w:ascii="宋体" w:hAnsi="宋体"/>
                <w:spacing w:val="-5"/>
                <w:sz w:val="21"/>
                <w:highlight w:val="none"/>
                <w:lang w:eastAsia="en-US"/>
              </w:rPr>
              <w:t>次；</w:t>
            </w:r>
          </w:p>
          <w:p>
            <w:pPr>
              <w:pStyle w:val="401"/>
              <w:numPr>
                <w:ilvl w:val="0"/>
                <w:numId w:val="8"/>
              </w:numPr>
              <w:autoSpaceDE w:val="0"/>
              <w:autoSpaceDN w:val="0"/>
              <w:spacing w:before="52" w:line="240" w:lineRule="auto"/>
              <w:ind w:left="23" w:right="40" w:firstLine="1"/>
              <w:jc w:val="both"/>
              <w:rPr>
                <w:rFonts w:ascii="宋体" w:hAnsi="宋体"/>
                <w:spacing w:val="-5"/>
                <w:sz w:val="21"/>
                <w:highlight w:val="none"/>
                <w:lang w:eastAsia="en-US"/>
              </w:rPr>
            </w:pPr>
            <w:r>
              <w:rPr>
                <w:rFonts w:hint="eastAsia" w:ascii="宋体" w:hAnsi="宋体"/>
                <w:spacing w:val="-5"/>
                <w:sz w:val="21"/>
                <w:highlight w:val="none"/>
                <w:lang w:eastAsia="en-US"/>
              </w:rPr>
              <w:t>非飞灰填埋作业日，乙方应安排人员值班值守，巡查，值班值守人员不在岗不在位</w:t>
            </w:r>
            <w:r>
              <w:rPr>
                <w:rFonts w:ascii="宋体" w:hAnsi="宋体"/>
                <w:spacing w:val="-5"/>
                <w:sz w:val="21"/>
                <w:highlight w:val="none"/>
                <w:lang w:eastAsia="en-US"/>
              </w:rPr>
              <w:t>扣</w:t>
            </w:r>
            <w:r>
              <w:rPr>
                <w:rFonts w:hint="eastAsia" w:ascii="宋体" w:hAnsi="宋体"/>
                <w:spacing w:val="-5"/>
                <w:sz w:val="21"/>
                <w:highlight w:val="none"/>
                <w:lang w:eastAsia="en-US"/>
              </w:rPr>
              <w:t>1</w:t>
            </w:r>
            <w:r>
              <w:rPr>
                <w:rFonts w:ascii="宋体" w:hAnsi="宋体"/>
                <w:spacing w:val="-5"/>
                <w:sz w:val="21"/>
                <w:highlight w:val="none"/>
                <w:lang w:eastAsia="en-US"/>
              </w:rPr>
              <w:t>分/</w:t>
            </w:r>
            <w:r>
              <w:rPr>
                <w:rFonts w:hint="eastAsia" w:ascii="宋体" w:hAnsi="宋体"/>
                <w:spacing w:val="-5"/>
                <w:sz w:val="21"/>
                <w:highlight w:val="none"/>
                <w:lang w:eastAsia="en-US"/>
              </w:rPr>
              <w:t>次；</w:t>
            </w:r>
          </w:p>
          <w:p>
            <w:pPr>
              <w:pStyle w:val="401"/>
              <w:numPr>
                <w:ilvl w:val="0"/>
                <w:numId w:val="8"/>
              </w:numPr>
              <w:autoSpaceDE w:val="0"/>
              <w:autoSpaceDN w:val="0"/>
              <w:spacing w:before="52" w:line="240" w:lineRule="auto"/>
              <w:ind w:left="23" w:right="40" w:firstLine="1"/>
              <w:jc w:val="both"/>
              <w:rPr>
                <w:rFonts w:ascii="宋体" w:hAnsi="宋体"/>
                <w:sz w:val="21"/>
                <w:highlight w:val="none"/>
                <w:lang w:eastAsia="en-US"/>
              </w:rPr>
            </w:pPr>
            <w:r>
              <w:rPr>
                <w:rFonts w:hint="eastAsia" w:ascii="宋体" w:hAnsi="宋体"/>
                <w:spacing w:val="-5"/>
                <w:sz w:val="21"/>
                <w:highlight w:val="none"/>
                <w:lang w:eastAsia="en-US"/>
              </w:rPr>
              <w:t>恶劣天气等其它需要值班值守节点，必须落实双人24小时不间断值班巡查，值班值守人员不在岗不在位</w:t>
            </w:r>
            <w:r>
              <w:rPr>
                <w:rFonts w:ascii="宋体" w:hAnsi="宋体"/>
                <w:spacing w:val="-5"/>
                <w:sz w:val="21"/>
                <w:highlight w:val="none"/>
                <w:lang w:eastAsia="en-US"/>
              </w:rPr>
              <w:t>扣</w:t>
            </w:r>
            <w:r>
              <w:rPr>
                <w:rFonts w:hint="eastAsia" w:ascii="宋体" w:hAnsi="宋体"/>
                <w:spacing w:val="-5"/>
                <w:sz w:val="21"/>
                <w:highlight w:val="none"/>
                <w:lang w:eastAsia="en-US"/>
              </w:rPr>
              <w:t>2</w:t>
            </w:r>
            <w:r>
              <w:rPr>
                <w:rFonts w:ascii="宋体" w:hAnsi="宋体"/>
                <w:spacing w:val="-5"/>
                <w:sz w:val="21"/>
                <w:highlight w:val="none"/>
                <w:lang w:eastAsia="en-US"/>
              </w:rPr>
              <w:t>分/</w:t>
            </w:r>
            <w:r>
              <w:rPr>
                <w:rFonts w:hint="eastAsia" w:ascii="宋体" w:hAnsi="宋体"/>
                <w:spacing w:val="-5"/>
                <w:sz w:val="21"/>
                <w:highlight w:val="none"/>
                <w:lang w:eastAsia="en-US"/>
              </w:rPr>
              <w:t>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jc w:val="center"/>
        </w:trPr>
        <w:tc>
          <w:tcPr>
            <w:tcW w:w="756" w:type="dxa"/>
          </w:tcPr>
          <w:p>
            <w:pPr>
              <w:pStyle w:val="401"/>
              <w:autoSpaceDE w:val="0"/>
              <w:autoSpaceDN w:val="0"/>
              <w:spacing w:before="89" w:line="240" w:lineRule="auto"/>
              <w:ind w:left="25"/>
              <w:jc w:val="center"/>
              <w:rPr>
                <w:rFonts w:ascii="宋体" w:hAnsi="宋体"/>
                <w:sz w:val="21"/>
                <w:highlight w:val="none"/>
                <w:lang w:eastAsia="en-US"/>
              </w:rPr>
            </w:pPr>
            <w:r>
              <w:rPr>
                <w:rFonts w:ascii="宋体" w:hAnsi="宋体"/>
                <w:sz w:val="21"/>
                <w:highlight w:val="none"/>
                <w:lang w:eastAsia="en-US"/>
              </w:rPr>
              <w:t>二</w:t>
            </w:r>
          </w:p>
        </w:tc>
        <w:tc>
          <w:tcPr>
            <w:tcW w:w="7548" w:type="dxa"/>
            <w:gridSpan w:val="3"/>
            <w:vAlign w:val="center"/>
          </w:tcPr>
          <w:p>
            <w:pPr>
              <w:pStyle w:val="401"/>
              <w:autoSpaceDE w:val="0"/>
              <w:autoSpaceDN w:val="0"/>
              <w:spacing w:before="51" w:line="240" w:lineRule="auto"/>
              <w:ind w:left="24"/>
              <w:jc w:val="center"/>
              <w:rPr>
                <w:rFonts w:ascii="宋体" w:hAnsi="宋体"/>
                <w:sz w:val="21"/>
                <w:highlight w:val="none"/>
                <w:lang w:eastAsia="en-US"/>
              </w:rPr>
            </w:pPr>
            <w:r>
              <w:rPr>
                <w:rFonts w:ascii="宋体" w:hAnsi="宋体"/>
                <w:spacing w:val="-2"/>
                <w:sz w:val="21"/>
                <w:highlight w:val="none"/>
                <w:lang w:eastAsia="en-US"/>
              </w:rPr>
              <w:t>飞灰库区运行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5" w:hRule="atLeast"/>
          <w:jc w:val="center"/>
        </w:trPr>
        <w:tc>
          <w:tcPr>
            <w:tcW w:w="756" w:type="dxa"/>
            <w:vMerge w:val="restart"/>
            <w:tcBorders>
              <w:bottom w:val="nil"/>
            </w:tcBorders>
            <w:vAlign w:val="center"/>
          </w:tcPr>
          <w:p>
            <w:pPr>
              <w:pStyle w:val="401"/>
              <w:autoSpaceDE w:val="0"/>
              <w:autoSpaceDN w:val="0"/>
              <w:spacing w:before="69" w:line="240" w:lineRule="auto"/>
              <w:ind w:left="24"/>
              <w:jc w:val="center"/>
              <w:rPr>
                <w:rFonts w:ascii="宋体" w:hAnsi="宋体"/>
                <w:sz w:val="21"/>
                <w:highlight w:val="none"/>
                <w:lang w:eastAsia="en-US"/>
              </w:rPr>
            </w:pPr>
            <w:r>
              <w:rPr>
                <w:rFonts w:ascii="宋体" w:hAnsi="宋体"/>
                <w:spacing w:val="-2"/>
                <w:sz w:val="21"/>
                <w:highlight w:val="none"/>
                <w:lang w:eastAsia="en-US"/>
              </w:rPr>
              <w:t>2.1</w:t>
            </w:r>
          </w:p>
        </w:tc>
        <w:tc>
          <w:tcPr>
            <w:tcW w:w="1368" w:type="dxa"/>
            <w:vMerge w:val="restart"/>
            <w:tcBorders>
              <w:bottom w:val="nil"/>
            </w:tcBorders>
            <w:vAlign w:val="center"/>
          </w:tcPr>
          <w:p>
            <w:pPr>
              <w:pStyle w:val="401"/>
              <w:autoSpaceDE w:val="0"/>
              <w:autoSpaceDN w:val="0"/>
              <w:spacing w:before="68" w:line="240" w:lineRule="auto"/>
              <w:ind w:left="21"/>
              <w:jc w:val="center"/>
              <w:rPr>
                <w:rFonts w:ascii="宋体" w:hAnsi="宋体"/>
                <w:spacing w:val="-2"/>
                <w:sz w:val="21"/>
                <w:highlight w:val="none"/>
                <w:lang w:eastAsia="en-US"/>
              </w:rPr>
            </w:pPr>
            <w:r>
              <w:rPr>
                <w:rFonts w:ascii="宋体" w:hAnsi="宋体"/>
                <w:spacing w:val="-2"/>
                <w:sz w:val="21"/>
                <w:highlight w:val="none"/>
                <w:lang w:eastAsia="en-US"/>
              </w:rPr>
              <w:t>设施、设备</w:t>
            </w:r>
          </w:p>
          <w:p>
            <w:pPr>
              <w:pStyle w:val="401"/>
              <w:autoSpaceDE w:val="0"/>
              <w:autoSpaceDN w:val="0"/>
              <w:spacing w:before="68" w:line="240" w:lineRule="auto"/>
              <w:ind w:left="21"/>
              <w:jc w:val="center"/>
              <w:rPr>
                <w:rFonts w:ascii="宋体" w:hAnsi="宋体"/>
                <w:sz w:val="21"/>
                <w:highlight w:val="none"/>
                <w:lang w:eastAsia="en-US"/>
              </w:rPr>
            </w:pPr>
            <w:r>
              <w:rPr>
                <w:rFonts w:ascii="宋体" w:hAnsi="宋体"/>
                <w:spacing w:val="-2"/>
                <w:sz w:val="21"/>
                <w:highlight w:val="none"/>
                <w:lang w:eastAsia="en-US"/>
              </w:rPr>
              <w:t>维护</w:t>
            </w:r>
          </w:p>
        </w:tc>
        <w:tc>
          <w:tcPr>
            <w:tcW w:w="3060" w:type="dxa"/>
            <w:vAlign w:val="center"/>
          </w:tcPr>
          <w:p>
            <w:pPr>
              <w:pStyle w:val="401"/>
              <w:autoSpaceDE w:val="0"/>
              <w:autoSpaceDN w:val="0"/>
              <w:spacing w:before="69" w:line="240" w:lineRule="auto"/>
              <w:ind w:left="24" w:right="23" w:firstLine="10"/>
              <w:jc w:val="both"/>
              <w:rPr>
                <w:rFonts w:ascii="宋体" w:hAnsi="宋体"/>
                <w:sz w:val="21"/>
                <w:highlight w:val="none"/>
                <w:lang w:eastAsia="en-US"/>
              </w:rPr>
            </w:pPr>
            <w:r>
              <w:rPr>
                <w:rFonts w:ascii="宋体" w:hAnsi="宋体"/>
                <w:spacing w:val="-10"/>
                <w:sz w:val="21"/>
                <w:highlight w:val="none"/>
                <w:lang w:eastAsia="en-US"/>
              </w:rPr>
              <w:t>1、设备保持完善，维护精细，确保正</w:t>
            </w:r>
            <w:r>
              <w:rPr>
                <w:rFonts w:ascii="宋体" w:hAnsi="宋体"/>
                <w:spacing w:val="-3"/>
                <w:sz w:val="21"/>
                <w:highlight w:val="none"/>
                <w:lang w:eastAsia="en-US"/>
              </w:rPr>
              <w:t>常运转。</w:t>
            </w:r>
          </w:p>
        </w:tc>
        <w:tc>
          <w:tcPr>
            <w:tcW w:w="3120" w:type="dxa"/>
            <w:vAlign w:val="center"/>
          </w:tcPr>
          <w:p>
            <w:pPr>
              <w:pStyle w:val="401"/>
              <w:autoSpaceDE w:val="0"/>
              <w:autoSpaceDN w:val="0"/>
              <w:spacing w:before="51" w:line="240" w:lineRule="auto"/>
              <w:ind w:left="21" w:right="11" w:firstLine="15"/>
              <w:jc w:val="both"/>
              <w:rPr>
                <w:rFonts w:ascii="宋体" w:hAnsi="宋体"/>
                <w:spacing w:val="-7"/>
                <w:sz w:val="21"/>
                <w:highlight w:val="none"/>
                <w:lang w:eastAsia="en-US"/>
              </w:rPr>
            </w:pPr>
            <w:r>
              <w:rPr>
                <w:rFonts w:hint="eastAsia" w:ascii="宋体" w:hAnsi="宋体"/>
                <w:spacing w:val="-2"/>
                <w:sz w:val="21"/>
                <w:highlight w:val="none"/>
                <w:lang w:eastAsia="en-US"/>
              </w:rPr>
              <w:t>1.</w:t>
            </w:r>
            <w:r>
              <w:rPr>
                <w:rFonts w:ascii="宋体" w:hAnsi="宋体"/>
                <w:spacing w:val="-2"/>
                <w:sz w:val="21"/>
                <w:highlight w:val="none"/>
                <w:lang w:eastAsia="en-US"/>
              </w:rPr>
              <w:t>由于管理、保养不到位、出现故障</w:t>
            </w:r>
            <w:r>
              <w:rPr>
                <w:rFonts w:ascii="宋体" w:hAnsi="宋体"/>
                <w:spacing w:val="-7"/>
                <w:sz w:val="21"/>
                <w:highlight w:val="none"/>
                <w:lang w:eastAsia="en-US"/>
              </w:rPr>
              <w:t>扣1分；</w:t>
            </w:r>
          </w:p>
          <w:p>
            <w:pPr>
              <w:pStyle w:val="401"/>
              <w:autoSpaceDE w:val="0"/>
              <w:autoSpaceDN w:val="0"/>
              <w:spacing w:before="51" w:line="240" w:lineRule="auto"/>
              <w:ind w:left="21" w:right="11" w:firstLine="15"/>
              <w:jc w:val="both"/>
              <w:rPr>
                <w:rFonts w:ascii="宋体" w:hAnsi="宋体"/>
                <w:sz w:val="21"/>
                <w:highlight w:val="none"/>
                <w:lang w:eastAsia="en-US"/>
              </w:rPr>
            </w:pPr>
            <w:r>
              <w:rPr>
                <w:rFonts w:hint="eastAsia" w:ascii="宋体" w:hAnsi="宋体"/>
                <w:spacing w:val="-7"/>
                <w:sz w:val="21"/>
                <w:highlight w:val="none"/>
                <w:lang w:eastAsia="en-US"/>
              </w:rPr>
              <w:t>2.</w:t>
            </w:r>
            <w:r>
              <w:rPr>
                <w:rFonts w:ascii="宋体" w:hAnsi="宋体"/>
                <w:spacing w:val="-7"/>
                <w:sz w:val="21"/>
                <w:highlight w:val="none"/>
                <w:lang w:eastAsia="en-US"/>
              </w:rPr>
              <w:t>故障维修不及时造成填埋场无</w:t>
            </w:r>
            <w:r>
              <w:rPr>
                <w:rFonts w:ascii="宋体" w:hAnsi="宋体"/>
                <w:spacing w:val="-1"/>
                <w:sz w:val="21"/>
                <w:highlight w:val="none"/>
                <w:lang w:eastAsia="en-US"/>
              </w:rPr>
              <w:t>法正常运行的如飞灰运输车辆长时间</w:t>
            </w:r>
            <w:r>
              <w:rPr>
                <w:rFonts w:hint="eastAsia" w:ascii="宋体" w:hAnsi="宋体"/>
                <w:spacing w:val="-5"/>
                <w:sz w:val="21"/>
                <w:highlight w:val="none"/>
                <w:lang w:eastAsia="en-US"/>
              </w:rPr>
              <w:t>滞留场区</w:t>
            </w:r>
            <w:r>
              <w:rPr>
                <w:rFonts w:ascii="宋体" w:hAnsi="宋体"/>
                <w:spacing w:val="-5"/>
                <w:sz w:val="21"/>
                <w:highlight w:val="none"/>
                <w:lang w:eastAsia="en-US"/>
              </w:rPr>
              <w:t>等情况每次扣1分。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jc w:val="center"/>
        </w:trPr>
        <w:tc>
          <w:tcPr>
            <w:tcW w:w="756" w:type="dxa"/>
            <w:vMerge w:val="continue"/>
            <w:tcBorders>
              <w:top w:val="nil"/>
              <w:bottom w:val="nil"/>
            </w:tcBorders>
          </w:tcPr>
          <w:p>
            <w:pPr>
              <w:autoSpaceDE w:val="0"/>
              <w:autoSpaceDN w:val="0"/>
              <w:jc w:val="center"/>
              <w:rPr>
                <w:rFonts w:ascii="宋体" w:hAnsi="宋体"/>
                <w:sz w:val="20"/>
                <w:highlight w:val="none"/>
                <w:lang w:eastAsia="en-US"/>
              </w:rPr>
            </w:pPr>
          </w:p>
        </w:tc>
        <w:tc>
          <w:tcPr>
            <w:tcW w:w="1368" w:type="dxa"/>
            <w:vMerge w:val="continue"/>
            <w:tcBorders>
              <w:top w:val="nil"/>
              <w:bottom w:val="nil"/>
            </w:tcBorders>
          </w:tcPr>
          <w:p>
            <w:pPr>
              <w:autoSpaceDE w:val="0"/>
              <w:autoSpaceDN w:val="0"/>
              <w:jc w:val="left"/>
              <w:rPr>
                <w:rFonts w:ascii="宋体" w:hAnsi="宋体"/>
                <w:sz w:val="20"/>
                <w:highlight w:val="none"/>
                <w:lang w:eastAsia="en-US"/>
              </w:rPr>
            </w:pPr>
          </w:p>
        </w:tc>
        <w:tc>
          <w:tcPr>
            <w:tcW w:w="3060" w:type="dxa"/>
            <w:vAlign w:val="center"/>
          </w:tcPr>
          <w:p>
            <w:pPr>
              <w:pStyle w:val="401"/>
              <w:autoSpaceDE w:val="0"/>
              <w:autoSpaceDN w:val="0"/>
              <w:spacing w:before="57" w:line="240" w:lineRule="auto"/>
              <w:ind w:left="21"/>
              <w:jc w:val="both"/>
              <w:rPr>
                <w:rFonts w:ascii="宋体" w:hAnsi="宋体"/>
                <w:sz w:val="21"/>
                <w:highlight w:val="none"/>
                <w:lang w:eastAsia="en-US"/>
              </w:rPr>
            </w:pPr>
            <w:r>
              <w:rPr>
                <w:rFonts w:ascii="宋体" w:hAnsi="宋体"/>
                <w:spacing w:val="-1"/>
                <w:sz w:val="21"/>
                <w:highlight w:val="none"/>
                <w:lang w:eastAsia="en-US"/>
              </w:rPr>
              <w:t>2、填埋场内操作符合操作规程。</w:t>
            </w:r>
          </w:p>
        </w:tc>
        <w:tc>
          <w:tcPr>
            <w:tcW w:w="3120" w:type="dxa"/>
            <w:vAlign w:val="center"/>
          </w:tcPr>
          <w:p>
            <w:pPr>
              <w:pStyle w:val="401"/>
              <w:autoSpaceDE w:val="0"/>
              <w:autoSpaceDN w:val="0"/>
              <w:spacing w:before="57" w:line="240" w:lineRule="auto"/>
              <w:ind w:left="23"/>
              <w:jc w:val="both"/>
              <w:rPr>
                <w:rFonts w:ascii="宋体" w:hAnsi="宋体"/>
                <w:sz w:val="21"/>
                <w:highlight w:val="none"/>
                <w:lang w:eastAsia="en-US"/>
              </w:rPr>
            </w:pPr>
            <w:r>
              <w:rPr>
                <w:rFonts w:ascii="宋体" w:hAnsi="宋体"/>
                <w:spacing w:val="-4"/>
                <w:sz w:val="21"/>
                <w:highlight w:val="none"/>
                <w:lang w:eastAsia="en-US"/>
              </w:rPr>
              <w:t>2、违反</w:t>
            </w:r>
            <w:r>
              <w:rPr>
                <w:rFonts w:hint="eastAsia" w:ascii="宋体" w:hAnsi="宋体"/>
                <w:spacing w:val="-4"/>
                <w:sz w:val="21"/>
                <w:highlight w:val="none"/>
                <w:lang w:eastAsia="en-US"/>
              </w:rPr>
              <w:t>机械和安全</w:t>
            </w:r>
            <w:r>
              <w:rPr>
                <w:rFonts w:ascii="宋体" w:hAnsi="宋体"/>
                <w:spacing w:val="-4"/>
                <w:sz w:val="21"/>
                <w:highlight w:val="none"/>
                <w:lang w:eastAsia="en-US"/>
              </w:rPr>
              <w:t>操作规程的，每次扣1分。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0" w:hRule="atLeast"/>
          <w:jc w:val="center"/>
        </w:trPr>
        <w:tc>
          <w:tcPr>
            <w:tcW w:w="756" w:type="dxa"/>
            <w:vMerge w:val="continue"/>
            <w:tcBorders>
              <w:top w:val="nil"/>
            </w:tcBorders>
          </w:tcPr>
          <w:p>
            <w:pPr>
              <w:autoSpaceDE w:val="0"/>
              <w:autoSpaceDN w:val="0"/>
              <w:jc w:val="center"/>
              <w:rPr>
                <w:rFonts w:ascii="宋体" w:hAnsi="宋体"/>
                <w:sz w:val="20"/>
                <w:highlight w:val="none"/>
                <w:lang w:eastAsia="en-US"/>
              </w:rPr>
            </w:pPr>
          </w:p>
        </w:tc>
        <w:tc>
          <w:tcPr>
            <w:tcW w:w="1368" w:type="dxa"/>
            <w:vMerge w:val="continue"/>
            <w:tcBorders>
              <w:top w:val="nil"/>
            </w:tcBorders>
          </w:tcPr>
          <w:p>
            <w:pPr>
              <w:autoSpaceDE w:val="0"/>
              <w:autoSpaceDN w:val="0"/>
              <w:jc w:val="left"/>
              <w:rPr>
                <w:rFonts w:ascii="宋体" w:hAnsi="宋体"/>
                <w:sz w:val="20"/>
                <w:highlight w:val="none"/>
                <w:lang w:eastAsia="en-US"/>
              </w:rPr>
            </w:pPr>
          </w:p>
        </w:tc>
        <w:tc>
          <w:tcPr>
            <w:tcW w:w="3060" w:type="dxa"/>
            <w:vAlign w:val="center"/>
          </w:tcPr>
          <w:p>
            <w:pPr>
              <w:pStyle w:val="401"/>
              <w:autoSpaceDE w:val="0"/>
              <w:autoSpaceDN w:val="0"/>
              <w:spacing w:before="68" w:line="240" w:lineRule="auto"/>
              <w:ind w:left="23"/>
              <w:jc w:val="both"/>
              <w:rPr>
                <w:rFonts w:ascii="宋体" w:hAnsi="宋体"/>
                <w:sz w:val="21"/>
                <w:highlight w:val="none"/>
                <w:lang w:eastAsia="en-US"/>
              </w:rPr>
            </w:pPr>
            <w:r>
              <w:rPr>
                <w:rFonts w:ascii="宋体" w:hAnsi="宋体"/>
                <w:spacing w:val="-16"/>
                <w:sz w:val="21"/>
                <w:highlight w:val="none"/>
                <w:lang w:eastAsia="en-US"/>
              </w:rPr>
              <w:t>3、填埋场内配套设施完善，功能齐全、</w:t>
            </w:r>
            <w:r>
              <w:rPr>
                <w:rFonts w:ascii="宋体" w:hAnsi="宋体"/>
                <w:spacing w:val="-8"/>
                <w:sz w:val="21"/>
                <w:highlight w:val="none"/>
                <w:lang w:eastAsia="en-US"/>
              </w:rPr>
              <w:t>正常运行。</w:t>
            </w:r>
          </w:p>
        </w:tc>
        <w:tc>
          <w:tcPr>
            <w:tcW w:w="3120" w:type="dxa"/>
            <w:vAlign w:val="center"/>
          </w:tcPr>
          <w:p>
            <w:pPr>
              <w:pStyle w:val="401"/>
              <w:autoSpaceDE w:val="0"/>
              <w:autoSpaceDN w:val="0"/>
              <w:spacing w:before="57" w:line="240" w:lineRule="auto"/>
              <w:ind w:left="22" w:right="11" w:firstLine="3"/>
              <w:jc w:val="both"/>
              <w:rPr>
                <w:rFonts w:ascii="宋体" w:hAnsi="宋体"/>
                <w:sz w:val="21"/>
                <w:highlight w:val="none"/>
                <w:lang w:eastAsia="en-US"/>
              </w:rPr>
            </w:pPr>
            <w:r>
              <w:rPr>
                <w:rFonts w:ascii="宋体" w:hAnsi="宋体"/>
                <w:spacing w:val="-1"/>
                <w:sz w:val="21"/>
                <w:highlight w:val="none"/>
                <w:lang w:eastAsia="en-US"/>
              </w:rPr>
              <w:t>3、正常使用年限内由于管理不到位造成填埋场内配套设施出现损坏或磨损</w:t>
            </w:r>
            <w:r>
              <w:rPr>
                <w:rFonts w:ascii="宋体" w:hAnsi="宋体"/>
                <w:spacing w:val="-6"/>
                <w:sz w:val="21"/>
                <w:highlight w:val="none"/>
                <w:lang w:eastAsia="en-US"/>
              </w:rPr>
              <w:t>严重的，每处扣0.5分；设施设备未正</w:t>
            </w:r>
            <w:r>
              <w:rPr>
                <w:rFonts w:ascii="宋体" w:hAnsi="宋体"/>
                <w:spacing w:val="-11"/>
                <w:sz w:val="21"/>
                <w:highlight w:val="none"/>
                <w:lang w:eastAsia="en-US"/>
              </w:rPr>
              <w:t>常运行使用的，每次扣1分；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3" w:hRule="atLeast"/>
          <w:jc w:val="center"/>
        </w:trPr>
        <w:tc>
          <w:tcPr>
            <w:tcW w:w="756" w:type="dxa"/>
            <w:vMerge w:val="restart"/>
            <w:tcBorders>
              <w:bottom w:val="nil"/>
            </w:tcBorders>
            <w:vAlign w:val="center"/>
          </w:tcPr>
          <w:p>
            <w:pPr>
              <w:pStyle w:val="401"/>
              <w:autoSpaceDE w:val="0"/>
              <w:autoSpaceDN w:val="0"/>
              <w:spacing w:before="68" w:line="240" w:lineRule="auto"/>
              <w:ind w:left="24"/>
              <w:jc w:val="center"/>
              <w:rPr>
                <w:rFonts w:ascii="宋体" w:hAnsi="宋体"/>
                <w:sz w:val="21"/>
                <w:highlight w:val="none"/>
                <w:lang w:eastAsia="en-US"/>
              </w:rPr>
            </w:pPr>
            <w:r>
              <w:rPr>
                <w:rFonts w:ascii="宋体" w:hAnsi="宋体"/>
                <w:spacing w:val="-2"/>
                <w:sz w:val="21"/>
                <w:highlight w:val="none"/>
                <w:lang w:eastAsia="en-US"/>
              </w:rPr>
              <w:t>2.2</w:t>
            </w:r>
          </w:p>
        </w:tc>
        <w:tc>
          <w:tcPr>
            <w:tcW w:w="1368" w:type="dxa"/>
            <w:vMerge w:val="restart"/>
            <w:tcBorders>
              <w:bottom w:val="nil"/>
            </w:tcBorders>
            <w:vAlign w:val="center"/>
          </w:tcPr>
          <w:p>
            <w:pPr>
              <w:pStyle w:val="401"/>
              <w:autoSpaceDE w:val="0"/>
              <w:autoSpaceDN w:val="0"/>
              <w:spacing w:before="69" w:line="240" w:lineRule="auto"/>
              <w:ind w:left="20"/>
              <w:jc w:val="center"/>
              <w:rPr>
                <w:rFonts w:ascii="宋体" w:hAnsi="宋体"/>
                <w:spacing w:val="-1"/>
                <w:sz w:val="21"/>
                <w:highlight w:val="none"/>
                <w:lang w:eastAsia="en-US"/>
              </w:rPr>
            </w:pPr>
            <w:r>
              <w:rPr>
                <w:rFonts w:ascii="宋体" w:hAnsi="宋体"/>
                <w:spacing w:val="-1"/>
                <w:sz w:val="21"/>
                <w:highlight w:val="none"/>
                <w:lang w:eastAsia="en-US"/>
              </w:rPr>
              <w:t>填埋场日常</w:t>
            </w:r>
          </w:p>
          <w:p>
            <w:pPr>
              <w:pStyle w:val="401"/>
              <w:autoSpaceDE w:val="0"/>
              <w:autoSpaceDN w:val="0"/>
              <w:spacing w:before="69" w:line="240" w:lineRule="auto"/>
              <w:ind w:left="20"/>
              <w:jc w:val="center"/>
              <w:rPr>
                <w:rFonts w:ascii="宋体" w:hAnsi="宋体"/>
                <w:sz w:val="21"/>
                <w:highlight w:val="none"/>
                <w:lang w:eastAsia="en-US"/>
              </w:rPr>
            </w:pPr>
            <w:r>
              <w:rPr>
                <w:rFonts w:ascii="宋体" w:hAnsi="宋体"/>
                <w:spacing w:val="-1"/>
                <w:sz w:val="21"/>
                <w:highlight w:val="none"/>
                <w:lang w:eastAsia="en-US"/>
              </w:rPr>
              <w:t>运行</w:t>
            </w:r>
          </w:p>
        </w:tc>
        <w:tc>
          <w:tcPr>
            <w:tcW w:w="3060" w:type="dxa"/>
            <w:vAlign w:val="center"/>
          </w:tcPr>
          <w:p>
            <w:pPr>
              <w:pStyle w:val="401"/>
              <w:autoSpaceDE w:val="0"/>
              <w:autoSpaceDN w:val="0"/>
              <w:spacing w:before="195" w:line="240" w:lineRule="auto"/>
              <w:ind w:left="21" w:right="23" w:firstLine="13"/>
              <w:jc w:val="both"/>
              <w:rPr>
                <w:rFonts w:ascii="宋体" w:hAnsi="宋体"/>
                <w:sz w:val="21"/>
                <w:highlight w:val="none"/>
                <w:lang w:eastAsia="en-US"/>
              </w:rPr>
            </w:pPr>
            <w:r>
              <w:rPr>
                <w:rFonts w:ascii="宋体" w:hAnsi="宋体"/>
                <w:spacing w:val="-7"/>
                <w:sz w:val="21"/>
                <w:highlight w:val="none"/>
                <w:lang w:eastAsia="en-US"/>
              </w:rPr>
              <w:t>1、填埋场内飞灰日产日清，并做好飞</w:t>
            </w:r>
            <w:r>
              <w:rPr>
                <w:rFonts w:ascii="宋体" w:hAnsi="宋体"/>
                <w:spacing w:val="-3"/>
                <w:sz w:val="21"/>
                <w:highlight w:val="none"/>
                <w:lang w:eastAsia="en-US"/>
              </w:rPr>
              <w:t>灰处理量报表记录。</w:t>
            </w:r>
          </w:p>
        </w:tc>
        <w:tc>
          <w:tcPr>
            <w:tcW w:w="3120" w:type="dxa"/>
            <w:vAlign w:val="center"/>
          </w:tcPr>
          <w:p>
            <w:pPr>
              <w:pStyle w:val="401"/>
              <w:autoSpaceDE w:val="0"/>
              <w:autoSpaceDN w:val="0"/>
              <w:spacing w:before="57" w:line="240" w:lineRule="auto"/>
              <w:ind w:left="20" w:firstLine="16"/>
              <w:jc w:val="both"/>
              <w:rPr>
                <w:rFonts w:ascii="宋体" w:hAnsi="宋体"/>
                <w:sz w:val="21"/>
                <w:highlight w:val="none"/>
                <w:lang w:eastAsia="en-US"/>
              </w:rPr>
            </w:pPr>
            <w:r>
              <w:rPr>
                <w:rFonts w:ascii="宋体" w:hAnsi="宋体"/>
                <w:spacing w:val="-10"/>
                <w:sz w:val="21"/>
                <w:highlight w:val="none"/>
                <w:lang w:eastAsia="en-US"/>
              </w:rPr>
              <w:t xml:space="preserve">1、未做到日产日清的扣2分/次。无报 </w:t>
            </w:r>
            <w:r>
              <w:rPr>
                <w:rFonts w:ascii="宋体" w:hAnsi="宋体"/>
                <w:spacing w:val="-12"/>
                <w:sz w:val="21"/>
                <w:highlight w:val="none"/>
                <w:lang w:eastAsia="en-US"/>
              </w:rPr>
              <w:t>表记录，扣1分/次。报表记录不齐全、</w:t>
            </w:r>
            <w:r>
              <w:rPr>
                <w:rFonts w:ascii="宋体" w:hAnsi="宋体"/>
                <w:spacing w:val="-6"/>
                <w:sz w:val="21"/>
                <w:highlight w:val="none"/>
                <w:lang w:eastAsia="en-US"/>
              </w:rPr>
              <w:t>不准确，扣0.5分/次。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jc w:val="center"/>
        </w:trPr>
        <w:tc>
          <w:tcPr>
            <w:tcW w:w="756" w:type="dxa"/>
            <w:vMerge w:val="continue"/>
            <w:tcBorders>
              <w:top w:val="nil"/>
              <w:bottom w:val="nil"/>
            </w:tcBorders>
          </w:tcPr>
          <w:p>
            <w:pPr>
              <w:autoSpaceDE w:val="0"/>
              <w:autoSpaceDN w:val="0"/>
              <w:jc w:val="center"/>
              <w:rPr>
                <w:rFonts w:ascii="宋体" w:hAnsi="宋体"/>
                <w:sz w:val="20"/>
                <w:highlight w:val="none"/>
                <w:lang w:eastAsia="en-US"/>
              </w:rPr>
            </w:pPr>
          </w:p>
        </w:tc>
        <w:tc>
          <w:tcPr>
            <w:tcW w:w="1368" w:type="dxa"/>
            <w:vMerge w:val="continue"/>
            <w:tcBorders>
              <w:top w:val="nil"/>
              <w:bottom w:val="nil"/>
            </w:tcBorders>
          </w:tcPr>
          <w:p>
            <w:pPr>
              <w:autoSpaceDE w:val="0"/>
              <w:autoSpaceDN w:val="0"/>
              <w:jc w:val="left"/>
              <w:rPr>
                <w:rFonts w:ascii="宋体" w:hAnsi="宋体"/>
                <w:sz w:val="20"/>
                <w:highlight w:val="none"/>
                <w:lang w:eastAsia="en-US"/>
              </w:rPr>
            </w:pPr>
          </w:p>
        </w:tc>
        <w:tc>
          <w:tcPr>
            <w:tcW w:w="3060" w:type="dxa"/>
            <w:vAlign w:val="center"/>
          </w:tcPr>
          <w:p>
            <w:pPr>
              <w:pStyle w:val="401"/>
              <w:autoSpaceDE w:val="0"/>
              <w:autoSpaceDN w:val="0"/>
              <w:spacing w:before="194" w:line="240" w:lineRule="auto"/>
              <w:ind w:left="21"/>
              <w:jc w:val="both"/>
              <w:rPr>
                <w:rFonts w:ascii="宋体" w:hAnsi="宋体"/>
                <w:sz w:val="21"/>
                <w:highlight w:val="none"/>
                <w:lang w:eastAsia="en-US"/>
              </w:rPr>
            </w:pPr>
            <w:r>
              <w:rPr>
                <w:rFonts w:ascii="宋体" w:hAnsi="宋体"/>
                <w:spacing w:val="-3"/>
                <w:sz w:val="21"/>
                <w:highlight w:val="none"/>
                <w:lang w:eastAsia="en-US"/>
              </w:rPr>
              <w:t>2、进场飞灰符合要求。</w:t>
            </w:r>
          </w:p>
        </w:tc>
        <w:tc>
          <w:tcPr>
            <w:tcW w:w="3120" w:type="dxa"/>
            <w:vAlign w:val="center"/>
          </w:tcPr>
          <w:p>
            <w:pPr>
              <w:pStyle w:val="401"/>
              <w:autoSpaceDE w:val="0"/>
              <w:autoSpaceDN w:val="0"/>
              <w:spacing w:before="52" w:line="240" w:lineRule="auto"/>
              <w:ind w:left="23" w:right="58"/>
              <w:jc w:val="both"/>
              <w:rPr>
                <w:rFonts w:ascii="宋体" w:hAnsi="宋体"/>
                <w:sz w:val="21"/>
                <w:highlight w:val="none"/>
                <w:lang w:eastAsia="en-US"/>
              </w:rPr>
            </w:pPr>
            <w:r>
              <w:rPr>
                <w:rFonts w:ascii="宋体" w:hAnsi="宋体"/>
                <w:spacing w:val="-2"/>
                <w:sz w:val="21"/>
                <w:highlight w:val="none"/>
                <w:lang w:eastAsia="en-US"/>
              </w:rPr>
              <w:t>2、不符合要求的飞灰进入填埋场的扣</w:t>
            </w:r>
            <w:r>
              <w:rPr>
                <w:rFonts w:ascii="宋体" w:hAnsi="宋体"/>
                <w:spacing w:val="-7"/>
                <w:sz w:val="21"/>
                <w:highlight w:val="none"/>
                <w:lang w:eastAsia="en-US"/>
              </w:rPr>
              <w:t>2分/次。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jc w:val="center"/>
        </w:trPr>
        <w:tc>
          <w:tcPr>
            <w:tcW w:w="756" w:type="dxa"/>
            <w:vMerge w:val="continue"/>
            <w:tcBorders>
              <w:top w:val="nil"/>
              <w:bottom w:val="nil"/>
            </w:tcBorders>
          </w:tcPr>
          <w:p>
            <w:pPr>
              <w:autoSpaceDE w:val="0"/>
              <w:autoSpaceDN w:val="0"/>
              <w:jc w:val="center"/>
              <w:rPr>
                <w:rFonts w:ascii="宋体" w:hAnsi="宋体"/>
                <w:sz w:val="20"/>
                <w:highlight w:val="none"/>
                <w:lang w:eastAsia="en-US"/>
              </w:rPr>
            </w:pPr>
          </w:p>
        </w:tc>
        <w:tc>
          <w:tcPr>
            <w:tcW w:w="1368" w:type="dxa"/>
            <w:vMerge w:val="continue"/>
            <w:tcBorders>
              <w:top w:val="nil"/>
              <w:bottom w:val="nil"/>
            </w:tcBorders>
          </w:tcPr>
          <w:p>
            <w:pPr>
              <w:autoSpaceDE w:val="0"/>
              <w:autoSpaceDN w:val="0"/>
              <w:jc w:val="left"/>
              <w:rPr>
                <w:rFonts w:ascii="宋体" w:hAnsi="宋体"/>
                <w:sz w:val="20"/>
                <w:highlight w:val="none"/>
                <w:lang w:eastAsia="en-US"/>
              </w:rPr>
            </w:pPr>
          </w:p>
        </w:tc>
        <w:tc>
          <w:tcPr>
            <w:tcW w:w="3060" w:type="dxa"/>
            <w:vAlign w:val="center"/>
          </w:tcPr>
          <w:p>
            <w:pPr>
              <w:pStyle w:val="401"/>
              <w:autoSpaceDE w:val="0"/>
              <w:autoSpaceDN w:val="0"/>
              <w:spacing w:before="192" w:line="240" w:lineRule="auto"/>
              <w:ind w:left="18"/>
              <w:jc w:val="both"/>
              <w:rPr>
                <w:rFonts w:ascii="宋体" w:hAnsi="宋体"/>
                <w:sz w:val="21"/>
                <w:highlight w:val="none"/>
                <w:lang w:eastAsia="en-US"/>
              </w:rPr>
            </w:pPr>
            <w:r>
              <w:rPr>
                <w:rFonts w:hint="eastAsia" w:ascii="宋体" w:hAnsi="宋体"/>
                <w:spacing w:val="-2"/>
                <w:sz w:val="21"/>
                <w:highlight w:val="none"/>
                <w:lang w:eastAsia="en-US"/>
              </w:rPr>
              <w:t>3</w:t>
            </w:r>
            <w:r>
              <w:rPr>
                <w:rFonts w:ascii="宋体" w:hAnsi="宋体"/>
                <w:spacing w:val="-2"/>
                <w:sz w:val="21"/>
                <w:highlight w:val="none"/>
                <w:lang w:eastAsia="en-US"/>
              </w:rPr>
              <w:t>、飞灰库内及周边环境整洁。</w:t>
            </w:r>
          </w:p>
        </w:tc>
        <w:tc>
          <w:tcPr>
            <w:tcW w:w="3120" w:type="dxa"/>
            <w:vAlign w:val="center"/>
          </w:tcPr>
          <w:p>
            <w:pPr>
              <w:pStyle w:val="401"/>
              <w:autoSpaceDE w:val="0"/>
              <w:autoSpaceDN w:val="0"/>
              <w:spacing w:before="54" w:line="240" w:lineRule="auto"/>
              <w:ind w:left="24" w:right="48" w:hanging="4"/>
              <w:jc w:val="both"/>
              <w:rPr>
                <w:rFonts w:ascii="宋体" w:hAnsi="宋体"/>
                <w:spacing w:val="-7"/>
                <w:sz w:val="21"/>
                <w:highlight w:val="none"/>
                <w:lang w:eastAsia="en-US"/>
              </w:rPr>
            </w:pPr>
            <w:r>
              <w:rPr>
                <w:rFonts w:hint="eastAsia" w:ascii="宋体" w:hAnsi="宋体"/>
                <w:spacing w:val="-7"/>
                <w:sz w:val="21"/>
                <w:highlight w:val="none"/>
                <w:lang w:eastAsia="en-US"/>
              </w:rPr>
              <w:t>1.飞灰进出场道路，环境卫生维护不及时</w:t>
            </w:r>
            <w:r>
              <w:rPr>
                <w:rFonts w:ascii="宋体" w:hAnsi="宋体"/>
                <w:spacing w:val="-7"/>
                <w:sz w:val="21"/>
                <w:highlight w:val="none"/>
                <w:lang w:eastAsia="en-US"/>
              </w:rPr>
              <w:t>每次扣0.5分</w:t>
            </w:r>
            <w:r>
              <w:rPr>
                <w:rFonts w:hint="eastAsia" w:ascii="宋体" w:hAnsi="宋体"/>
                <w:spacing w:val="-7"/>
                <w:sz w:val="21"/>
                <w:highlight w:val="none"/>
                <w:lang w:eastAsia="en-US"/>
              </w:rPr>
              <w:t>；</w:t>
            </w:r>
          </w:p>
          <w:p>
            <w:pPr>
              <w:pStyle w:val="401"/>
              <w:autoSpaceDE w:val="0"/>
              <w:autoSpaceDN w:val="0"/>
              <w:spacing w:before="54" w:line="240" w:lineRule="auto"/>
              <w:ind w:left="24" w:right="48" w:hanging="4"/>
              <w:jc w:val="both"/>
              <w:rPr>
                <w:rFonts w:ascii="宋体" w:hAnsi="宋体"/>
                <w:spacing w:val="-7"/>
                <w:sz w:val="21"/>
                <w:highlight w:val="none"/>
                <w:lang w:eastAsia="en-US"/>
              </w:rPr>
            </w:pPr>
            <w:r>
              <w:rPr>
                <w:rFonts w:hint="eastAsia" w:ascii="宋体" w:hAnsi="宋体"/>
                <w:spacing w:val="-7"/>
                <w:sz w:val="21"/>
                <w:highlight w:val="none"/>
                <w:lang w:eastAsia="en-US"/>
              </w:rPr>
              <w:t>2.飞灰进出场道路，如发现遗撒的飞灰，未及时清理，</w:t>
            </w:r>
            <w:r>
              <w:rPr>
                <w:rFonts w:ascii="宋体" w:hAnsi="宋体"/>
                <w:spacing w:val="-7"/>
                <w:sz w:val="21"/>
                <w:highlight w:val="none"/>
                <w:lang w:eastAsia="en-US"/>
              </w:rPr>
              <w:t>每次扣</w:t>
            </w:r>
            <w:r>
              <w:rPr>
                <w:rFonts w:hint="eastAsia" w:ascii="宋体" w:hAnsi="宋体"/>
                <w:spacing w:val="-7"/>
                <w:sz w:val="21"/>
                <w:highlight w:val="none"/>
                <w:lang w:eastAsia="en-US"/>
              </w:rPr>
              <w:t>2</w:t>
            </w:r>
            <w:r>
              <w:rPr>
                <w:rFonts w:ascii="宋体" w:hAnsi="宋体"/>
                <w:spacing w:val="-7"/>
                <w:sz w:val="21"/>
                <w:highlight w:val="none"/>
                <w:lang w:eastAsia="en-US"/>
              </w:rPr>
              <w:t>分</w:t>
            </w:r>
            <w:r>
              <w:rPr>
                <w:rFonts w:hint="eastAsia" w:ascii="宋体" w:hAnsi="宋体"/>
                <w:spacing w:val="-7"/>
                <w:sz w:val="21"/>
                <w:highlight w:val="none"/>
                <w:lang w:eastAsia="en-US"/>
              </w:rPr>
              <w:t>；</w:t>
            </w:r>
          </w:p>
          <w:p>
            <w:pPr>
              <w:pStyle w:val="401"/>
              <w:autoSpaceDE w:val="0"/>
              <w:autoSpaceDN w:val="0"/>
              <w:spacing w:before="54" w:line="240" w:lineRule="auto"/>
              <w:ind w:left="24" w:right="48" w:hanging="4"/>
              <w:jc w:val="both"/>
              <w:rPr>
                <w:rFonts w:ascii="宋体" w:hAnsi="宋体"/>
                <w:spacing w:val="-7"/>
                <w:sz w:val="21"/>
                <w:highlight w:val="none"/>
                <w:lang w:eastAsia="en-US"/>
              </w:rPr>
            </w:pPr>
            <w:r>
              <w:rPr>
                <w:rFonts w:hint="eastAsia" w:ascii="宋体" w:hAnsi="宋体"/>
                <w:spacing w:val="-7"/>
                <w:sz w:val="21"/>
                <w:highlight w:val="none"/>
                <w:lang w:eastAsia="en-US"/>
              </w:rPr>
              <w:t>3.飞灰填埋库区环境不整洁，杂物较多，</w:t>
            </w:r>
            <w:r>
              <w:rPr>
                <w:rFonts w:ascii="宋体" w:hAnsi="宋体"/>
                <w:spacing w:val="-7"/>
                <w:sz w:val="21"/>
                <w:highlight w:val="none"/>
                <w:lang w:eastAsia="en-US"/>
              </w:rPr>
              <w:t>每次扣0.5分</w:t>
            </w:r>
            <w:r>
              <w:rPr>
                <w:rFonts w:hint="eastAsia" w:ascii="宋体" w:hAnsi="宋体"/>
                <w:spacing w:val="-7"/>
                <w:sz w:val="21"/>
                <w:highlight w:val="none"/>
                <w:lang w:eastAsia="en-US"/>
              </w:rPr>
              <w:t>；</w:t>
            </w:r>
          </w:p>
          <w:p>
            <w:pPr>
              <w:pStyle w:val="401"/>
              <w:autoSpaceDE w:val="0"/>
              <w:autoSpaceDN w:val="0"/>
              <w:spacing w:before="54" w:line="240" w:lineRule="auto"/>
              <w:ind w:left="24" w:right="48" w:hanging="4"/>
              <w:jc w:val="both"/>
              <w:rPr>
                <w:rFonts w:ascii="宋体" w:hAnsi="宋体"/>
                <w:sz w:val="21"/>
                <w:highlight w:val="none"/>
                <w:lang w:eastAsia="en-US"/>
              </w:rPr>
            </w:pPr>
            <w:r>
              <w:rPr>
                <w:rFonts w:hint="eastAsia" w:ascii="宋体" w:hAnsi="宋体"/>
                <w:spacing w:val="-7"/>
                <w:sz w:val="21"/>
                <w:highlight w:val="none"/>
                <w:lang w:eastAsia="en-US"/>
              </w:rPr>
              <w:t>4.飞灰填埋库区覆盖膜上，出现裸露飞灰，未及时清理，</w:t>
            </w:r>
            <w:r>
              <w:rPr>
                <w:rFonts w:ascii="宋体" w:hAnsi="宋体"/>
                <w:spacing w:val="-7"/>
                <w:sz w:val="21"/>
                <w:highlight w:val="none"/>
                <w:lang w:eastAsia="en-US"/>
              </w:rPr>
              <w:t>每次扣</w:t>
            </w:r>
            <w:r>
              <w:rPr>
                <w:rFonts w:hint="eastAsia" w:ascii="宋体" w:hAnsi="宋体"/>
                <w:spacing w:val="-7"/>
                <w:sz w:val="21"/>
                <w:highlight w:val="none"/>
                <w:lang w:eastAsia="en-US"/>
              </w:rPr>
              <w:t>2</w:t>
            </w:r>
            <w:r>
              <w:rPr>
                <w:rFonts w:ascii="宋体" w:hAnsi="宋体"/>
                <w:spacing w:val="-7"/>
                <w:sz w:val="21"/>
                <w:highlight w:val="none"/>
                <w:lang w:eastAsia="en-US"/>
              </w:rPr>
              <w:t>分</w:t>
            </w:r>
            <w:r>
              <w:rPr>
                <w:rFonts w:hint="eastAsia" w:ascii="宋体" w:hAnsi="宋体"/>
                <w:spacing w:val="-7"/>
                <w:sz w:val="21"/>
                <w:highlight w:val="none"/>
                <w:lang w:eastAsia="en-US"/>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jc w:val="center"/>
        </w:trPr>
        <w:tc>
          <w:tcPr>
            <w:tcW w:w="756" w:type="dxa"/>
            <w:vMerge w:val="continue"/>
            <w:tcBorders>
              <w:top w:val="nil"/>
            </w:tcBorders>
          </w:tcPr>
          <w:p>
            <w:pPr>
              <w:autoSpaceDE w:val="0"/>
              <w:autoSpaceDN w:val="0"/>
              <w:jc w:val="center"/>
              <w:rPr>
                <w:rFonts w:ascii="宋体" w:hAnsi="宋体"/>
                <w:sz w:val="20"/>
                <w:highlight w:val="none"/>
                <w:lang w:eastAsia="en-US"/>
              </w:rPr>
            </w:pPr>
          </w:p>
        </w:tc>
        <w:tc>
          <w:tcPr>
            <w:tcW w:w="1368" w:type="dxa"/>
            <w:vMerge w:val="continue"/>
            <w:tcBorders>
              <w:top w:val="nil"/>
            </w:tcBorders>
          </w:tcPr>
          <w:p>
            <w:pPr>
              <w:autoSpaceDE w:val="0"/>
              <w:autoSpaceDN w:val="0"/>
              <w:jc w:val="left"/>
              <w:rPr>
                <w:rFonts w:ascii="宋体" w:hAnsi="宋体"/>
                <w:sz w:val="20"/>
                <w:highlight w:val="none"/>
                <w:lang w:eastAsia="en-US"/>
              </w:rPr>
            </w:pPr>
          </w:p>
        </w:tc>
        <w:tc>
          <w:tcPr>
            <w:tcW w:w="3060" w:type="dxa"/>
            <w:vAlign w:val="center"/>
          </w:tcPr>
          <w:p>
            <w:pPr>
              <w:pStyle w:val="401"/>
              <w:autoSpaceDE w:val="0"/>
              <w:autoSpaceDN w:val="0"/>
              <w:spacing w:before="52" w:line="240" w:lineRule="auto"/>
              <w:ind w:left="18" w:right="39" w:firstLine="5"/>
              <w:jc w:val="both"/>
              <w:rPr>
                <w:rFonts w:ascii="宋体" w:hAnsi="宋体"/>
                <w:sz w:val="21"/>
                <w:highlight w:val="none"/>
                <w:lang w:eastAsia="en-US"/>
              </w:rPr>
            </w:pPr>
            <w:r>
              <w:rPr>
                <w:rFonts w:hint="eastAsia" w:ascii="宋体" w:hAnsi="宋体"/>
                <w:spacing w:val="-2"/>
                <w:sz w:val="21"/>
                <w:highlight w:val="none"/>
                <w:lang w:eastAsia="en-US"/>
              </w:rPr>
              <w:t>4</w:t>
            </w:r>
            <w:r>
              <w:rPr>
                <w:rFonts w:ascii="宋体" w:hAnsi="宋体"/>
                <w:spacing w:val="-2"/>
                <w:sz w:val="21"/>
                <w:highlight w:val="none"/>
                <w:lang w:eastAsia="en-US"/>
              </w:rPr>
              <w:t>、</w:t>
            </w:r>
            <w:r>
              <w:rPr>
                <w:rFonts w:hint="eastAsia" w:ascii="宋体" w:hAnsi="宋体"/>
                <w:spacing w:val="-6"/>
                <w:sz w:val="21"/>
                <w:highlight w:val="none"/>
                <w:lang w:eastAsia="en-US"/>
              </w:rPr>
              <w:t>按照《生活垃圾焚烧稳定化飞灰填埋处置技术标准》（DB32/T 4076-2021）作业，</w:t>
            </w:r>
            <w:r>
              <w:rPr>
                <w:rFonts w:hint="eastAsia" w:ascii="宋体" w:hAnsi="宋体"/>
                <w:spacing w:val="-2"/>
                <w:sz w:val="21"/>
                <w:highlight w:val="none"/>
                <w:lang w:eastAsia="en-US"/>
              </w:rPr>
              <w:t>每次作业后</w:t>
            </w:r>
            <w:r>
              <w:rPr>
                <w:rFonts w:ascii="宋体" w:hAnsi="宋体"/>
                <w:spacing w:val="-2"/>
                <w:sz w:val="21"/>
                <w:highlight w:val="none"/>
                <w:lang w:eastAsia="en-US"/>
              </w:rPr>
              <w:t>及时进行HDPE膜覆盖，</w:t>
            </w:r>
            <w:r>
              <w:rPr>
                <w:rFonts w:hint="eastAsia" w:ascii="宋体" w:hAnsi="宋体"/>
                <w:spacing w:val="-2"/>
                <w:sz w:val="21"/>
                <w:highlight w:val="none"/>
                <w:lang w:eastAsia="en-US"/>
              </w:rPr>
              <w:t>减少渗滤液的产生，</w:t>
            </w:r>
            <w:r>
              <w:rPr>
                <w:rFonts w:ascii="宋体" w:hAnsi="宋体"/>
                <w:spacing w:val="-2"/>
                <w:sz w:val="21"/>
                <w:highlight w:val="none"/>
                <w:lang w:eastAsia="en-US"/>
              </w:rPr>
              <w:t>确保非作</w:t>
            </w:r>
            <w:r>
              <w:rPr>
                <w:rFonts w:ascii="宋体" w:hAnsi="宋体"/>
                <w:spacing w:val="-1"/>
                <w:sz w:val="21"/>
                <w:highlight w:val="none"/>
                <w:lang w:eastAsia="en-US"/>
              </w:rPr>
              <w:t>业时间无裸露作业面。</w:t>
            </w:r>
          </w:p>
        </w:tc>
        <w:tc>
          <w:tcPr>
            <w:tcW w:w="3120" w:type="dxa"/>
            <w:vAlign w:val="center"/>
          </w:tcPr>
          <w:p>
            <w:pPr>
              <w:pStyle w:val="401"/>
              <w:autoSpaceDE w:val="0"/>
              <w:autoSpaceDN w:val="0"/>
              <w:spacing w:before="52" w:line="240" w:lineRule="auto"/>
              <w:ind w:left="22" w:right="11" w:firstLine="2"/>
              <w:jc w:val="both"/>
              <w:rPr>
                <w:rFonts w:ascii="宋体" w:hAnsi="宋体"/>
                <w:spacing w:val="-6"/>
                <w:sz w:val="21"/>
                <w:highlight w:val="none"/>
                <w:lang w:eastAsia="en-US"/>
              </w:rPr>
            </w:pPr>
            <w:r>
              <w:rPr>
                <w:rFonts w:hint="eastAsia" w:ascii="宋体" w:hAnsi="宋体"/>
                <w:spacing w:val="-5"/>
                <w:sz w:val="21"/>
                <w:highlight w:val="none"/>
                <w:lang w:eastAsia="en-US"/>
              </w:rPr>
              <w:t>1.</w:t>
            </w:r>
            <w:r>
              <w:rPr>
                <w:rFonts w:ascii="宋体" w:hAnsi="宋体"/>
                <w:spacing w:val="-5"/>
                <w:sz w:val="21"/>
                <w:highlight w:val="none"/>
                <w:lang w:eastAsia="en-US"/>
              </w:rPr>
              <w:t>未及时进行HDPE膜覆盖</w:t>
            </w:r>
            <w:r>
              <w:rPr>
                <w:rFonts w:hint="eastAsia" w:ascii="宋体" w:hAnsi="宋体"/>
                <w:spacing w:val="-5"/>
                <w:sz w:val="21"/>
                <w:highlight w:val="none"/>
                <w:lang w:eastAsia="en-US"/>
              </w:rPr>
              <w:t>（日覆盖、不过夜）</w:t>
            </w:r>
            <w:r>
              <w:rPr>
                <w:rFonts w:ascii="宋体" w:hAnsi="宋体"/>
                <w:spacing w:val="-5"/>
                <w:sz w:val="21"/>
                <w:highlight w:val="none"/>
                <w:lang w:eastAsia="en-US"/>
              </w:rPr>
              <w:t>每次扣</w:t>
            </w:r>
            <w:r>
              <w:rPr>
                <w:rFonts w:ascii="宋体" w:hAnsi="宋体"/>
                <w:spacing w:val="-6"/>
                <w:sz w:val="21"/>
                <w:highlight w:val="none"/>
                <w:lang w:eastAsia="en-US"/>
              </w:rPr>
              <w:t>0.5分</w:t>
            </w:r>
            <w:r>
              <w:rPr>
                <w:rFonts w:hint="eastAsia" w:ascii="宋体" w:hAnsi="宋体"/>
                <w:spacing w:val="-6"/>
                <w:sz w:val="21"/>
                <w:highlight w:val="none"/>
                <w:lang w:eastAsia="en-US"/>
              </w:rPr>
              <w:t>；</w:t>
            </w:r>
          </w:p>
          <w:p>
            <w:pPr>
              <w:pStyle w:val="401"/>
              <w:autoSpaceDE w:val="0"/>
              <w:autoSpaceDN w:val="0"/>
              <w:spacing w:before="52" w:line="240" w:lineRule="auto"/>
              <w:ind w:left="22" w:right="11" w:firstLine="2"/>
              <w:jc w:val="both"/>
              <w:rPr>
                <w:rFonts w:ascii="宋体" w:hAnsi="宋体"/>
                <w:spacing w:val="-6"/>
                <w:sz w:val="21"/>
                <w:highlight w:val="none"/>
                <w:lang w:eastAsia="en-US"/>
              </w:rPr>
            </w:pPr>
            <w:r>
              <w:rPr>
                <w:rFonts w:hint="eastAsia" w:ascii="宋体" w:hAnsi="宋体"/>
                <w:spacing w:val="-6"/>
                <w:sz w:val="21"/>
                <w:highlight w:val="none"/>
                <w:lang w:eastAsia="en-US"/>
              </w:rPr>
              <w:t>2.未能按照《生活垃圾焚烧稳定化飞灰填埋处置技术标准》（DB32/T 4076-2021）作业，导致渗滤液产生量较大的，每次扣5分。</w:t>
            </w:r>
          </w:p>
          <w:p>
            <w:pPr>
              <w:pStyle w:val="401"/>
              <w:autoSpaceDE w:val="0"/>
              <w:autoSpaceDN w:val="0"/>
              <w:spacing w:before="52" w:line="240" w:lineRule="auto"/>
              <w:ind w:left="22" w:right="11" w:firstLine="2"/>
              <w:jc w:val="both"/>
              <w:rPr>
                <w:rFonts w:ascii="宋体" w:hAnsi="宋体"/>
                <w:spacing w:val="-6"/>
                <w:sz w:val="21"/>
                <w:highlight w:val="none"/>
                <w:lang w:eastAsia="en-US"/>
              </w:rPr>
            </w:pPr>
            <w:r>
              <w:rPr>
                <w:rFonts w:hint="eastAsia" w:ascii="宋体" w:hAnsi="宋体"/>
                <w:spacing w:val="-6"/>
                <w:sz w:val="21"/>
                <w:highlight w:val="none"/>
                <w:lang w:eastAsia="en-US"/>
              </w:rPr>
              <w:t>2.焊接不牢，发现明显露点，未及时整改，</w:t>
            </w:r>
            <w:r>
              <w:rPr>
                <w:rFonts w:ascii="宋体" w:hAnsi="宋体"/>
                <w:spacing w:val="-7"/>
                <w:sz w:val="21"/>
                <w:highlight w:val="none"/>
                <w:lang w:eastAsia="en-US"/>
              </w:rPr>
              <w:t>每次扣</w:t>
            </w:r>
            <w:r>
              <w:rPr>
                <w:rFonts w:hint="eastAsia" w:ascii="宋体" w:hAnsi="宋体"/>
                <w:spacing w:val="-7"/>
                <w:sz w:val="21"/>
                <w:highlight w:val="none"/>
                <w:lang w:eastAsia="en-US"/>
              </w:rPr>
              <w:t>2</w:t>
            </w:r>
            <w:r>
              <w:rPr>
                <w:rFonts w:ascii="宋体" w:hAnsi="宋体"/>
                <w:spacing w:val="-7"/>
                <w:sz w:val="21"/>
                <w:highlight w:val="none"/>
                <w:lang w:eastAsia="en-US"/>
              </w:rPr>
              <w:t>分</w:t>
            </w:r>
            <w:r>
              <w:rPr>
                <w:rFonts w:hint="eastAsia" w:ascii="宋体" w:hAnsi="宋体"/>
                <w:spacing w:val="-7"/>
                <w:sz w:val="21"/>
                <w:highlight w:val="none"/>
                <w:lang w:eastAsia="en-US"/>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jc w:val="center"/>
        </w:trPr>
        <w:tc>
          <w:tcPr>
            <w:tcW w:w="756" w:type="dxa"/>
            <w:tcBorders>
              <w:top w:val="nil"/>
            </w:tcBorders>
          </w:tcPr>
          <w:p>
            <w:pPr>
              <w:autoSpaceDE w:val="0"/>
              <w:autoSpaceDN w:val="0"/>
              <w:jc w:val="center"/>
              <w:rPr>
                <w:rFonts w:ascii="宋体" w:hAnsi="宋体"/>
                <w:sz w:val="20"/>
                <w:highlight w:val="none"/>
                <w:lang w:eastAsia="en-US"/>
              </w:rPr>
            </w:pPr>
          </w:p>
        </w:tc>
        <w:tc>
          <w:tcPr>
            <w:tcW w:w="1368" w:type="dxa"/>
            <w:tcBorders>
              <w:top w:val="nil"/>
            </w:tcBorders>
          </w:tcPr>
          <w:p>
            <w:pPr>
              <w:autoSpaceDE w:val="0"/>
              <w:autoSpaceDN w:val="0"/>
              <w:jc w:val="left"/>
              <w:rPr>
                <w:rFonts w:ascii="宋体" w:hAnsi="宋体"/>
                <w:sz w:val="20"/>
                <w:highlight w:val="none"/>
                <w:lang w:eastAsia="en-US"/>
              </w:rPr>
            </w:pPr>
          </w:p>
        </w:tc>
        <w:tc>
          <w:tcPr>
            <w:tcW w:w="3060" w:type="dxa"/>
            <w:vAlign w:val="center"/>
          </w:tcPr>
          <w:p>
            <w:pPr>
              <w:pStyle w:val="401"/>
              <w:autoSpaceDE w:val="0"/>
              <w:autoSpaceDN w:val="0"/>
              <w:spacing w:before="52" w:line="240" w:lineRule="auto"/>
              <w:ind w:left="18" w:right="39" w:firstLine="5"/>
              <w:jc w:val="both"/>
              <w:rPr>
                <w:rFonts w:ascii="宋体" w:hAnsi="宋体"/>
                <w:spacing w:val="-2"/>
                <w:sz w:val="21"/>
                <w:highlight w:val="none"/>
                <w:lang w:eastAsia="en-US"/>
              </w:rPr>
            </w:pPr>
            <w:r>
              <w:rPr>
                <w:rFonts w:hint="eastAsia" w:ascii="宋体" w:hAnsi="宋体"/>
                <w:spacing w:val="-2"/>
                <w:sz w:val="21"/>
                <w:highlight w:val="none"/>
                <w:lang w:eastAsia="en-US"/>
              </w:rPr>
              <w:t>5、雨污分流符合要求，及时抽排雨水和渗滤液，雨水经在线监测系统达标排放。</w:t>
            </w:r>
          </w:p>
        </w:tc>
        <w:tc>
          <w:tcPr>
            <w:tcW w:w="3120" w:type="dxa"/>
            <w:vAlign w:val="center"/>
          </w:tcPr>
          <w:p>
            <w:pPr>
              <w:pStyle w:val="401"/>
              <w:autoSpaceDE w:val="0"/>
              <w:autoSpaceDN w:val="0"/>
              <w:spacing w:before="52" w:line="240" w:lineRule="auto"/>
              <w:ind w:left="22" w:right="11" w:firstLine="2"/>
              <w:jc w:val="both"/>
              <w:rPr>
                <w:rFonts w:ascii="宋体" w:hAnsi="宋体"/>
                <w:spacing w:val="-2"/>
                <w:sz w:val="21"/>
                <w:highlight w:val="none"/>
                <w:lang w:eastAsia="en-US"/>
              </w:rPr>
            </w:pPr>
            <w:r>
              <w:rPr>
                <w:rFonts w:hint="eastAsia" w:ascii="宋体" w:hAnsi="宋体"/>
                <w:spacing w:val="-5"/>
                <w:sz w:val="21"/>
                <w:highlight w:val="none"/>
                <w:lang w:eastAsia="en-US"/>
              </w:rPr>
              <w:t>1.未能</w:t>
            </w:r>
            <w:r>
              <w:rPr>
                <w:rFonts w:hint="eastAsia" w:ascii="宋体" w:hAnsi="宋体"/>
                <w:spacing w:val="-2"/>
                <w:sz w:val="21"/>
                <w:highlight w:val="none"/>
                <w:lang w:eastAsia="en-US"/>
              </w:rPr>
              <w:t>及时抽排雨水，导致雨水积存库区，每次扣3分；</w:t>
            </w:r>
          </w:p>
          <w:p>
            <w:pPr>
              <w:pStyle w:val="401"/>
              <w:autoSpaceDE w:val="0"/>
              <w:autoSpaceDN w:val="0"/>
              <w:spacing w:before="52" w:line="240" w:lineRule="auto"/>
              <w:ind w:left="22" w:right="11" w:firstLine="2"/>
              <w:jc w:val="both"/>
              <w:rPr>
                <w:rFonts w:ascii="宋体" w:hAnsi="宋体"/>
                <w:spacing w:val="-2"/>
                <w:sz w:val="21"/>
                <w:highlight w:val="none"/>
                <w:lang w:eastAsia="en-US"/>
              </w:rPr>
            </w:pPr>
            <w:r>
              <w:rPr>
                <w:rFonts w:hint="eastAsia" w:ascii="宋体" w:hAnsi="宋体"/>
                <w:spacing w:val="-2"/>
                <w:sz w:val="21"/>
                <w:highlight w:val="none"/>
                <w:lang w:eastAsia="en-US"/>
              </w:rPr>
              <w:t>2.雨水排口管理不到位，造成雨水积存，每次扣3分；</w:t>
            </w:r>
          </w:p>
          <w:p>
            <w:pPr>
              <w:pStyle w:val="401"/>
              <w:autoSpaceDE w:val="0"/>
              <w:autoSpaceDN w:val="0"/>
              <w:spacing w:before="52" w:line="240" w:lineRule="auto"/>
              <w:ind w:left="22" w:right="11" w:firstLine="2"/>
              <w:jc w:val="both"/>
              <w:rPr>
                <w:rFonts w:ascii="宋体" w:hAnsi="宋体"/>
                <w:spacing w:val="-2"/>
                <w:sz w:val="21"/>
                <w:highlight w:val="none"/>
                <w:lang w:eastAsia="en-US"/>
              </w:rPr>
            </w:pPr>
            <w:r>
              <w:rPr>
                <w:rFonts w:hint="eastAsia" w:ascii="宋体" w:hAnsi="宋体"/>
                <w:spacing w:val="-2"/>
                <w:sz w:val="21"/>
                <w:highlight w:val="none"/>
                <w:lang w:eastAsia="en-US"/>
              </w:rPr>
              <w:t>3.雨水经在线监测系统未能达标排放，每次扣2分。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1" w:hRule="atLeast"/>
          <w:jc w:val="center"/>
        </w:trPr>
        <w:tc>
          <w:tcPr>
            <w:tcW w:w="756" w:type="dxa"/>
            <w:vAlign w:val="center"/>
          </w:tcPr>
          <w:p>
            <w:pPr>
              <w:pStyle w:val="401"/>
              <w:autoSpaceDE w:val="0"/>
              <w:autoSpaceDN w:val="0"/>
              <w:spacing w:before="68" w:line="240" w:lineRule="auto"/>
              <w:ind w:left="24"/>
              <w:jc w:val="center"/>
              <w:rPr>
                <w:rFonts w:ascii="宋体" w:hAnsi="宋体"/>
                <w:sz w:val="21"/>
                <w:highlight w:val="none"/>
                <w:lang w:eastAsia="en-US"/>
              </w:rPr>
            </w:pPr>
            <w:r>
              <w:rPr>
                <w:rFonts w:ascii="宋体" w:hAnsi="宋体"/>
                <w:spacing w:val="-2"/>
                <w:sz w:val="21"/>
                <w:highlight w:val="none"/>
                <w:lang w:eastAsia="en-US"/>
              </w:rPr>
              <w:t>2.3</w:t>
            </w:r>
          </w:p>
        </w:tc>
        <w:tc>
          <w:tcPr>
            <w:tcW w:w="1368" w:type="dxa"/>
            <w:vAlign w:val="center"/>
          </w:tcPr>
          <w:p>
            <w:pPr>
              <w:pStyle w:val="401"/>
              <w:autoSpaceDE w:val="0"/>
              <w:autoSpaceDN w:val="0"/>
              <w:spacing w:before="68" w:line="240" w:lineRule="auto"/>
              <w:ind w:left="20"/>
              <w:jc w:val="center"/>
              <w:rPr>
                <w:rFonts w:ascii="宋体" w:hAnsi="宋体"/>
                <w:sz w:val="21"/>
                <w:highlight w:val="none"/>
                <w:lang w:eastAsia="en-US"/>
              </w:rPr>
            </w:pPr>
            <w:r>
              <w:rPr>
                <w:rFonts w:ascii="宋体" w:hAnsi="宋体"/>
                <w:spacing w:val="-2"/>
                <w:sz w:val="21"/>
                <w:highlight w:val="none"/>
                <w:lang w:eastAsia="en-US"/>
              </w:rPr>
              <w:t>调度管理</w:t>
            </w:r>
          </w:p>
        </w:tc>
        <w:tc>
          <w:tcPr>
            <w:tcW w:w="3060" w:type="dxa"/>
            <w:vAlign w:val="center"/>
          </w:tcPr>
          <w:p>
            <w:pPr>
              <w:pStyle w:val="401"/>
              <w:autoSpaceDE w:val="0"/>
              <w:autoSpaceDN w:val="0"/>
              <w:spacing w:before="191" w:line="240" w:lineRule="auto"/>
              <w:ind w:left="20" w:right="24" w:firstLine="14"/>
              <w:jc w:val="both"/>
              <w:rPr>
                <w:rFonts w:ascii="宋体" w:hAnsi="宋体"/>
                <w:sz w:val="21"/>
                <w:highlight w:val="none"/>
                <w:lang w:eastAsia="en-US"/>
              </w:rPr>
            </w:pPr>
            <w:r>
              <w:rPr>
                <w:rFonts w:ascii="宋体" w:hAnsi="宋体"/>
                <w:spacing w:val="-7"/>
                <w:sz w:val="21"/>
                <w:highlight w:val="none"/>
                <w:lang w:eastAsia="en-US"/>
              </w:rPr>
              <w:t>1、填埋场人员应严格按照采购人的指</w:t>
            </w:r>
            <w:r>
              <w:rPr>
                <w:rFonts w:ascii="宋体" w:hAnsi="宋体"/>
                <w:spacing w:val="-2"/>
                <w:sz w:val="21"/>
                <w:highlight w:val="none"/>
                <w:lang w:eastAsia="en-US"/>
              </w:rPr>
              <w:t>令调度。</w:t>
            </w:r>
          </w:p>
        </w:tc>
        <w:tc>
          <w:tcPr>
            <w:tcW w:w="3120" w:type="dxa"/>
            <w:vAlign w:val="center"/>
          </w:tcPr>
          <w:p>
            <w:pPr>
              <w:pStyle w:val="401"/>
              <w:autoSpaceDE w:val="0"/>
              <w:autoSpaceDN w:val="0"/>
              <w:spacing w:before="52" w:line="240" w:lineRule="auto"/>
              <w:ind w:left="24" w:firstLine="12"/>
              <w:jc w:val="both"/>
              <w:rPr>
                <w:rFonts w:ascii="宋体" w:hAnsi="宋体"/>
                <w:spacing w:val="-16"/>
                <w:sz w:val="21"/>
                <w:highlight w:val="none"/>
                <w:lang w:eastAsia="en-US"/>
              </w:rPr>
            </w:pPr>
            <w:r>
              <w:rPr>
                <w:rFonts w:hint="eastAsia" w:ascii="宋体" w:hAnsi="宋体"/>
                <w:spacing w:val="-13"/>
                <w:sz w:val="21"/>
                <w:highlight w:val="none"/>
                <w:lang w:eastAsia="en-US"/>
              </w:rPr>
              <w:t>1.</w:t>
            </w:r>
            <w:r>
              <w:rPr>
                <w:rFonts w:ascii="宋体" w:hAnsi="宋体"/>
                <w:spacing w:val="-13"/>
                <w:sz w:val="21"/>
                <w:highlight w:val="none"/>
                <w:lang w:eastAsia="en-US"/>
              </w:rPr>
              <w:t>未按业主单位指令调度的，扣1分/</w:t>
            </w:r>
            <w:r>
              <w:rPr>
                <w:rFonts w:ascii="宋体" w:hAnsi="宋体"/>
                <w:spacing w:val="-16"/>
                <w:sz w:val="21"/>
                <w:highlight w:val="none"/>
                <w:lang w:eastAsia="en-US"/>
              </w:rPr>
              <w:t>次</w:t>
            </w:r>
            <w:r>
              <w:rPr>
                <w:rFonts w:hint="eastAsia" w:ascii="宋体" w:hAnsi="宋体"/>
                <w:spacing w:val="-16"/>
                <w:sz w:val="21"/>
                <w:highlight w:val="none"/>
                <w:lang w:eastAsia="en-US"/>
              </w:rPr>
              <w:t>；</w:t>
            </w:r>
          </w:p>
          <w:p>
            <w:pPr>
              <w:pStyle w:val="401"/>
              <w:autoSpaceDE w:val="0"/>
              <w:autoSpaceDN w:val="0"/>
              <w:spacing w:before="52" w:line="240" w:lineRule="auto"/>
              <w:ind w:left="24" w:firstLine="12"/>
              <w:jc w:val="both"/>
              <w:rPr>
                <w:rFonts w:ascii="宋体" w:hAnsi="宋体"/>
                <w:sz w:val="21"/>
                <w:highlight w:val="none"/>
                <w:lang w:eastAsia="en-US"/>
              </w:rPr>
            </w:pPr>
            <w:r>
              <w:rPr>
                <w:rFonts w:hint="eastAsia" w:ascii="宋体" w:hAnsi="宋体"/>
                <w:spacing w:val="-16"/>
                <w:sz w:val="21"/>
                <w:highlight w:val="none"/>
                <w:lang w:eastAsia="en-US"/>
              </w:rPr>
              <w:t>2.</w:t>
            </w:r>
            <w:r>
              <w:rPr>
                <w:rFonts w:ascii="宋体" w:hAnsi="宋体"/>
                <w:spacing w:val="-16"/>
                <w:sz w:val="21"/>
                <w:highlight w:val="none"/>
                <w:lang w:eastAsia="en-US"/>
              </w:rPr>
              <w:t>出现抵触、消极怠工、争吵暴力的，</w:t>
            </w:r>
            <w:r>
              <w:rPr>
                <w:rFonts w:ascii="宋体" w:hAnsi="宋体"/>
                <w:spacing w:val="-10"/>
                <w:sz w:val="21"/>
                <w:highlight w:val="none"/>
                <w:lang w:eastAsia="en-US"/>
              </w:rPr>
              <w:t>扣</w:t>
            </w:r>
            <w:r>
              <w:rPr>
                <w:rFonts w:hint="eastAsia" w:ascii="宋体" w:hAnsi="宋体"/>
                <w:spacing w:val="-10"/>
                <w:sz w:val="21"/>
                <w:highlight w:val="none"/>
                <w:lang w:eastAsia="en-US"/>
              </w:rPr>
              <w:t>5</w:t>
            </w:r>
            <w:r>
              <w:rPr>
                <w:rFonts w:ascii="宋体" w:hAnsi="宋体"/>
                <w:spacing w:val="-10"/>
                <w:sz w:val="21"/>
                <w:highlight w:val="none"/>
                <w:lang w:eastAsia="en-US"/>
              </w:rPr>
              <w:t>分/次。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1" w:hRule="atLeast"/>
          <w:jc w:val="center"/>
        </w:trPr>
        <w:tc>
          <w:tcPr>
            <w:tcW w:w="756" w:type="dxa"/>
            <w:vAlign w:val="center"/>
          </w:tcPr>
          <w:p>
            <w:pPr>
              <w:pStyle w:val="401"/>
              <w:autoSpaceDE w:val="0"/>
              <w:autoSpaceDN w:val="0"/>
              <w:spacing w:before="68" w:line="240" w:lineRule="auto"/>
              <w:ind w:left="24"/>
              <w:jc w:val="center"/>
              <w:rPr>
                <w:rFonts w:ascii="宋体" w:hAnsi="宋体"/>
                <w:spacing w:val="-2"/>
                <w:sz w:val="21"/>
                <w:highlight w:val="none"/>
                <w:lang w:eastAsia="en-US"/>
              </w:rPr>
            </w:pPr>
            <w:r>
              <w:rPr>
                <w:rFonts w:hint="eastAsia" w:ascii="宋体" w:hAnsi="宋体"/>
                <w:spacing w:val="-2"/>
                <w:sz w:val="21"/>
                <w:highlight w:val="none"/>
                <w:lang w:eastAsia="en-US"/>
              </w:rPr>
              <w:t>2.4</w:t>
            </w:r>
          </w:p>
        </w:tc>
        <w:tc>
          <w:tcPr>
            <w:tcW w:w="1368" w:type="dxa"/>
            <w:vAlign w:val="center"/>
          </w:tcPr>
          <w:p>
            <w:pPr>
              <w:pStyle w:val="401"/>
              <w:autoSpaceDE w:val="0"/>
              <w:autoSpaceDN w:val="0"/>
              <w:spacing w:before="68" w:line="240" w:lineRule="auto"/>
              <w:ind w:left="20"/>
              <w:jc w:val="center"/>
              <w:rPr>
                <w:rFonts w:ascii="宋体" w:hAnsi="宋体"/>
                <w:spacing w:val="-2"/>
                <w:sz w:val="21"/>
                <w:highlight w:val="none"/>
                <w:lang w:eastAsia="en-US"/>
              </w:rPr>
            </w:pPr>
            <w:r>
              <w:rPr>
                <w:rFonts w:hint="eastAsia" w:ascii="宋体" w:hAnsi="宋体"/>
                <w:spacing w:val="-2"/>
                <w:sz w:val="21"/>
                <w:highlight w:val="none"/>
                <w:lang w:eastAsia="en-US"/>
              </w:rPr>
              <w:t>渗滤液处理监管、污水和雨水在线监测系统监管</w:t>
            </w:r>
          </w:p>
        </w:tc>
        <w:tc>
          <w:tcPr>
            <w:tcW w:w="3060" w:type="dxa"/>
            <w:vAlign w:val="center"/>
          </w:tcPr>
          <w:p>
            <w:pPr>
              <w:pStyle w:val="401"/>
              <w:numPr>
                <w:ilvl w:val="0"/>
                <w:numId w:val="9"/>
              </w:numPr>
              <w:autoSpaceDE w:val="0"/>
              <w:autoSpaceDN w:val="0"/>
              <w:spacing w:before="191" w:line="240" w:lineRule="auto"/>
              <w:ind w:left="20" w:right="24" w:firstLine="14"/>
              <w:jc w:val="both"/>
              <w:rPr>
                <w:rFonts w:ascii="宋体" w:hAnsi="宋体"/>
                <w:spacing w:val="-7"/>
                <w:sz w:val="21"/>
                <w:highlight w:val="none"/>
                <w:lang w:eastAsia="en-US"/>
              </w:rPr>
            </w:pPr>
            <w:r>
              <w:rPr>
                <w:rFonts w:hint="eastAsia" w:ascii="宋体" w:hAnsi="宋体"/>
                <w:spacing w:val="-7"/>
                <w:sz w:val="21"/>
                <w:highlight w:val="none"/>
                <w:lang w:eastAsia="en-US"/>
              </w:rPr>
              <w:t>负责灰渣场污水处理站日常运营监管。</w:t>
            </w:r>
          </w:p>
          <w:p>
            <w:pPr>
              <w:pStyle w:val="401"/>
              <w:numPr>
                <w:ilvl w:val="0"/>
                <w:numId w:val="9"/>
              </w:numPr>
              <w:autoSpaceDE w:val="0"/>
              <w:autoSpaceDN w:val="0"/>
              <w:spacing w:before="191" w:line="240" w:lineRule="auto"/>
              <w:ind w:left="20" w:right="24" w:firstLine="14"/>
              <w:jc w:val="both"/>
              <w:rPr>
                <w:rFonts w:ascii="宋体" w:hAnsi="宋体"/>
                <w:spacing w:val="-7"/>
                <w:sz w:val="21"/>
                <w:highlight w:val="none"/>
                <w:lang w:eastAsia="en-US"/>
              </w:rPr>
            </w:pPr>
            <w:r>
              <w:rPr>
                <w:rFonts w:hint="eastAsia" w:ascii="宋体" w:hAnsi="宋体"/>
                <w:spacing w:val="-7"/>
                <w:sz w:val="21"/>
                <w:highlight w:val="none"/>
                <w:lang w:eastAsia="en-US"/>
              </w:rPr>
              <w:t>负责</w:t>
            </w:r>
            <w:r>
              <w:rPr>
                <w:rFonts w:hint="eastAsia" w:ascii="宋体" w:hAnsi="宋体"/>
                <w:spacing w:val="-2"/>
                <w:sz w:val="21"/>
                <w:highlight w:val="none"/>
                <w:lang w:eastAsia="en-US"/>
              </w:rPr>
              <w:t>污水和雨水在线监测系统监管。</w:t>
            </w:r>
          </w:p>
        </w:tc>
        <w:tc>
          <w:tcPr>
            <w:tcW w:w="3120" w:type="dxa"/>
            <w:vAlign w:val="center"/>
          </w:tcPr>
          <w:p>
            <w:pPr>
              <w:pStyle w:val="401"/>
              <w:autoSpaceDE w:val="0"/>
              <w:autoSpaceDN w:val="0"/>
              <w:spacing w:before="52" w:line="240" w:lineRule="auto"/>
              <w:ind w:left="24" w:firstLine="12"/>
              <w:jc w:val="both"/>
              <w:rPr>
                <w:rFonts w:ascii="宋体" w:hAnsi="宋体"/>
                <w:spacing w:val="-2"/>
                <w:sz w:val="21"/>
                <w:highlight w:val="none"/>
                <w:lang w:eastAsia="en-US"/>
              </w:rPr>
            </w:pPr>
            <w:r>
              <w:rPr>
                <w:rFonts w:hint="eastAsia" w:ascii="宋体" w:hAnsi="宋体"/>
                <w:spacing w:val="-16"/>
                <w:sz w:val="21"/>
                <w:highlight w:val="none"/>
                <w:lang w:eastAsia="en-US"/>
              </w:rPr>
              <w:t>1.督促污水处理运营第三方，按时记录</w:t>
            </w:r>
            <w:r>
              <w:rPr>
                <w:rFonts w:hint="eastAsia" w:ascii="宋体" w:hAnsi="宋体"/>
                <w:spacing w:val="-2"/>
                <w:sz w:val="21"/>
                <w:highlight w:val="none"/>
                <w:lang w:eastAsia="en-US"/>
              </w:rPr>
              <w:t>运行台账；</w:t>
            </w:r>
          </w:p>
          <w:p>
            <w:pPr>
              <w:pStyle w:val="401"/>
              <w:autoSpaceDE w:val="0"/>
              <w:autoSpaceDN w:val="0"/>
              <w:spacing w:before="52" w:line="240" w:lineRule="auto"/>
              <w:ind w:left="24" w:firstLine="12"/>
              <w:jc w:val="both"/>
              <w:rPr>
                <w:rFonts w:ascii="宋体" w:hAnsi="宋体"/>
                <w:spacing w:val="-2"/>
                <w:sz w:val="21"/>
                <w:highlight w:val="none"/>
                <w:lang w:eastAsia="en-US"/>
              </w:rPr>
            </w:pPr>
            <w:r>
              <w:rPr>
                <w:rFonts w:hint="eastAsia" w:ascii="宋体" w:hAnsi="宋体"/>
                <w:spacing w:val="-2"/>
                <w:sz w:val="21"/>
                <w:highlight w:val="none"/>
                <w:lang w:eastAsia="en-US"/>
              </w:rPr>
              <w:t>2.督促污水处理运营第三方，严格落实污水处理安全操作规程，严禁违规操作；</w:t>
            </w:r>
          </w:p>
          <w:p>
            <w:pPr>
              <w:pStyle w:val="401"/>
              <w:autoSpaceDE w:val="0"/>
              <w:autoSpaceDN w:val="0"/>
              <w:spacing w:before="52" w:line="240" w:lineRule="auto"/>
              <w:ind w:left="24" w:firstLine="12"/>
              <w:jc w:val="both"/>
              <w:rPr>
                <w:rFonts w:ascii="宋体" w:hAnsi="宋体"/>
                <w:spacing w:val="-2"/>
                <w:sz w:val="21"/>
                <w:highlight w:val="none"/>
                <w:lang w:eastAsia="en-US"/>
              </w:rPr>
            </w:pPr>
            <w:r>
              <w:rPr>
                <w:rFonts w:hint="eastAsia" w:ascii="宋体" w:hAnsi="宋体"/>
                <w:spacing w:val="-2"/>
                <w:sz w:val="21"/>
                <w:highlight w:val="none"/>
                <w:lang w:eastAsia="en-US"/>
              </w:rPr>
              <w:t>3.督促污水处理运营第三方，污水处理现场，做到秩序正规；</w:t>
            </w:r>
          </w:p>
          <w:p>
            <w:pPr>
              <w:pStyle w:val="401"/>
              <w:autoSpaceDE w:val="0"/>
              <w:autoSpaceDN w:val="0"/>
              <w:spacing w:before="52" w:line="240" w:lineRule="auto"/>
              <w:ind w:left="24" w:firstLine="12"/>
              <w:jc w:val="both"/>
              <w:rPr>
                <w:rFonts w:ascii="宋体" w:hAnsi="宋体"/>
                <w:spacing w:val="-2"/>
                <w:sz w:val="21"/>
                <w:highlight w:val="none"/>
                <w:lang w:eastAsia="en-US"/>
              </w:rPr>
            </w:pPr>
            <w:r>
              <w:rPr>
                <w:rFonts w:hint="eastAsia" w:ascii="宋体" w:hAnsi="宋体"/>
                <w:spacing w:val="-2"/>
                <w:sz w:val="21"/>
                <w:highlight w:val="none"/>
                <w:lang w:eastAsia="en-US"/>
              </w:rPr>
              <w:t>3.督促污水处理运营第三方，做好危化品和危废管理；</w:t>
            </w:r>
          </w:p>
          <w:p>
            <w:pPr>
              <w:pStyle w:val="401"/>
              <w:autoSpaceDE w:val="0"/>
              <w:autoSpaceDN w:val="0"/>
              <w:spacing w:before="52" w:line="240" w:lineRule="auto"/>
              <w:ind w:left="24" w:firstLine="12"/>
              <w:jc w:val="both"/>
              <w:rPr>
                <w:rFonts w:ascii="宋体" w:hAnsi="宋体"/>
                <w:spacing w:val="-2"/>
                <w:sz w:val="21"/>
                <w:highlight w:val="none"/>
                <w:lang w:eastAsia="en-US"/>
              </w:rPr>
            </w:pPr>
            <w:r>
              <w:rPr>
                <w:rFonts w:hint="eastAsia" w:ascii="宋体" w:hAnsi="宋体"/>
                <w:spacing w:val="-2"/>
                <w:sz w:val="21"/>
                <w:highlight w:val="none"/>
                <w:lang w:eastAsia="en-US"/>
              </w:rPr>
              <w:t>4.督促污水处理运营第三方，按甲方需求完成污水处理量，并确保水质达标排放；</w:t>
            </w:r>
          </w:p>
          <w:p>
            <w:pPr>
              <w:pStyle w:val="401"/>
              <w:autoSpaceDE w:val="0"/>
              <w:autoSpaceDN w:val="0"/>
              <w:spacing w:before="52" w:line="240" w:lineRule="auto"/>
              <w:ind w:left="24" w:firstLine="12"/>
              <w:jc w:val="both"/>
              <w:rPr>
                <w:rFonts w:ascii="宋体" w:hAnsi="宋体"/>
                <w:spacing w:val="-2"/>
                <w:sz w:val="21"/>
                <w:highlight w:val="none"/>
                <w:lang w:eastAsia="en-US"/>
              </w:rPr>
            </w:pPr>
            <w:r>
              <w:rPr>
                <w:rFonts w:hint="eastAsia" w:ascii="宋体" w:hAnsi="宋体"/>
                <w:spacing w:val="-2"/>
                <w:sz w:val="21"/>
                <w:highlight w:val="none"/>
                <w:lang w:eastAsia="en-US"/>
              </w:rPr>
              <w:t>5.督促污水在线监测运营第三方按时记录运营台账。</w:t>
            </w:r>
          </w:p>
          <w:p>
            <w:pPr>
              <w:pStyle w:val="401"/>
              <w:autoSpaceDE w:val="0"/>
              <w:autoSpaceDN w:val="0"/>
              <w:spacing w:before="52" w:line="240" w:lineRule="auto"/>
              <w:ind w:left="24" w:firstLine="12"/>
              <w:jc w:val="both"/>
              <w:rPr>
                <w:rFonts w:ascii="宋体" w:hAnsi="宋体"/>
                <w:spacing w:val="-2"/>
                <w:sz w:val="21"/>
                <w:highlight w:val="none"/>
                <w:lang w:eastAsia="en-US"/>
              </w:rPr>
            </w:pPr>
            <w:r>
              <w:rPr>
                <w:rFonts w:hint="eastAsia" w:ascii="宋体" w:hAnsi="宋体"/>
                <w:spacing w:val="-2"/>
                <w:sz w:val="21"/>
                <w:highlight w:val="none"/>
                <w:lang w:eastAsia="en-US"/>
              </w:rPr>
              <w:t>6.督促雨水在线监测运营第三方按时记录运营台账。</w:t>
            </w:r>
          </w:p>
          <w:p>
            <w:pPr>
              <w:pStyle w:val="401"/>
              <w:autoSpaceDE w:val="0"/>
              <w:autoSpaceDN w:val="0"/>
              <w:spacing w:before="52" w:line="240" w:lineRule="auto"/>
              <w:ind w:left="24" w:firstLine="12"/>
              <w:jc w:val="both"/>
              <w:rPr>
                <w:rFonts w:ascii="宋体" w:hAnsi="宋体"/>
                <w:spacing w:val="-2"/>
                <w:sz w:val="21"/>
                <w:highlight w:val="none"/>
                <w:lang w:eastAsia="en-US"/>
              </w:rPr>
            </w:pPr>
            <w:r>
              <w:rPr>
                <w:rFonts w:hint="eastAsia" w:ascii="宋体" w:hAnsi="宋体"/>
                <w:spacing w:val="-2"/>
                <w:sz w:val="21"/>
                <w:highlight w:val="none"/>
                <w:lang w:eastAsia="en-US"/>
              </w:rPr>
              <w:t>以上工作未能及时督促、监管到位的，扣1分/次。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jc w:val="center"/>
        </w:trPr>
        <w:tc>
          <w:tcPr>
            <w:tcW w:w="756" w:type="dxa"/>
          </w:tcPr>
          <w:p>
            <w:pPr>
              <w:pStyle w:val="401"/>
              <w:autoSpaceDE w:val="0"/>
              <w:autoSpaceDN w:val="0"/>
              <w:spacing w:before="52" w:line="240" w:lineRule="auto"/>
              <w:ind w:left="22"/>
              <w:jc w:val="center"/>
              <w:rPr>
                <w:rFonts w:ascii="宋体" w:hAnsi="宋体"/>
                <w:sz w:val="21"/>
                <w:highlight w:val="none"/>
                <w:lang w:eastAsia="en-US"/>
              </w:rPr>
            </w:pPr>
            <w:r>
              <w:rPr>
                <w:rFonts w:ascii="宋体" w:hAnsi="宋体"/>
                <w:sz w:val="21"/>
                <w:highlight w:val="none"/>
                <w:lang w:eastAsia="en-US"/>
              </w:rPr>
              <w:t>三</w:t>
            </w:r>
          </w:p>
        </w:tc>
        <w:tc>
          <w:tcPr>
            <w:tcW w:w="7548" w:type="dxa"/>
            <w:gridSpan w:val="3"/>
          </w:tcPr>
          <w:p>
            <w:pPr>
              <w:pStyle w:val="401"/>
              <w:autoSpaceDE w:val="0"/>
              <w:autoSpaceDN w:val="0"/>
              <w:spacing w:before="52" w:line="240" w:lineRule="auto"/>
              <w:ind w:left="22"/>
              <w:jc w:val="center"/>
              <w:rPr>
                <w:rFonts w:ascii="宋体" w:hAnsi="宋体"/>
                <w:sz w:val="21"/>
                <w:highlight w:val="none"/>
                <w:lang w:eastAsia="en-US"/>
              </w:rPr>
            </w:pPr>
            <w:r>
              <w:rPr>
                <w:rFonts w:ascii="宋体" w:hAnsi="宋体"/>
                <w:spacing w:val="-3"/>
                <w:sz w:val="21"/>
                <w:highlight w:val="none"/>
                <w:lang w:eastAsia="en-US"/>
              </w:rPr>
              <w:t>安全管理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jc w:val="center"/>
        </w:trPr>
        <w:tc>
          <w:tcPr>
            <w:tcW w:w="756" w:type="dxa"/>
            <w:vMerge w:val="restart"/>
            <w:tcBorders>
              <w:bottom w:val="nil"/>
            </w:tcBorders>
            <w:vAlign w:val="center"/>
          </w:tcPr>
          <w:p>
            <w:pPr>
              <w:pStyle w:val="401"/>
              <w:autoSpaceDE w:val="0"/>
              <w:autoSpaceDN w:val="0"/>
              <w:spacing w:before="68" w:line="240" w:lineRule="auto"/>
              <w:ind w:left="26"/>
              <w:jc w:val="center"/>
              <w:rPr>
                <w:rFonts w:ascii="宋体" w:hAnsi="宋体"/>
                <w:sz w:val="21"/>
                <w:highlight w:val="none"/>
                <w:lang w:eastAsia="en-US"/>
              </w:rPr>
            </w:pPr>
            <w:r>
              <w:rPr>
                <w:rFonts w:ascii="宋体" w:hAnsi="宋体"/>
                <w:spacing w:val="-3"/>
                <w:sz w:val="21"/>
                <w:highlight w:val="none"/>
                <w:lang w:eastAsia="en-US"/>
              </w:rPr>
              <w:t>3.1</w:t>
            </w:r>
          </w:p>
        </w:tc>
        <w:tc>
          <w:tcPr>
            <w:tcW w:w="1368" w:type="dxa"/>
            <w:vMerge w:val="restart"/>
            <w:tcBorders>
              <w:bottom w:val="nil"/>
            </w:tcBorders>
            <w:vAlign w:val="center"/>
          </w:tcPr>
          <w:p>
            <w:pPr>
              <w:pStyle w:val="401"/>
              <w:autoSpaceDE w:val="0"/>
              <w:autoSpaceDN w:val="0"/>
              <w:spacing w:before="68" w:line="240" w:lineRule="auto"/>
              <w:ind w:left="22"/>
              <w:jc w:val="center"/>
              <w:rPr>
                <w:rFonts w:ascii="宋体" w:hAnsi="宋体"/>
                <w:sz w:val="21"/>
                <w:highlight w:val="none"/>
                <w:lang w:eastAsia="en-US"/>
              </w:rPr>
            </w:pPr>
            <w:r>
              <w:rPr>
                <w:rFonts w:ascii="宋体" w:hAnsi="宋体"/>
                <w:spacing w:val="-3"/>
                <w:sz w:val="21"/>
                <w:highlight w:val="none"/>
                <w:lang w:eastAsia="en-US"/>
              </w:rPr>
              <w:t>安全措施</w:t>
            </w:r>
          </w:p>
        </w:tc>
        <w:tc>
          <w:tcPr>
            <w:tcW w:w="3060" w:type="dxa"/>
            <w:vAlign w:val="center"/>
          </w:tcPr>
          <w:p>
            <w:pPr>
              <w:pStyle w:val="401"/>
              <w:autoSpaceDE w:val="0"/>
              <w:autoSpaceDN w:val="0"/>
              <w:spacing w:before="190" w:line="240" w:lineRule="auto"/>
              <w:ind w:left="34"/>
              <w:jc w:val="both"/>
              <w:rPr>
                <w:rFonts w:ascii="宋体" w:hAnsi="宋体"/>
                <w:sz w:val="21"/>
                <w:highlight w:val="none"/>
                <w:lang w:eastAsia="en-US"/>
              </w:rPr>
            </w:pPr>
            <w:r>
              <w:rPr>
                <w:rFonts w:ascii="宋体" w:hAnsi="宋体"/>
                <w:spacing w:val="-2"/>
                <w:sz w:val="21"/>
                <w:highlight w:val="none"/>
                <w:lang w:eastAsia="en-US"/>
              </w:rPr>
              <w:t>1、做好日常安全生产工作。</w:t>
            </w:r>
          </w:p>
        </w:tc>
        <w:tc>
          <w:tcPr>
            <w:tcW w:w="3120" w:type="dxa"/>
            <w:vAlign w:val="center"/>
          </w:tcPr>
          <w:p>
            <w:pPr>
              <w:pStyle w:val="401"/>
              <w:autoSpaceDE w:val="0"/>
              <w:autoSpaceDN w:val="0"/>
              <w:spacing w:before="50" w:line="240" w:lineRule="auto"/>
              <w:ind w:left="24" w:right="40" w:firstLine="12"/>
              <w:jc w:val="both"/>
              <w:rPr>
                <w:rFonts w:ascii="宋体" w:hAnsi="宋体"/>
                <w:sz w:val="21"/>
                <w:highlight w:val="none"/>
                <w:lang w:eastAsia="en-US"/>
              </w:rPr>
            </w:pPr>
            <w:r>
              <w:rPr>
                <w:rFonts w:ascii="宋体" w:hAnsi="宋体"/>
                <w:spacing w:val="-2"/>
                <w:sz w:val="21"/>
                <w:highlight w:val="none"/>
                <w:lang w:eastAsia="en-US"/>
              </w:rPr>
              <w:t>1、若因运营方的</w:t>
            </w:r>
            <w:r>
              <w:rPr>
                <w:rFonts w:hint="eastAsia" w:ascii="宋体" w:hAnsi="宋体"/>
                <w:spacing w:val="-2"/>
                <w:sz w:val="21"/>
                <w:highlight w:val="none"/>
                <w:lang w:eastAsia="en-US"/>
              </w:rPr>
              <w:t>管理不善，</w:t>
            </w:r>
            <w:r>
              <w:rPr>
                <w:rFonts w:ascii="宋体" w:hAnsi="宋体"/>
                <w:spacing w:val="-2"/>
                <w:sz w:val="21"/>
                <w:highlight w:val="none"/>
                <w:lang w:eastAsia="en-US"/>
              </w:rPr>
              <w:t>出现重大责任事</w:t>
            </w:r>
            <w:r>
              <w:rPr>
                <w:rFonts w:ascii="宋体" w:hAnsi="宋体"/>
                <w:spacing w:val="-6"/>
                <w:sz w:val="21"/>
                <w:highlight w:val="none"/>
                <w:lang w:eastAsia="en-US"/>
              </w:rPr>
              <w:t>故的扣</w:t>
            </w:r>
            <w:r>
              <w:rPr>
                <w:rFonts w:hint="eastAsia" w:ascii="宋体" w:hAnsi="宋体"/>
                <w:spacing w:val="-6"/>
                <w:sz w:val="21"/>
                <w:highlight w:val="none"/>
                <w:lang w:eastAsia="en-US"/>
              </w:rPr>
              <w:t>2</w:t>
            </w:r>
            <w:r>
              <w:rPr>
                <w:rFonts w:ascii="宋体" w:hAnsi="宋体"/>
                <w:spacing w:val="-6"/>
                <w:sz w:val="21"/>
                <w:highlight w:val="none"/>
                <w:lang w:eastAsia="en-US"/>
              </w:rPr>
              <w:t>0分/次。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3" w:hRule="atLeast"/>
          <w:jc w:val="center"/>
        </w:trPr>
        <w:tc>
          <w:tcPr>
            <w:tcW w:w="756" w:type="dxa"/>
            <w:vMerge w:val="continue"/>
            <w:tcBorders>
              <w:top w:val="nil"/>
            </w:tcBorders>
          </w:tcPr>
          <w:p>
            <w:pPr>
              <w:autoSpaceDE w:val="0"/>
              <w:autoSpaceDN w:val="0"/>
              <w:jc w:val="center"/>
              <w:rPr>
                <w:rFonts w:ascii="宋体" w:hAnsi="宋体"/>
                <w:sz w:val="20"/>
                <w:highlight w:val="none"/>
                <w:lang w:eastAsia="en-US"/>
              </w:rPr>
            </w:pPr>
          </w:p>
        </w:tc>
        <w:tc>
          <w:tcPr>
            <w:tcW w:w="1368" w:type="dxa"/>
            <w:vMerge w:val="continue"/>
            <w:tcBorders>
              <w:top w:val="nil"/>
            </w:tcBorders>
          </w:tcPr>
          <w:p>
            <w:pPr>
              <w:autoSpaceDE w:val="0"/>
              <w:autoSpaceDN w:val="0"/>
              <w:jc w:val="left"/>
              <w:rPr>
                <w:rFonts w:ascii="宋体" w:hAnsi="宋体"/>
                <w:sz w:val="20"/>
                <w:highlight w:val="none"/>
                <w:lang w:eastAsia="en-US"/>
              </w:rPr>
            </w:pPr>
          </w:p>
        </w:tc>
        <w:tc>
          <w:tcPr>
            <w:tcW w:w="3060" w:type="dxa"/>
            <w:vAlign w:val="center"/>
          </w:tcPr>
          <w:p>
            <w:pPr>
              <w:pStyle w:val="401"/>
              <w:autoSpaceDE w:val="0"/>
              <w:autoSpaceDN w:val="0"/>
              <w:spacing w:before="54" w:line="240" w:lineRule="auto"/>
              <w:ind w:left="21"/>
              <w:jc w:val="both"/>
              <w:rPr>
                <w:rFonts w:ascii="宋体" w:hAnsi="宋体"/>
                <w:sz w:val="21"/>
                <w:highlight w:val="none"/>
                <w:lang w:eastAsia="en-US"/>
              </w:rPr>
            </w:pPr>
            <w:r>
              <w:rPr>
                <w:rFonts w:ascii="宋体" w:hAnsi="宋体"/>
                <w:spacing w:val="-16"/>
                <w:sz w:val="21"/>
                <w:highlight w:val="none"/>
                <w:lang w:eastAsia="en-US"/>
              </w:rPr>
              <w:t>2、做好用水用电安全管理，严把用水、</w:t>
            </w:r>
            <w:r>
              <w:rPr>
                <w:rFonts w:ascii="宋体" w:hAnsi="宋体"/>
                <w:spacing w:val="-5"/>
                <w:sz w:val="21"/>
                <w:highlight w:val="none"/>
                <w:lang w:eastAsia="en-US"/>
              </w:rPr>
              <w:t>用电安全关。</w:t>
            </w:r>
          </w:p>
        </w:tc>
        <w:tc>
          <w:tcPr>
            <w:tcW w:w="3120" w:type="dxa"/>
            <w:vAlign w:val="center"/>
          </w:tcPr>
          <w:p>
            <w:pPr>
              <w:pStyle w:val="401"/>
              <w:autoSpaceDE w:val="0"/>
              <w:autoSpaceDN w:val="0"/>
              <w:spacing w:before="54" w:line="240" w:lineRule="auto"/>
              <w:ind w:left="23" w:right="48"/>
              <w:jc w:val="both"/>
              <w:rPr>
                <w:rFonts w:ascii="宋体" w:hAnsi="宋体"/>
                <w:spacing w:val="-14"/>
                <w:sz w:val="21"/>
                <w:highlight w:val="none"/>
                <w:lang w:eastAsia="en-US"/>
              </w:rPr>
            </w:pPr>
            <w:r>
              <w:rPr>
                <w:rFonts w:hint="eastAsia" w:ascii="宋体" w:hAnsi="宋体"/>
                <w:spacing w:val="-1"/>
                <w:sz w:val="21"/>
                <w:highlight w:val="none"/>
                <w:lang w:eastAsia="en-US"/>
              </w:rPr>
              <w:t>1.</w:t>
            </w:r>
            <w:r>
              <w:rPr>
                <w:rFonts w:ascii="宋体" w:hAnsi="宋体"/>
                <w:spacing w:val="-1"/>
                <w:sz w:val="21"/>
                <w:highlight w:val="none"/>
                <w:lang w:eastAsia="en-US"/>
              </w:rPr>
              <w:t>用水、用电安全措施不到位的每次</w:t>
            </w:r>
            <w:r>
              <w:rPr>
                <w:rFonts w:ascii="宋体" w:hAnsi="宋体"/>
                <w:spacing w:val="-14"/>
                <w:sz w:val="21"/>
                <w:highlight w:val="none"/>
                <w:lang w:eastAsia="en-US"/>
              </w:rPr>
              <w:t>扣1分</w:t>
            </w:r>
            <w:r>
              <w:rPr>
                <w:rFonts w:hint="eastAsia" w:ascii="宋体" w:hAnsi="宋体"/>
                <w:spacing w:val="-14"/>
                <w:sz w:val="21"/>
                <w:highlight w:val="none"/>
                <w:lang w:eastAsia="en-US"/>
              </w:rPr>
              <w:t>；</w:t>
            </w:r>
          </w:p>
          <w:p>
            <w:pPr>
              <w:pStyle w:val="401"/>
              <w:autoSpaceDE w:val="0"/>
              <w:autoSpaceDN w:val="0"/>
              <w:spacing w:before="54" w:line="240" w:lineRule="auto"/>
              <w:ind w:left="23" w:right="48"/>
              <w:jc w:val="both"/>
              <w:rPr>
                <w:rFonts w:ascii="宋体" w:hAnsi="宋体"/>
                <w:spacing w:val="-14"/>
                <w:sz w:val="21"/>
                <w:highlight w:val="none"/>
                <w:lang w:eastAsia="en-US"/>
              </w:rPr>
            </w:pPr>
            <w:r>
              <w:rPr>
                <w:rFonts w:hint="eastAsia" w:ascii="宋体" w:hAnsi="宋体"/>
                <w:spacing w:val="-14"/>
                <w:sz w:val="21"/>
                <w:highlight w:val="none"/>
                <w:lang w:eastAsia="en-US"/>
              </w:rPr>
              <w:t>2.私拉乱接电线及设备、无证操作电气设备等1次扣2分。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756" w:type="dxa"/>
          </w:tcPr>
          <w:p>
            <w:pPr>
              <w:pStyle w:val="401"/>
              <w:autoSpaceDE w:val="0"/>
              <w:autoSpaceDN w:val="0"/>
              <w:spacing w:before="54" w:line="240" w:lineRule="auto"/>
              <w:ind w:left="42"/>
              <w:jc w:val="center"/>
              <w:rPr>
                <w:rFonts w:ascii="宋体" w:hAnsi="宋体"/>
                <w:sz w:val="21"/>
                <w:highlight w:val="none"/>
                <w:lang w:eastAsia="en-US"/>
              </w:rPr>
            </w:pPr>
            <w:r>
              <w:rPr>
                <w:rFonts w:ascii="宋体" w:hAnsi="宋体"/>
                <w:sz w:val="21"/>
                <w:highlight w:val="none"/>
                <w:lang w:eastAsia="en-US"/>
              </w:rPr>
              <w:t>四</w:t>
            </w:r>
          </w:p>
        </w:tc>
        <w:tc>
          <w:tcPr>
            <w:tcW w:w="7548" w:type="dxa"/>
            <w:gridSpan w:val="3"/>
          </w:tcPr>
          <w:p>
            <w:pPr>
              <w:pStyle w:val="401"/>
              <w:autoSpaceDE w:val="0"/>
              <w:autoSpaceDN w:val="0"/>
              <w:spacing w:before="54" w:line="240" w:lineRule="auto"/>
              <w:ind w:left="19"/>
              <w:jc w:val="center"/>
              <w:rPr>
                <w:rFonts w:ascii="宋体" w:hAnsi="宋体"/>
                <w:sz w:val="21"/>
                <w:highlight w:val="none"/>
                <w:lang w:eastAsia="en-US"/>
              </w:rPr>
            </w:pPr>
            <w:r>
              <w:rPr>
                <w:rFonts w:ascii="宋体" w:hAnsi="宋体"/>
                <w:spacing w:val="-2"/>
                <w:sz w:val="21"/>
                <w:highlight w:val="none"/>
                <w:lang w:eastAsia="en-US"/>
              </w:rPr>
              <w:t>监督管理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756" w:type="dxa"/>
            <w:vAlign w:val="center"/>
          </w:tcPr>
          <w:p>
            <w:pPr>
              <w:pStyle w:val="401"/>
              <w:autoSpaceDE w:val="0"/>
              <w:autoSpaceDN w:val="0"/>
              <w:spacing w:before="229" w:line="240" w:lineRule="auto"/>
              <w:ind w:left="21"/>
              <w:jc w:val="center"/>
              <w:rPr>
                <w:rFonts w:ascii="宋体" w:hAnsi="宋体" w:cs="Arial"/>
                <w:kern w:val="2"/>
                <w:sz w:val="21"/>
                <w:highlight w:val="none"/>
                <w:lang w:eastAsia="en-US"/>
              </w:rPr>
            </w:pPr>
            <w:r>
              <w:rPr>
                <w:rFonts w:ascii="宋体" w:hAnsi="宋体"/>
                <w:spacing w:val="-2"/>
                <w:sz w:val="21"/>
                <w:highlight w:val="none"/>
                <w:lang w:eastAsia="en-US"/>
              </w:rPr>
              <w:t>4.1</w:t>
            </w:r>
          </w:p>
        </w:tc>
        <w:tc>
          <w:tcPr>
            <w:tcW w:w="1368" w:type="dxa"/>
            <w:tcBorders>
              <w:right w:val="single" w:color="auto" w:sz="4" w:space="0"/>
            </w:tcBorders>
            <w:vAlign w:val="center"/>
          </w:tcPr>
          <w:p>
            <w:pPr>
              <w:pStyle w:val="401"/>
              <w:autoSpaceDE w:val="0"/>
              <w:autoSpaceDN w:val="0"/>
              <w:spacing w:before="195" w:line="240" w:lineRule="auto"/>
              <w:ind w:left="18"/>
              <w:jc w:val="center"/>
              <w:rPr>
                <w:rFonts w:ascii="宋体" w:hAnsi="宋体" w:cs="Arial"/>
                <w:kern w:val="2"/>
                <w:sz w:val="21"/>
                <w:highlight w:val="none"/>
                <w:lang w:eastAsia="en-US"/>
              </w:rPr>
            </w:pPr>
            <w:r>
              <w:rPr>
                <w:rFonts w:ascii="宋体" w:hAnsi="宋体"/>
                <w:spacing w:val="-2"/>
                <w:sz w:val="21"/>
                <w:highlight w:val="none"/>
                <w:lang w:eastAsia="en-US"/>
              </w:rPr>
              <w:t>环境影响</w:t>
            </w:r>
          </w:p>
        </w:tc>
        <w:tc>
          <w:tcPr>
            <w:tcW w:w="3060" w:type="dxa"/>
            <w:tcBorders>
              <w:left w:val="single" w:color="auto" w:sz="4" w:space="0"/>
              <w:right w:val="single" w:color="auto" w:sz="4" w:space="0"/>
            </w:tcBorders>
            <w:vAlign w:val="center"/>
          </w:tcPr>
          <w:p>
            <w:pPr>
              <w:pStyle w:val="401"/>
              <w:numPr>
                <w:ilvl w:val="0"/>
                <w:numId w:val="10"/>
              </w:numPr>
              <w:autoSpaceDE w:val="0"/>
              <w:autoSpaceDN w:val="0"/>
              <w:spacing w:before="194" w:line="240" w:lineRule="auto"/>
              <w:jc w:val="both"/>
              <w:rPr>
                <w:rFonts w:ascii="宋体" w:hAnsi="宋体" w:cs="Arial"/>
                <w:kern w:val="2"/>
                <w:sz w:val="21"/>
                <w:highlight w:val="none"/>
                <w:lang w:eastAsia="en-US"/>
              </w:rPr>
            </w:pPr>
            <w:r>
              <w:rPr>
                <w:rFonts w:hint="eastAsia" w:ascii="宋体" w:hAnsi="宋体"/>
                <w:spacing w:val="-5"/>
                <w:sz w:val="21"/>
                <w:highlight w:val="none"/>
                <w:lang w:eastAsia="en-US"/>
              </w:rPr>
              <w:t>噪声排放执行《工业企业厂界环境噪声排放标准》(GB12348-2008)中的表1-3类标准。</w:t>
            </w:r>
          </w:p>
          <w:p>
            <w:pPr>
              <w:pStyle w:val="401"/>
              <w:numPr>
                <w:ilvl w:val="0"/>
                <w:numId w:val="10"/>
              </w:numPr>
              <w:autoSpaceDE w:val="0"/>
              <w:autoSpaceDN w:val="0"/>
              <w:spacing w:before="194" w:line="240" w:lineRule="auto"/>
              <w:jc w:val="both"/>
              <w:rPr>
                <w:rFonts w:ascii="宋体" w:hAnsi="宋体" w:cs="Arial"/>
                <w:kern w:val="2"/>
                <w:sz w:val="21"/>
                <w:highlight w:val="none"/>
                <w:lang w:eastAsia="en-US"/>
              </w:rPr>
            </w:pPr>
            <w:r>
              <w:rPr>
                <w:rFonts w:hint="eastAsia" w:ascii="宋体" w:hAnsi="宋体"/>
                <w:spacing w:val="-5"/>
                <w:sz w:val="21"/>
                <w:highlight w:val="none"/>
                <w:lang w:eastAsia="en-US"/>
              </w:rPr>
              <w:t>填埋过程中扬尘等颗粒物执行《大气污染物综合排放标准》(GB16297-1996)中无组织排放监控浓度值。</w:t>
            </w:r>
          </w:p>
          <w:p>
            <w:pPr>
              <w:pStyle w:val="401"/>
              <w:numPr>
                <w:ilvl w:val="0"/>
                <w:numId w:val="10"/>
              </w:numPr>
              <w:autoSpaceDE w:val="0"/>
              <w:autoSpaceDN w:val="0"/>
              <w:spacing w:before="194" w:line="240" w:lineRule="auto"/>
              <w:jc w:val="both"/>
              <w:rPr>
                <w:rFonts w:ascii="宋体" w:hAnsi="宋体" w:cs="Arial"/>
                <w:kern w:val="2"/>
                <w:sz w:val="21"/>
                <w:highlight w:val="none"/>
                <w:lang w:eastAsia="en-US"/>
              </w:rPr>
            </w:pPr>
            <w:r>
              <w:rPr>
                <w:rFonts w:hint="eastAsia" w:ascii="宋体" w:hAnsi="宋体"/>
                <w:spacing w:val="-5"/>
                <w:sz w:val="21"/>
                <w:highlight w:val="none"/>
                <w:lang w:eastAsia="en-US"/>
              </w:rPr>
              <w:t>无组织废气H2S、NH3、臭气浓度执行《恶臭污染物排放标准》 (GB14554-93)中二级新改扩建恶臭污染物厂界标准值。</w:t>
            </w:r>
          </w:p>
        </w:tc>
        <w:tc>
          <w:tcPr>
            <w:tcW w:w="3120" w:type="dxa"/>
            <w:tcBorders>
              <w:left w:val="single" w:color="auto" w:sz="4" w:space="0"/>
            </w:tcBorders>
            <w:vAlign w:val="center"/>
          </w:tcPr>
          <w:p>
            <w:pPr>
              <w:pStyle w:val="401"/>
              <w:autoSpaceDE w:val="0"/>
              <w:autoSpaceDN w:val="0"/>
              <w:spacing w:before="52" w:line="240" w:lineRule="auto"/>
              <w:ind w:left="20" w:right="52" w:firstLine="16"/>
              <w:jc w:val="both"/>
              <w:rPr>
                <w:rFonts w:ascii="宋体" w:hAnsi="宋体" w:cs="Arial"/>
                <w:kern w:val="2"/>
                <w:sz w:val="21"/>
                <w:highlight w:val="none"/>
                <w:lang w:eastAsia="en-US"/>
              </w:rPr>
            </w:pPr>
            <w:r>
              <w:rPr>
                <w:rFonts w:ascii="宋体" w:hAnsi="宋体"/>
                <w:spacing w:val="-2"/>
                <w:sz w:val="21"/>
                <w:highlight w:val="none"/>
                <w:lang w:eastAsia="en-US"/>
              </w:rPr>
              <w:t>1、</w:t>
            </w:r>
            <w:r>
              <w:rPr>
                <w:rFonts w:hint="eastAsia" w:ascii="宋体" w:hAnsi="宋体"/>
                <w:spacing w:val="-2"/>
                <w:sz w:val="21"/>
                <w:highlight w:val="none"/>
                <w:lang w:eastAsia="en-US"/>
              </w:rPr>
              <w:t>噪声、颗粒物、无组织废气等环境监测报告不达标，</w:t>
            </w:r>
            <w:r>
              <w:rPr>
                <w:rFonts w:ascii="宋体" w:hAnsi="宋体"/>
                <w:spacing w:val="-4"/>
                <w:sz w:val="21"/>
                <w:highlight w:val="none"/>
                <w:lang w:eastAsia="en-US"/>
              </w:rPr>
              <w:t xml:space="preserve">扣 </w:t>
            </w:r>
            <w:r>
              <w:rPr>
                <w:rFonts w:hint="eastAsia" w:ascii="宋体" w:hAnsi="宋体"/>
                <w:spacing w:val="-4"/>
                <w:sz w:val="21"/>
                <w:highlight w:val="none"/>
                <w:lang w:eastAsia="en-US"/>
              </w:rPr>
              <w:t>1</w:t>
            </w:r>
            <w:r>
              <w:rPr>
                <w:rFonts w:ascii="宋体" w:hAnsi="宋体"/>
                <w:spacing w:val="-4"/>
                <w:sz w:val="21"/>
                <w:highlight w:val="none"/>
                <w:lang w:eastAsia="en-US"/>
              </w:rPr>
              <w:t>分/次。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756" w:type="dxa"/>
            <w:vAlign w:val="center"/>
          </w:tcPr>
          <w:p>
            <w:pPr>
              <w:pStyle w:val="401"/>
              <w:autoSpaceDE w:val="0"/>
              <w:autoSpaceDN w:val="0"/>
              <w:spacing w:before="68" w:line="240" w:lineRule="auto"/>
              <w:ind w:left="21"/>
              <w:jc w:val="center"/>
              <w:rPr>
                <w:rFonts w:ascii="宋体" w:hAnsi="宋体" w:cs="Arial"/>
                <w:kern w:val="2"/>
                <w:sz w:val="21"/>
                <w:highlight w:val="none"/>
                <w:lang w:eastAsia="en-US"/>
              </w:rPr>
            </w:pPr>
            <w:r>
              <w:rPr>
                <w:rFonts w:ascii="宋体" w:hAnsi="宋体"/>
                <w:spacing w:val="-2"/>
                <w:sz w:val="21"/>
                <w:highlight w:val="none"/>
                <w:lang w:eastAsia="en-US"/>
              </w:rPr>
              <w:t>4.2</w:t>
            </w:r>
          </w:p>
        </w:tc>
        <w:tc>
          <w:tcPr>
            <w:tcW w:w="1368" w:type="dxa"/>
            <w:tcBorders>
              <w:right w:val="single" w:color="auto" w:sz="4" w:space="0"/>
            </w:tcBorders>
            <w:vAlign w:val="center"/>
          </w:tcPr>
          <w:p>
            <w:pPr>
              <w:pStyle w:val="401"/>
              <w:autoSpaceDE w:val="0"/>
              <w:autoSpaceDN w:val="0"/>
              <w:spacing w:before="68" w:line="240" w:lineRule="auto"/>
              <w:ind w:left="19"/>
              <w:jc w:val="center"/>
              <w:rPr>
                <w:rFonts w:ascii="宋体" w:hAnsi="宋体" w:cs="Arial"/>
                <w:kern w:val="2"/>
                <w:sz w:val="21"/>
                <w:highlight w:val="none"/>
                <w:lang w:eastAsia="en-US"/>
              </w:rPr>
            </w:pPr>
            <w:r>
              <w:rPr>
                <w:rFonts w:ascii="宋体" w:hAnsi="宋体"/>
                <w:spacing w:val="-1"/>
                <w:sz w:val="21"/>
                <w:highlight w:val="none"/>
                <w:lang w:eastAsia="en-US"/>
              </w:rPr>
              <w:t>整改通知书执</w:t>
            </w:r>
          </w:p>
        </w:tc>
        <w:tc>
          <w:tcPr>
            <w:tcW w:w="3060" w:type="dxa"/>
            <w:tcBorders>
              <w:left w:val="single" w:color="auto" w:sz="4" w:space="0"/>
              <w:right w:val="single" w:color="auto" w:sz="4" w:space="0"/>
            </w:tcBorders>
            <w:vAlign w:val="center"/>
          </w:tcPr>
          <w:p>
            <w:pPr>
              <w:pStyle w:val="401"/>
              <w:autoSpaceDE w:val="0"/>
              <w:autoSpaceDN w:val="0"/>
              <w:spacing w:before="47" w:line="240" w:lineRule="auto"/>
              <w:ind w:left="18" w:firstLine="16"/>
              <w:jc w:val="both"/>
              <w:rPr>
                <w:rFonts w:ascii="宋体" w:hAnsi="宋体" w:cs="Arial"/>
                <w:kern w:val="2"/>
                <w:sz w:val="21"/>
                <w:highlight w:val="none"/>
                <w:lang w:eastAsia="en-US"/>
              </w:rPr>
            </w:pPr>
            <w:r>
              <w:rPr>
                <w:rFonts w:ascii="宋体" w:hAnsi="宋体"/>
                <w:spacing w:val="-17"/>
                <w:sz w:val="21"/>
                <w:highlight w:val="none"/>
                <w:lang w:eastAsia="en-US"/>
              </w:rPr>
              <w:t>1、对于监管方提交的《整改通知书》，</w:t>
            </w:r>
            <w:r>
              <w:rPr>
                <w:rFonts w:ascii="宋体" w:hAnsi="宋体"/>
                <w:spacing w:val="-4"/>
                <w:sz w:val="21"/>
                <w:highlight w:val="none"/>
                <w:lang w:eastAsia="en-US"/>
              </w:rPr>
              <w:t>运营方必须在规定的时间内整改并反</w:t>
            </w:r>
            <w:r>
              <w:rPr>
                <w:rFonts w:ascii="宋体" w:hAnsi="宋体"/>
                <w:spacing w:val="-11"/>
                <w:sz w:val="21"/>
                <w:highlight w:val="none"/>
                <w:lang w:eastAsia="en-US"/>
              </w:rPr>
              <w:t>馈。</w:t>
            </w:r>
          </w:p>
        </w:tc>
        <w:tc>
          <w:tcPr>
            <w:tcW w:w="3120" w:type="dxa"/>
            <w:tcBorders>
              <w:left w:val="single" w:color="auto" w:sz="4" w:space="0"/>
            </w:tcBorders>
            <w:vAlign w:val="center"/>
          </w:tcPr>
          <w:p>
            <w:pPr>
              <w:pStyle w:val="401"/>
              <w:autoSpaceDE w:val="0"/>
              <w:autoSpaceDN w:val="0"/>
              <w:spacing w:before="190" w:line="240" w:lineRule="auto"/>
              <w:ind w:left="24" w:right="11"/>
              <w:jc w:val="both"/>
              <w:rPr>
                <w:rFonts w:ascii="宋体" w:hAnsi="宋体" w:cs="Arial"/>
                <w:kern w:val="2"/>
                <w:sz w:val="21"/>
                <w:highlight w:val="none"/>
                <w:lang w:eastAsia="en-US"/>
              </w:rPr>
            </w:pPr>
            <w:r>
              <w:rPr>
                <w:rFonts w:ascii="宋体" w:hAnsi="宋体"/>
                <w:spacing w:val="-5"/>
                <w:sz w:val="21"/>
                <w:highlight w:val="none"/>
                <w:lang w:eastAsia="en-US"/>
              </w:rPr>
              <w:t>未按规定时限内整改反馈的，逾期一天</w:t>
            </w:r>
            <w:r>
              <w:rPr>
                <w:rFonts w:ascii="宋体" w:hAnsi="宋体"/>
                <w:spacing w:val="-14"/>
                <w:sz w:val="21"/>
                <w:highlight w:val="none"/>
                <w:lang w:eastAsia="en-US"/>
              </w:rPr>
              <w:t>扣1分。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756" w:type="dxa"/>
          </w:tcPr>
          <w:p>
            <w:pPr>
              <w:pStyle w:val="401"/>
              <w:autoSpaceDE w:val="0"/>
              <w:autoSpaceDN w:val="0"/>
              <w:spacing w:before="51" w:line="240" w:lineRule="auto"/>
              <w:ind w:left="25"/>
              <w:jc w:val="center"/>
              <w:rPr>
                <w:rFonts w:ascii="宋体" w:hAnsi="宋体" w:cs="Arial"/>
                <w:kern w:val="2"/>
                <w:sz w:val="21"/>
                <w:highlight w:val="none"/>
                <w:lang w:eastAsia="en-US"/>
              </w:rPr>
            </w:pPr>
            <w:r>
              <w:rPr>
                <w:rFonts w:ascii="宋体" w:hAnsi="宋体"/>
                <w:sz w:val="21"/>
                <w:highlight w:val="none"/>
                <w:lang w:eastAsia="en-US"/>
              </w:rPr>
              <w:t>五</w:t>
            </w:r>
          </w:p>
        </w:tc>
        <w:tc>
          <w:tcPr>
            <w:tcW w:w="7548" w:type="dxa"/>
            <w:gridSpan w:val="3"/>
          </w:tcPr>
          <w:p>
            <w:pPr>
              <w:pStyle w:val="401"/>
              <w:autoSpaceDE w:val="0"/>
              <w:autoSpaceDN w:val="0"/>
              <w:spacing w:before="51" w:line="240" w:lineRule="auto"/>
              <w:ind w:left="20"/>
              <w:jc w:val="center"/>
              <w:rPr>
                <w:rFonts w:ascii="宋体" w:hAnsi="宋体" w:cs="Arial"/>
                <w:kern w:val="2"/>
                <w:sz w:val="21"/>
                <w:highlight w:val="none"/>
                <w:lang w:eastAsia="en-US"/>
              </w:rPr>
            </w:pPr>
            <w:r>
              <w:rPr>
                <w:rFonts w:ascii="宋体" w:hAnsi="宋体"/>
                <w:spacing w:val="-2"/>
                <w:sz w:val="21"/>
                <w:highlight w:val="none"/>
                <w:lang w:eastAsia="en-US"/>
              </w:rPr>
              <w:t>社会监督</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756" w:type="dxa"/>
            <w:vAlign w:val="center"/>
          </w:tcPr>
          <w:p>
            <w:pPr>
              <w:pStyle w:val="401"/>
              <w:autoSpaceDE w:val="0"/>
              <w:autoSpaceDN w:val="0"/>
              <w:spacing w:before="68" w:line="240" w:lineRule="auto"/>
              <w:ind w:left="26"/>
              <w:jc w:val="center"/>
              <w:rPr>
                <w:rFonts w:ascii="宋体" w:hAnsi="宋体" w:cs="Arial"/>
                <w:kern w:val="2"/>
                <w:sz w:val="21"/>
                <w:highlight w:val="none"/>
                <w:lang w:eastAsia="en-US"/>
              </w:rPr>
            </w:pPr>
            <w:r>
              <w:rPr>
                <w:rFonts w:ascii="宋体" w:hAnsi="宋体"/>
                <w:spacing w:val="-3"/>
                <w:sz w:val="21"/>
                <w:highlight w:val="none"/>
                <w:lang w:eastAsia="en-US"/>
              </w:rPr>
              <w:t>5.</w:t>
            </w:r>
            <w:r>
              <w:rPr>
                <w:rFonts w:hint="eastAsia" w:ascii="宋体" w:hAnsi="宋体"/>
                <w:spacing w:val="-3"/>
                <w:sz w:val="21"/>
                <w:highlight w:val="none"/>
                <w:lang w:eastAsia="en-US"/>
              </w:rPr>
              <w:t>1</w:t>
            </w:r>
          </w:p>
        </w:tc>
        <w:tc>
          <w:tcPr>
            <w:tcW w:w="1368" w:type="dxa"/>
            <w:tcBorders>
              <w:right w:val="single" w:color="auto" w:sz="4" w:space="0"/>
            </w:tcBorders>
            <w:vAlign w:val="center"/>
          </w:tcPr>
          <w:p>
            <w:pPr>
              <w:pStyle w:val="401"/>
              <w:autoSpaceDE w:val="0"/>
              <w:autoSpaceDN w:val="0"/>
              <w:spacing w:before="69" w:line="240" w:lineRule="auto"/>
              <w:ind w:left="20"/>
              <w:jc w:val="center"/>
              <w:rPr>
                <w:rFonts w:ascii="宋体" w:hAnsi="宋体" w:cs="Arial"/>
                <w:kern w:val="2"/>
                <w:sz w:val="21"/>
                <w:highlight w:val="none"/>
                <w:lang w:eastAsia="en-US"/>
              </w:rPr>
            </w:pPr>
            <w:r>
              <w:rPr>
                <w:rFonts w:ascii="宋体" w:hAnsi="宋体"/>
                <w:spacing w:val="-2"/>
                <w:sz w:val="21"/>
                <w:highlight w:val="none"/>
                <w:lang w:eastAsia="en-US"/>
              </w:rPr>
              <w:t>社会监督</w:t>
            </w:r>
          </w:p>
        </w:tc>
        <w:tc>
          <w:tcPr>
            <w:tcW w:w="3060" w:type="dxa"/>
            <w:tcBorders>
              <w:left w:val="single" w:color="auto" w:sz="4" w:space="0"/>
              <w:right w:val="single" w:color="auto" w:sz="4" w:space="0"/>
            </w:tcBorders>
            <w:vAlign w:val="center"/>
          </w:tcPr>
          <w:p>
            <w:pPr>
              <w:pStyle w:val="401"/>
              <w:autoSpaceDE w:val="0"/>
              <w:autoSpaceDN w:val="0"/>
              <w:spacing w:before="68" w:line="240" w:lineRule="auto"/>
              <w:ind w:left="20" w:right="39"/>
              <w:jc w:val="center"/>
              <w:rPr>
                <w:rFonts w:ascii="宋体" w:hAnsi="宋体"/>
                <w:spacing w:val="-1"/>
                <w:sz w:val="21"/>
                <w:highlight w:val="none"/>
                <w:lang w:eastAsia="en-US"/>
              </w:rPr>
            </w:pPr>
            <w:r>
              <w:rPr>
                <w:rFonts w:ascii="宋体" w:hAnsi="宋体"/>
                <w:spacing w:val="-1"/>
                <w:sz w:val="21"/>
                <w:highlight w:val="none"/>
                <w:lang w:eastAsia="en-US"/>
              </w:rPr>
              <w:t>规范管理、文明服务，</w:t>
            </w:r>
          </w:p>
          <w:p>
            <w:pPr>
              <w:pStyle w:val="401"/>
              <w:autoSpaceDE w:val="0"/>
              <w:autoSpaceDN w:val="0"/>
              <w:spacing w:before="68" w:line="240" w:lineRule="auto"/>
              <w:ind w:left="20" w:right="39"/>
              <w:jc w:val="center"/>
              <w:rPr>
                <w:rFonts w:ascii="宋体" w:hAnsi="宋体" w:cs="Arial"/>
                <w:kern w:val="2"/>
                <w:sz w:val="21"/>
                <w:highlight w:val="none"/>
                <w:lang w:eastAsia="en-US"/>
              </w:rPr>
            </w:pPr>
            <w:r>
              <w:rPr>
                <w:rFonts w:ascii="宋体" w:hAnsi="宋体"/>
                <w:spacing w:val="-1"/>
                <w:sz w:val="21"/>
                <w:highlight w:val="none"/>
                <w:lang w:eastAsia="en-US"/>
              </w:rPr>
              <w:t>接受社会各界</w:t>
            </w:r>
            <w:r>
              <w:rPr>
                <w:rFonts w:ascii="宋体" w:hAnsi="宋体"/>
                <w:spacing w:val="-9"/>
                <w:sz w:val="21"/>
                <w:highlight w:val="none"/>
                <w:lang w:eastAsia="en-US"/>
              </w:rPr>
              <w:t>监督。</w:t>
            </w:r>
          </w:p>
        </w:tc>
        <w:tc>
          <w:tcPr>
            <w:tcW w:w="3120" w:type="dxa"/>
            <w:tcBorders>
              <w:left w:val="single" w:color="auto" w:sz="4" w:space="0"/>
            </w:tcBorders>
            <w:vAlign w:val="center"/>
          </w:tcPr>
          <w:p>
            <w:pPr>
              <w:pStyle w:val="401"/>
              <w:autoSpaceDE w:val="0"/>
              <w:autoSpaceDN w:val="0"/>
              <w:spacing w:before="50" w:line="240" w:lineRule="auto"/>
              <w:ind w:left="23" w:right="11" w:firstLine="13"/>
              <w:jc w:val="both"/>
              <w:rPr>
                <w:rFonts w:ascii="宋体" w:hAnsi="宋体" w:cs="Arial"/>
                <w:kern w:val="2"/>
                <w:sz w:val="21"/>
                <w:highlight w:val="none"/>
                <w:lang w:eastAsia="en-US"/>
              </w:rPr>
            </w:pPr>
            <w:r>
              <w:rPr>
                <w:rFonts w:ascii="宋体" w:hAnsi="宋体"/>
                <w:spacing w:val="-6"/>
                <w:sz w:val="21"/>
                <w:highlight w:val="none"/>
                <w:lang w:eastAsia="en-US"/>
              </w:rPr>
              <w:t>因运营方责任原因导致媒体曝光、群众</w:t>
            </w:r>
            <w:r>
              <w:rPr>
                <w:rFonts w:ascii="宋体" w:hAnsi="宋体"/>
                <w:spacing w:val="-1"/>
                <w:sz w:val="21"/>
                <w:highlight w:val="none"/>
                <w:lang w:eastAsia="en-US"/>
              </w:rPr>
              <w:t>投诉等情况并造成严重不良后果的扣</w:t>
            </w:r>
            <w:r>
              <w:rPr>
                <w:rFonts w:ascii="宋体" w:hAnsi="宋体"/>
                <w:spacing w:val="-5"/>
                <w:sz w:val="21"/>
                <w:highlight w:val="none"/>
                <w:lang w:eastAsia="en-US"/>
              </w:rPr>
              <w:t>20分/次；经媒体曝光等后未及时整改</w:t>
            </w:r>
            <w:r>
              <w:rPr>
                <w:rFonts w:ascii="宋体" w:hAnsi="宋体"/>
                <w:spacing w:val="-2"/>
                <w:sz w:val="21"/>
                <w:highlight w:val="none"/>
                <w:lang w:eastAsia="en-US"/>
              </w:rPr>
              <w:t>消除不良后果的再扣 20分/次。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756" w:type="dxa"/>
          </w:tcPr>
          <w:p>
            <w:pPr>
              <w:pStyle w:val="401"/>
              <w:autoSpaceDE w:val="0"/>
              <w:autoSpaceDN w:val="0"/>
              <w:spacing w:before="231" w:line="240" w:lineRule="auto"/>
              <w:ind w:left="26"/>
              <w:jc w:val="center"/>
              <w:rPr>
                <w:rFonts w:ascii="宋体" w:hAnsi="宋体" w:cs="Arial"/>
                <w:kern w:val="2"/>
                <w:sz w:val="21"/>
                <w:highlight w:val="none"/>
                <w:lang w:eastAsia="en-US"/>
              </w:rPr>
            </w:pPr>
            <w:r>
              <w:rPr>
                <w:rFonts w:ascii="宋体" w:hAnsi="宋体"/>
                <w:spacing w:val="-3"/>
                <w:sz w:val="21"/>
                <w:highlight w:val="none"/>
                <w:lang w:eastAsia="en-US"/>
              </w:rPr>
              <w:t>5.</w:t>
            </w:r>
            <w:r>
              <w:rPr>
                <w:rFonts w:hint="eastAsia" w:ascii="宋体" w:hAnsi="宋体"/>
                <w:spacing w:val="-3"/>
                <w:sz w:val="21"/>
                <w:highlight w:val="none"/>
                <w:lang w:eastAsia="en-US"/>
              </w:rPr>
              <w:t>2</w:t>
            </w:r>
          </w:p>
        </w:tc>
        <w:tc>
          <w:tcPr>
            <w:tcW w:w="1368" w:type="dxa"/>
            <w:tcBorders>
              <w:right w:val="single" w:color="auto" w:sz="4" w:space="0"/>
            </w:tcBorders>
          </w:tcPr>
          <w:p>
            <w:pPr>
              <w:pStyle w:val="401"/>
              <w:autoSpaceDE w:val="0"/>
              <w:autoSpaceDN w:val="0"/>
              <w:spacing w:before="196" w:line="240" w:lineRule="auto"/>
              <w:ind w:left="18"/>
              <w:jc w:val="center"/>
              <w:rPr>
                <w:rFonts w:ascii="宋体" w:hAnsi="宋体" w:cs="Arial"/>
                <w:kern w:val="2"/>
                <w:sz w:val="21"/>
                <w:highlight w:val="none"/>
                <w:lang w:eastAsia="en-US"/>
              </w:rPr>
            </w:pPr>
            <w:r>
              <w:rPr>
                <w:rFonts w:ascii="宋体" w:hAnsi="宋体"/>
                <w:spacing w:val="-2"/>
                <w:sz w:val="21"/>
                <w:highlight w:val="none"/>
                <w:lang w:eastAsia="en-US"/>
              </w:rPr>
              <w:t>环保</w:t>
            </w:r>
            <w:r>
              <w:rPr>
                <w:rFonts w:hint="eastAsia" w:ascii="宋体" w:hAnsi="宋体"/>
                <w:spacing w:val="-2"/>
                <w:sz w:val="21"/>
                <w:highlight w:val="none"/>
                <w:lang w:eastAsia="en-US"/>
              </w:rPr>
              <w:t>督查</w:t>
            </w:r>
          </w:p>
        </w:tc>
        <w:tc>
          <w:tcPr>
            <w:tcW w:w="3060" w:type="dxa"/>
            <w:tcBorders>
              <w:left w:val="single" w:color="auto" w:sz="4" w:space="0"/>
              <w:right w:val="single" w:color="auto" w:sz="4" w:space="0"/>
            </w:tcBorders>
          </w:tcPr>
          <w:p>
            <w:pPr>
              <w:pStyle w:val="401"/>
              <w:autoSpaceDE w:val="0"/>
              <w:autoSpaceDN w:val="0"/>
              <w:spacing w:before="195" w:line="240" w:lineRule="auto"/>
              <w:ind w:left="18"/>
              <w:rPr>
                <w:rFonts w:ascii="宋体" w:hAnsi="宋体" w:cs="Arial"/>
                <w:kern w:val="2"/>
                <w:sz w:val="21"/>
                <w:highlight w:val="none"/>
                <w:lang w:eastAsia="en-US"/>
              </w:rPr>
            </w:pPr>
            <w:r>
              <w:rPr>
                <w:rFonts w:ascii="宋体" w:hAnsi="宋体"/>
                <w:spacing w:val="-1"/>
                <w:sz w:val="21"/>
                <w:highlight w:val="none"/>
                <w:lang w:eastAsia="en-US"/>
              </w:rPr>
              <w:t>接受本级及上级环保部门的</w:t>
            </w:r>
            <w:r>
              <w:rPr>
                <w:rFonts w:hint="eastAsia" w:ascii="宋体" w:hAnsi="宋体"/>
                <w:spacing w:val="-1"/>
                <w:sz w:val="21"/>
                <w:highlight w:val="none"/>
                <w:lang w:eastAsia="en-US"/>
              </w:rPr>
              <w:t>督查。</w:t>
            </w:r>
          </w:p>
        </w:tc>
        <w:tc>
          <w:tcPr>
            <w:tcW w:w="3120" w:type="dxa"/>
            <w:tcBorders>
              <w:left w:val="single" w:color="auto" w:sz="4" w:space="0"/>
            </w:tcBorders>
          </w:tcPr>
          <w:p>
            <w:pPr>
              <w:pStyle w:val="401"/>
              <w:autoSpaceDE w:val="0"/>
              <w:autoSpaceDN w:val="0"/>
              <w:spacing w:before="56" w:line="240" w:lineRule="auto"/>
              <w:ind w:left="37" w:right="143" w:hanging="13"/>
              <w:rPr>
                <w:rFonts w:ascii="宋体" w:hAnsi="宋体" w:cs="Arial"/>
                <w:kern w:val="2"/>
                <w:sz w:val="21"/>
                <w:highlight w:val="none"/>
                <w:lang w:eastAsia="en-US"/>
              </w:rPr>
            </w:pPr>
            <w:r>
              <w:rPr>
                <w:rFonts w:ascii="宋体" w:hAnsi="宋体"/>
                <w:spacing w:val="-1"/>
                <w:sz w:val="21"/>
                <w:highlight w:val="none"/>
                <w:lang w:eastAsia="en-US"/>
              </w:rPr>
              <w:t>如未通过本级及上级环保部门的</w:t>
            </w:r>
            <w:r>
              <w:rPr>
                <w:rFonts w:hint="eastAsia" w:ascii="宋体" w:hAnsi="宋体"/>
                <w:spacing w:val="-1"/>
                <w:sz w:val="21"/>
                <w:highlight w:val="none"/>
                <w:lang w:eastAsia="en-US"/>
              </w:rPr>
              <w:t>督查</w:t>
            </w:r>
            <w:r>
              <w:rPr>
                <w:rFonts w:ascii="宋体" w:hAnsi="宋体"/>
                <w:spacing w:val="-1"/>
                <w:sz w:val="21"/>
                <w:highlight w:val="none"/>
                <w:lang w:eastAsia="en-US"/>
              </w:rPr>
              <w:t>的，扣</w:t>
            </w:r>
            <w:r>
              <w:rPr>
                <w:rFonts w:hint="eastAsia" w:ascii="宋体" w:hAnsi="宋体"/>
                <w:spacing w:val="-1"/>
                <w:sz w:val="21"/>
                <w:highlight w:val="none"/>
                <w:lang w:eastAsia="en-US"/>
              </w:rPr>
              <w:t>2</w:t>
            </w:r>
            <w:r>
              <w:rPr>
                <w:rFonts w:ascii="宋体" w:hAnsi="宋体"/>
                <w:spacing w:val="-1"/>
                <w:sz w:val="21"/>
                <w:highlight w:val="none"/>
                <w:lang w:eastAsia="en-US"/>
              </w:rPr>
              <w:t>0分。</w:t>
            </w:r>
          </w:p>
        </w:tc>
      </w:tr>
    </w:tbl>
    <w:p>
      <w:pPr>
        <w:rPr>
          <w:highlight w:val="none"/>
        </w:rPr>
      </w:pPr>
    </w:p>
    <w:bookmarkEnd w:id="125"/>
    <w:p>
      <w:pPr>
        <w:pStyle w:val="1301"/>
        <w:keepNext/>
        <w:keepLines/>
        <w:pageBreakBefore/>
        <w:widowControl w:val="0"/>
        <w:spacing w:line="240" w:lineRule="auto"/>
        <w:ind w:left="0" w:firstLine="0"/>
        <w:jc w:val="center"/>
        <w:rPr>
          <w:rFonts w:ascii="宋体" w:eastAsia="宋体"/>
          <w:color w:val="000000" w:themeColor="text1"/>
          <w:sz w:val="28"/>
          <w:szCs w:val="28"/>
          <w:highlight w:val="none"/>
          <w14:textFill>
            <w14:solidFill>
              <w14:schemeClr w14:val="tx1"/>
            </w14:solidFill>
          </w14:textFill>
        </w:rPr>
      </w:pPr>
      <w:bookmarkStart w:id="132" w:name="_Toc152531546"/>
      <w:r>
        <w:rPr>
          <w:rFonts w:hint="eastAsia" w:ascii="宋体" w:eastAsia="宋体"/>
          <w:color w:val="000000" w:themeColor="text1"/>
          <w:highlight w:val="none"/>
          <w14:textFill>
            <w14:solidFill>
              <w14:schemeClr w14:val="tx1"/>
            </w14:solidFill>
          </w14:textFill>
        </w:rPr>
        <w:t>第五部分  评标办法和标准</w:t>
      </w:r>
      <w:bookmarkEnd w:id="132"/>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1.招标组织方职责</w:t>
      </w:r>
    </w:p>
    <w:p>
      <w:pPr>
        <w:pStyle w:val="203"/>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 招标组织方负责组织评标工作，并履行下列职责：</w:t>
      </w:r>
    </w:p>
    <w:p>
      <w:pPr>
        <w:pStyle w:val="203"/>
        <w:spacing w:line="360" w:lineRule="auto"/>
        <w:ind w:firstLine="3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（1）核对评审专家身份和招标人代表授权函，对评审专家在政府采购活动中的职责履行情况予以记录，并及时将有关违法违规行为向财政部门报告；</w:t>
      </w:r>
    </w:p>
    <w:p>
      <w:pPr>
        <w:pStyle w:val="203"/>
        <w:spacing w:line="360" w:lineRule="auto"/>
        <w:ind w:firstLine="3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（2）宣布评标纪律；</w:t>
      </w:r>
    </w:p>
    <w:p>
      <w:pPr>
        <w:pStyle w:val="203"/>
        <w:spacing w:line="360" w:lineRule="auto"/>
        <w:ind w:firstLine="3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（3）公布投标人名单，告知评审专家应当回避的情形；</w:t>
      </w:r>
    </w:p>
    <w:p>
      <w:pPr>
        <w:pStyle w:val="203"/>
        <w:spacing w:line="360" w:lineRule="auto"/>
        <w:ind w:firstLine="3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（4）组织评标委员会推选评标组长，招标人代表不得担任组长；</w:t>
      </w:r>
    </w:p>
    <w:p>
      <w:pPr>
        <w:pStyle w:val="203"/>
        <w:spacing w:line="360" w:lineRule="auto"/>
        <w:ind w:firstLine="3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（5）在评标期间采取必要的通讯管理措施，保证评标活动不受外界干扰；</w:t>
      </w:r>
    </w:p>
    <w:p>
      <w:pPr>
        <w:pStyle w:val="203"/>
        <w:spacing w:line="360" w:lineRule="auto"/>
        <w:ind w:firstLine="3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（6）根据评标委员会的要求介绍政府采购相关政策法规、招标文件；</w:t>
      </w:r>
    </w:p>
    <w:p>
      <w:pPr>
        <w:pStyle w:val="203"/>
        <w:spacing w:line="360" w:lineRule="auto"/>
        <w:ind w:firstLine="3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（7）维护评标秩序，监督评标委员会依照招标文件规定的评标程序、方法和标准进行独立评审，及时制止和纠正招标人代表、评审专家的倾向性言论或者违法违规行为；</w:t>
      </w:r>
    </w:p>
    <w:p>
      <w:pPr>
        <w:pStyle w:val="203"/>
        <w:spacing w:line="360" w:lineRule="auto"/>
        <w:ind w:firstLine="3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（8）核对评标结果，有《政府采购货物和服务招标投标管理办法》（财政部87号令）第六十四条规定情形的，要求评标委员会复核或者书面说明理由，评标委员会拒绝的，应予记录并向本级财政部门报告；</w:t>
      </w:r>
    </w:p>
    <w:p>
      <w:pPr>
        <w:pStyle w:val="203"/>
        <w:spacing w:line="360" w:lineRule="auto"/>
        <w:ind w:firstLine="3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（9）评审工作完成后，按照规定向评审专家支付劳务报酬和异地评审差旅费，不得向评审专家以外的其他人员支付评审劳务报酬；</w:t>
      </w:r>
    </w:p>
    <w:p>
      <w:pPr>
        <w:pStyle w:val="203"/>
        <w:spacing w:line="360" w:lineRule="auto"/>
        <w:ind w:firstLine="3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（10）处理与评标有关的其他事项。</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2.评标委员会职责</w:t>
      </w:r>
    </w:p>
    <w:p>
      <w:pPr>
        <w:pStyle w:val="203"/>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 评标委员会负责具体评标事务，并独立履行下列职责：</w:t>
      </w:r>
    </w:p>
    <w:p>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（1）审查、评价投标文件是否符合招标文件的商务、技术等实质性要求；</w:t>
      </w:r>
    </w:p>
    <w:p>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（2）要求投标人对投标文件有关事项作出澄清或者说明；</w:t>
      </w:r>
    </w:p>
    <w:p>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（3）对投标文件进行比较和评价；</w:t>
      </w:r>
    </w:p>
    <w:p>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（4）确定中标候选人名单，以及根据招标人委托直接确定中标投标人；</w:t>
      </w:r>
    </w:p>
    <w:p>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（5）向招标人、招标代理机构或者有关部门报告评标中发现的违法行为。</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3.评标注意事项</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3.1 评标时，评标委员会各成员应当独立对每个投标人的投标文件进行评价，并汇总每个投标人的得分。</w:t>
      </w:r>
    </w:p>
    <w:p>
      <w:pPr>
        <w:spacing w:line="360" w:lineRule="auto"/>
        <w:ind w:left="1" w:firstLine="480"/>
        <w:rPr>
          <w:rFonts w:ascii="宋体" w:hAnsi="宋体"/>
          <w:b/>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 </w:t>
      </w:r>
      <w:r>
        <w:rPr>
          <w:rFonts w:hint="eastAsia" w:ascii="宋体" w:hAnsi="宋体"/>
          <w:b/>
          <w:color w:val="000000" w:themeColor="text1"/>
          <w:sz w:val="24"/>
          <w:highlight w:val="none"/>
          <w:u w:val="single"/>
          <w14:textFill>
            <w14:solidFill>
              <w14:schemeClr w14:val="tx1"/>
            </w14:solidFill>
          </w14:textFill>
        </w:rPr>
        <w:t>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3.3 对于投标文件中含义不明确、同类问题表述不一致或者有明显文字和计算错误的内容，评标委员会应当以书面形式要求投标人作出必要的澄清、说明或者补正。</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3.4 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3.5 评标委员会及其成员不得有下列行为：</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（1）确定参与评标至评标结束前私自接触投标人；</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（2）接受投标人提出的与投标文件不一致的澄清或者说明，《政府采购货物和服务招标投标管理办法》（财政部87号令）第五十一条规定的情形除外；</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（3）违反评标纪律发表倾向性意见或者征询招标人的倾向性意见；</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（4）对需要专业判断的主观评审因素协商评分；</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（5）在评标过程中擅离职守，影响评标程序正常进行；</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（6）记录、复制或者带走任何评标资料；</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（7）其他不遵守评标纪律的行为。</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评标委员会成员有上述第一至五项行为之一的，其评审意见无效，并不得获取评审劳务报酬和报销异地评审差旅费。</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3.6 评标中因评标委员会成员缺席、回避或者健康等特殊原因导致评标委员会组成不符合相关法律法规规定的，招标人或招标代理机构将依法补足后继续评标，被更换的评标委员会成员所作出的评标意见无效。无法及时补足评标委员会成员的，招标人或招标代理机构将停止评标活动，封存所有投标文件和开标、评标资料，依法重新组建评标委员会进行评标，原评标委员会所作出的评标意见无效。招标人或招标代理机构将变更、重新组建评标委员会的情况予以记录，并随招标文件一并存档。</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3.7 评标委员会发现招标文件存在歧义、重大缺陷导致评标工作无法进行，或者招标文件内容违反国家有关强制性规定的，应当停止评标工作，与招标人或招标代理机构沟通并作书面记录。招标人或招标代理机构确认后，应当修改招标文件，重新组织采购活动。</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4.评标过程的保密</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4.1 评标开始后，至向中标的投标人授予合同时止，与审查、澄清、评价和比较投标的有关资料以及授标建议等，均不得向投标人以及与评标无关的其他人员透露。</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4.2 在评标过程中，如果投标人试图在投标文件审查、澄清、比较及授标建议等方面向招标组织方或参加评标的人员施加任何影响，都将会导致其投标无效。</w:t>
      </w:r>
    </w:p>
    <w:p>
      <w:pPr>
        <w:spacing w:line="360" w:lineRule="auto"/>
        <w:ind w:left="1" w:firstLine="48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4.3 </w:t>
      </w:r>
      <w:r>
        <w:rPr>
          <w:rFonts w:hint="eastAsia" w:ascii="宋体" w:hAnsi="宋体"/>
          <w:b/>
          <w:color w:val="000000" w:themeColor="text1"/>
          <w:sz w:val="24"/>
          <w:highlight w:val="none"/>
          <w:u w:val="single"/>
          <w14:textFill>
            <w14:solidFill>
              <w14:schemeClr w14:val="tx1"/>
            </w14:solidFill>
          </w14:textFill>
        </w:rPr>
        <w:t>评标应当在严格保密的情况下进行，除招标人代表、评标现场组织人员外，招标人的其他工作人员以及与评标工作无关的人员不得进入评标现场。有关人员对评标情况以及在评标过程中获悉的国家秘密、商业秘密负有保密责任。</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5.报价前后不一致的处理原则</w:t>
      </w:r>
    </w:p>
    <w:p>
      <w:pPr>
        <w:spacing w:line="360" w:lineRule="auto"/>
        <w:ind w:left="1" w:firstLine="480"/>
        <w:rPr>
          <w:rFonts w:ascii="宋体" w:hAnsi="宋体"/>
          <w:color w:val="000000" w:themeColor="text1"/>
          <w:sz w:val="24"/>
          <w:highlight w:val="none"/>
          <w14:textFill>
            <w14:solidFill>
              <w14:schemeClr w14:val="tx1"/>
            </w14:solidFill>
          </w14:textFill>
        </w:rPr>
      </w:pPr>
      <w:bookmarkStart w:id="133" w:name="EB6121af000f414d10a5df9d964b664ff4"/>
      <w:r>
        <w:rPr>
          <w:rFonts w:hint="eastAsia" w:ascii="宋体" w:hAnsi="宋体"/>
          <w:color w:val="000000" w:themeColor="text1"/>
          <w:sz w:val="24"/>
          <w:highlight w:val="none"/>
          <w14:textFill>
            <w14:solidFill>
              <w14:schemeClr w14:val="tx1"/>
            </w14:solidFill>
          </w14:textFill>
        </w:rPr>
        <w:t>5.1 投标文件报价出现前后不一致的，按照下列规定修正：</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（1）投标文件中开标一览表内容与投标文件中相应内容不一致的，以开标一览表为准；</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（2）大写金额和小写金额不一致的，以大写金额为准；</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（3）单价金额小数点或者百分比有明显错位的，以开标一览表的总价为准，并修改单价；</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（4）总价金额与按单价汇总金额不一致的，以单价金额计算结果为准。</w:t>
      </w:r>
    </w:p>
    <w:p>
      <w:pPr>
        <w:spacing w:line="360" w:lineRule="auto"/>
        <w:ind w:left="1"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133"/>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6.投标人资格审查</w:t>
      </w:r>
    </w:p>
    <w:p>
      <w:pPr>
        <w:widowControl/>
        <w:spacing w:line="360" w:lineRule="auto"/>
        <w:ind w:firstLine="400"/>
        <w:rPr>
          <w:rFonts w:ascii="宋体" w:hAnsi="宋体"/>
          <w:color w:val="000000" w:themeColor="text1"/>
          <w:sz w:val="24"/>
          <w:highlight w:val="none"/>
          <w14:textFill>
            <w14:solidFill>
              <w14:schemeClr w14:val="tx1"/>
            </w14:solidFill>
          </w14:textFill>
        </w:rPr>
      </w:pPr>
      <w:bookmarkStart w:id="134" w:name="EB1df2d3c7f73f4d72bb0f95c23ab2d868"/>
      <w:bookmarkEnd w:id="134"/>
      <w:bookmarkStart w:id="135" w:name="EBcffa9cb43a10400db96afc335b3717bc"/>
      <w:r>
        <w:rPr>
          <w:rFonts w:ascii="Segoe UI Symbol" w:hAnsi="Segoe UI Symbol" w:cs="Segoe UI Symbol"/>
          <w:color w:val="000000" w:themeColor="text1"/>
          <w:sz w:val="24"/>
          <w:highlight w:val="none"/>
          <w14:textFill>
            <w14:solidFill>
              <w14:schemeClr w14:val="tx1"/>
            </w14:solidFill>
          </w14:textFill>
        </w:rPr>
        <w:t>☑</w:t>
      </w:r>
      <w:bookmarkEnd w:id="135"/>
      <w:r>
        <w:rPr>
          <w:rFonts w:hint="eastAsia" w:ascii="宋体" w:hAnsi="宋体"/>
          <w:color w:val="000000" w:themeColor="text1"/>
          <w:sz w:val="24"/>
          <w:highlight w:val="none"/>
          <w14:textFill>
            <w14:solidFill>
              <w14:schemeClr w14:val="tx1"/>
            </w14:solidFill>
          </w14:textFill>
        </w:rPr>
        <w:t>6.1 采用资格后审方式</w:t>
      </w:r>
    </w:p>
    <w:p>
      <w:pPr>
        <w:widowControl/>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开标结束后，招标人或代理机构将依法对投标人的资格进行审查。资格审查的内容如下：</w:t>
      </w:r>
    </w:p>
    <w:tbl>
      <w:tblPr>
        <w:tblStyle w:val="3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3"/>
        <w:gridCol w:w="1318"/>
        <w:gridCol w:w="67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6" w:hRule="atLeast"/>
          <w:jc w:val="center"/>
        </w:trPr>
        <w:tc>
          <w:tcPr>
            <w:tcW w:w="453"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6"/>
              <w:jc w:val="center"/>
              <w:rPr>
                <w:rFonts w:ascii="宋体" w:hAnsi="宋体" w:eastAsia="宋体" w:cs="宋体"/>
                <w:color w:val="000000" w:themeColor="text1"/>
                <w:sz w:val="21"/>
                <w:highlight w:val="none"/>
                <w14:textFill>
                  <w14:solidFill>
                    <w14:schemeClr w14:val="tx1"/>
                  </w14:solidFill>
                </w14:textFill>
              </w:rPr>
            </w:pPr>
            <w:bookmarkStart w:id="136" w:name="EB76e93c9c12884dc59b6275fa7ca610ca"/>
            <w:r>
              <w:rPr>
                <w:rFonts w:ascii="宋体" w:hAnsi="宋体" w:eastAsia="宋体" w:cs="宋体"/>
                <w:color w:val="000000" w:themeColor="text1"/>
                <w:sz w:val="21"/>
                <w:highlight w:val="none"/>
                <w14:textFill>
                  <w14:solidFill>
                    <w14:schemeClr w14:val="tx1"/>
                  </w14:solidFill>
                </w14:textFill>
              </w:rPr>
              <w:t>序号</w:t>
            </w:r>
          </w:p>
        </w:tc>
        <w:tc>
          <w:tcPr>
            <w:tcW w:w="131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6"/>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审查要素</w:t>
            </w:r>
          </w:p>
        </w:tc>
        <w:tc>
          <w:tcPr>
            <w:tcW w:w="6752"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6"/>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审查内容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atLeast"/>
          <w:jc w:val="center"/>
        </w:trPr>
        <w:tc>
          <w:tcPr>
            <w:tcW w:w="453"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6"/>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1</w:t>
            </w:r>
          </w:p>
        </w:tc>
        <w:tc>
          <w:tcPr>
            <w:tcW w:w="131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6"/>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具有独立承担民事责任的能力</w:t>
            </w:r>
          </w:p>
        </w:tc>
        <w:tc>
          <w:tcPr>
            <w:tcW w:w="6752"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6"/>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法人或者其他组织的营业执照等证明文件；自然人的身份证。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3"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6"/>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2</w:t>
            </w:r>
          </w:p>
        </w:tc>
        <w:tc>
          <w:tcPr>
            <w:tcW w:w="131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6"/>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具有良好的商业信誉和健全的财务会计制度</w:t>
            </w:r>
          </w:p>
        </w:tc>
        <w:tc>
          <w:tcPr>
            <w:tcW w:w="6752"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6"/>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资格承诺函，或202</w:t>
            </w:r>
            <w:r>
              <w:rPr>
                <w:rFonts w:hint="eastAsia" w:ascii="宋体" w:hAnsi="宋体" w:eastAsia="宋体" w:cs="宋体"/>
                <w:color w:val="000000" w:themeColor="text1"/>
                <w:sz w:val="21"/>
                <w:highlight w:val="none"/>
                <w14:textFill>
                  <w14:solidFill>
                    <w14:schemeClr w14:val="tx1"/>
                  </w14:solidFill>
                </w14:textFill>
              </w:rPr>
              <w:t>2</w:t>
            </w:r>
            <w:r>
              <w:rPr>
                <w:rFonts w:ascii="宋体" w:hAnsi="宋体" w:eastAsia="宋体" w:cs="宋体"/>
                <w:color w:val="000000" w:themeColor="text1"/>
                <w:sz w:val="21"/>
                <w:highlight w:val="none"/>
                <w14:textFill>
                  <w14:solidFill>
                    <w14:schemeClr w14:val="tx1"/>
                  </w14:solidFill>
                </w14:textFill>
              </w:rPr>
              <w:t>年度财务报告（成立不满一年的提供至少一个月），或银行出具的资信证明，或财政部门认可的政府采购专业担保机构出具的投标担保函等。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9" w:hRule="atLeast"/>
          <w:jc w:val="center"/>
        </w:trPr>
        <w:tc>
          <w:tcPr>
            <w:tcW w:w="453"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6"/>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3</w:t>
            </w:r>
          </w:p>
        </w:tc>
        <w:tc>
          <w:tcPr>
            <w:tcW w:w="131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6"/>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具有履行合同所必需的设备和专业技术能力</w:t>
            </w:r>
          </w:p>
        </w:tc>
        <w:tc>
          <w:tcPr>
            <w:tcW w:w="6752"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6"/>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资格承诺函，或</w:t>
            </w:r>
            <w:r>
              <w:rPr>
                <w:rFonts w:hint="eastAsia" w:ascii="宋体" w:hAnsi="宋体" w:eastAsia="宋体" w:cs="宋体"/>
                <w:color w:val="000000" w:themeColor="text1"/>
                <w:sz w:val="21"/>
                <w:highlight w:val="none"/>
                <w14:textFill>
                  <w14:solidFill>
                    <w14:schemeClr w14:val="tx1"/>
                  </w14:solidFill>
                </w14:textFill>
              </w:rPr>
              <w:t>投标人</w:t>
            </w:r>
            <w:r>
              <w:rPr>
                <w:rFonts w:ascii="宋体" w:hAnsi="宋体" w:eastAsia="宋体" w:cs="宋体"/>
                <w:color w:val="000000" w:themeColor="text1"/>
                <w:sz w:val="21"/>
                <w:highlight w:val="none"/>
                <w14:textFill>
                  <w14:solidFill>
                    <w14:schemeClr w14:val="tx1"/>
                  </w14:solidFill>
                </w14:textFill>
              </w:rPr>
              <w:t>相关信息一览表。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3"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6"/>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4</w:t>
            </w:r>
          </w:p>
        </w:tc>
        <w:tc>
          <w:tcPr>
            <w:tcW w:w="131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6"/>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有依法缴纳税收和社会保障资金的良好记录</w:t>
            </w:r>
          </w:p>
        </w:tc>
        <w:tc>
          <w:tcPr>
            <w:tcW w:w="6752"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6"/>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资格承诺函，或参加本次政府采购活动前半年内（至少一个月）依法缴纳税收和社会保险资金的相关材料。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3"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6"/>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5</w:t>
            </w:r>
          </w:p>
        </w:tc>
        <w:tc>
          <w:tcPr>
            <w:tcW w:w="131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6"/>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参加政府采购活动前三年内，在经营活动中没有重大违法记录</w:t>
            </w:r>
          </w:p>
        </w:tc>
        <w:tc>
          <w:tcPr>
            <w:tcW w:w="6752"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6"/>
              <w:numPr>
                <w:ilvl w:val="0"/>
                <w:numId w:val="11"/>
              </w:numPr>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投标函或资格承诺函</w:t>
            </w:r>
            <w:r>
              <w:rPr>
                <w:rFonts w:ascii="宋体" w:hAnsi="宋体" w:eastAsia="宋体" w:cs="宋体"/>
                <w:color w:val="000000" w:themeColor="text1"/>
                <w:sz w:val="21"/>
                <w:highlight w:val="none"/>
                <w14:textFill>
                  <w14:solidFill>
                    <w14:schemeClr w14:val="tx1"/>
                  </w14:solidFill>
                </w14:textFill>
              </w:rPr>
              <w:t>。</w:t>
            </w:r>
          </w:p>
          <w:p>
            <w:pPr>
              <w:pStyle w:val="1586"/>
              <w:numPr>
                <w:ilvl w:val="0"/>
                <w:numId w:val="11"/>
              </w:numP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信用中国”网站（www.creditchina.gov.cn）、中国政府采购网（www.ccgp.gov.cn）、“信用江苏”网站（http://credit.jiangsu.gov.cn/）的查询结果未列入失信被执行人名单、重大税收违法案件当事人名单、政府采购严重违法失信行为名单，以现场查询为准。</w:t>
            </w:r>
            <w:r>
              <w:rPr>
                <w:rFonts w:hint="eastAsia" w:ascii="宋体" w:hAnsi="宋体" w:eastAsia="宋体" w:cs="宋体"/>
                <w:color w:val="000000" w:themeColor="text1"/>
                <w:sz w:val="21"/>
                <w:highlight w:val="none"/>
                <w14:textFill>
                  <w14:solidFill>
                    <w14:schemeClr w14:val="tx1"/>
                  </w14:solidFill>
                </w14:textFill>
              </w:rPr>
              <w:t>或提供资格承诺函。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3"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6"/>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6</w:t>
            </w:r>
          </w:p>
        </w:tc>
        <w:tc>
          <w:tcPr>
            <w:tcW w:w="131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6"/>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法律、行政法规规定的其他条件</w:t>
            </w:r>
          </w:p>
        </w:tc>
        <w:tc>
          <w:tcPr>
            <w:tcW w:w="6752"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6"/>
              <w:jc w:val="center"/>
              <w:rPr>
                <w:rFonts w:ascii="宋体" w:hAnsi="宋体" w:eastAsia="宋体" w:cs="宋体"/>
                <w:b/>
                <w:bCs/>
                <w:color w:val="000000" w:themeColor="text1"/>
                <w:sz w:val="21"/>
                <w:highlight w:val="none"/>
                <w14:textFill>
                  <w14:solidFill>
                    <w14:schemeClr w14:val="tx1"/>
                  </w14:solidFill>
                </w14:textFill>
              </w:rPr>
            </w:pPr>
            <w:r>
              <w:rPr>
                <w:rFonts w:hint="eastAsia" w:ascii="宋体" w:hAnsi="宋体" w:eastAsia="宋体" w:cs="宋体"/>
                <w:b/>
                <w:bCs/>
                <w:color w:val="000000" w:themeColor="text1"/>
                <w:sz w:val="21"/>
                <w:highlight w:val="none"/>
                <w14:textFill>
                  <w14:solidFill>
                    <w14:schemeClr w14:val="tx1"/>
                  </w14:solidFill>
                </w14:textFill>
              </w:rPr>
              <w:t>中小企业声明函</w:t>
            </w:r>
          </w:p>
        </w:tc>
      </w:tr>
      <w:bookmarkEnd w:id="136"/>
    </w:tbl>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7.投标人符合性审查</w:t>
      </w:r>
    </w:p>
    <w:p>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7.1 评标委员会将对符合资格的投标人的投标文件进行符合性审查，审查内容主要是投标文件的有效性和对招标文件的响应程度，以确定是否满足招标文件的实质性要求。</w:t>
      </w:r>
    </w:p>
    <w:tbl>
      <w:tblPr>
        <w:tblStyle w:val="3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66"/>
        <w:gridCol w:w="1810"/>
        <w:gridCol w:w="614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6"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7"/>
              <w:jc w:val="center"/>
              <w:rPr>
                <w:rFonts w:ascii="宋体" w:hAnsi="宋体" w:eastAsia="宋体" w:cs="宋体"/>
                <w:color w:val="000000" w:themeColor="text1"/>
                <w:sz w:val="21"/>
                <w:highlight w:val="none"/>
                <w14:textFill>
                  <w14:solidFill>
                    <w14:schemeClr w14:val="tx1"/>
                  </w14:solidFill>
                </w14:textFill>
              </w:rPr>
            </w:pPr>
            <w:bookmarkStart w:id="137" w:name="EBbf62c27514f942048e872f4510d87fc2"/>
            <w:r>
              <w:rPr>
                <w:rFonts w:ascii="宋体" w:hAnsi="宋体" w:eastAsia="宋体" w:cs="宋体"/>
                <w:color w:val="000000" w:themeColor="text1"/>
                <w:sz w:val="21"/>
                <w:highlight w:val="none"/>
                <w14:textFill>
                  <w14:solidFill>
                    <w14:schemeClr w14:val="tx1"/>
                  </w14:solidFill>
                </w14:textFill>
              </w:rPr>
              <w:t>序号</w:t>
            </w:r>
          </w:p>
        </w:tc>
        <w:tc>
          <w:tcPr>
            <w:tcW w:w="18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审查要素</w:t>
            </w:r>
          </w:p>
        </w:tc>
        <w:tc>
          <w:tcPr>
            <w:tcW w:w="6147"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审查内容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6"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1</w:t>
            </w:r>
          </w:p>
        </w:tc>
        <w:tc>
          <w:tcPr>
            <w:tcW w:w="18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7"/>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投标文件有效性</w:t>
            </w:r>
          </w:p>
        </w:tc>
        <w:tc>
          <w:tcPr>
            <w:tcW w:w="6147"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7"/>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电子投标文件的有效电子签章。投标报价。未发现属无效投标的其他情形。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6"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2</w:t>
            </w:r>
          </w:p>
        </w:tc>
        <w:tc>
          <w:tcPr>
            <w:tcW w:w="18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7"/>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投标文件完整性</w:t>
            </w:r>
          </w:p>
        </w:tc>
        <w:tc>
          <w:tcPr>
            <w:tcW w:w="6147"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7"/>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投标文件内容完整性、齐全性。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6"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3</w:t>
            </w:r>
          </w:p>
        </w:tc>
        <w:tc>
          <w:tcPr>
            <w:tcW w:w="181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对招标文件响应程度</w:t>
            </w:r>
          </w:p>
        </w:tc>
        <w:tc>
          <w:tcPr>
            <w:tcW w:w="6147"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pPr>
              <w:pStyle w:val="1587"/>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审查投标文件与招标文件要求的主要条款、条件和技术规格是否相符，是否存在重大偏离或保留。</w:t>
            </w:r>
          </w:p>
        </w:tc>
      </w:tr>
      <w:bookmarkEnd w:id="137"/>
    </w:tbl>
    <w:p>
      <w:pPr>
        <w:spacing w:before="240"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审查投标文件与招标文件要求的主要条款、条件和技术规格是否相符，是否存在重大偏离或保留。所谓重大偏离或保留系指影响到招标文件规定的服务范围、质量和性能的，或者在实质上与招标文件不一致，有限制招标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p>
    <w:p>
      <w:pPr>
        <w:spacing w:line="360" w:lineRule="auto"/>
        <w:ind w:firstLine="480"/>
        <w:rPr>
          <w:rFonts w:ascii="宋体" w:hAnsi="宋体"/>
          <w:color w:val="000000" w:themeColor="text1"/>
          <w:sz w:val="24"/>
          <w:highlight w:val="none"/>
          <w14:textFill>
            <w14:solidFill>
              <w14:schemeClr w14:val="tx1"/>
            </w14:solidFill>
          </w14:textFill>
        </w:rPr>
      </w:pPr>
      <w:bookmarkStart w:id="138" w:name="EB9f10e38907c04489b7b868cd4c9f4b8a"/>
      <w:r>
        <w:rPr>
          <w:rFonts w:hint="eastAsia" w:ascii="宋体" w:hAnsi="宋体"/>
          <w:color w:val="000000" w:themeColor="text1"/>
          <w:sz w:val="24"/>
          <w:highlight w:val="none"/>
          <w14:textFill>
            <w14:solidFill>
              <w14:schemeClr w14:val="tx1"/>
            </w14:solidFill>
          </w14:textFill>
        </w:rPr>
        <w:t>投标人存在下列情况之一的，其投标无效：</w:t>
      </w:r>
    </w:p>
    <w:bookmarkEnd w:id="138"/>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（1）投标文件未按招标文件要求进行有效签章的；</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（2）报价超过招标文件中规定的预算金额或最高限价的；</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（3）采购人拟采购的产品属于政府强制采购的节能产品品目清单范围的，投标人未按招标文件要求提供国家确定的认证机构出具的、处于有效期之内的节能产品认证证书的；</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（4）投标文件含有采购人不能接受的附加条件的；</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（6）投标人对根据修正原则修正后的报价不确认的；</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（7）投标文件中提供了虚假或失实资料的；</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8</w:t>
      </w:r>
      <w:r>
        <w:rPr>
          <w:rFonts w:hint="eastAsia" w:ascii="宋体" w:hAnsi="宋体"/>
          <w:color w:val="000000" w:themeColor="text1"/>
          <w:sz w:val="24"/>
          <w:highlight w:val="none"/>
          <w14:textFill>
            <w14:solidFill>
              <w14:schemeClr w14:val="tx1"/>
            </w14:solidFill>
          </w14:textFill>
        </w:rPr>
        <w:t>）不同投标人的电子投标文件出自同一台电脑；</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9</w:t>
      </w:r>
      <w:r>
        <w:rPr>
          <w:rFonts w:hint="eastAsia" w:ascii="宋体" w:hAnsi="宋体"/>
          <w:color w:val="000000" w:themeColor="text1"/>
          <w:sz w:val="24"/>
          <w:highlight w:val="none"/>
          <w14:textFill>
            <w14:solidFill>
              <w14:schemeClr w14:val="tx1"/>
            </w14:solidFill>
          </w14:textFill>
        </w:rPr>
        <w:t>）投标人存在串通投标情形的；</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10</w:t>
      </w:r>
      <w:r>
        <w:rPr>
          <w:rFonts w:hint="eastAsia" w:ascii="宋体" w:hAnsi="宋体"/>
          <w:color w:val="000000" w:themeColor="text1"/>
          <w:sz w:val="24"/>
          <w:highlight w:val="none"/>
          <w14:textFill>
            <w14:solidFill>
              <w14:schemeClr w14:val="tx1"/>
            </w14:solidFill>
          </w14:textFill>
        </w:rPr>
        <w:t>）为本项目提供整体设计、规范编制或者项目管理、监理、检测等服务的；</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11</w:t>
      </w:r>
      <w:r>
        <w:rPr>
          <w:rFonts w:hint="eastAsia" w:ascii="宋体" w:hAnsi="宋体"/>
          <w:color w:val="000000" w:themeColor="text1"/>
          <w:sz w:val="24"/>
          <w:highlight w:val="none"/>
          <w14:textFill>
            <w14:solidFill>
              <w14:schemeClr w14:val="tx1"/>
            </w14:solidFill>
          </w14:textFill>
        </w:rPr>
        <w:t>）不同投标人的法定代表人或单位负责人为同一个人或者存在直接控股、管理关系的；</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12</w:t>
      </w:r>
      <w:r>
        <w:rPr>
          <w:rFonts w:hint="eastAsia" w:ascii="宋体" w:hAnsi="宋体"/>
          <w:color w:val="000000" w:themeColor="text1"/>
          <w:sz w:val="24"/>
          <w:highlight w:val="none"/>
          <w14:textFill>
            <w14:solidFill>
              <w14:schemeClr w14:val="tx1"/>
            </w14:solidFill>
          </w14:textFill>
        </w:rPr>
        <w:t>）投标文件不满足招标文件的其它实质性要求的；</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（13）采购需求中加“★”项有负偏离的。</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4）法律、法规、规章（适用本市的）及省级以上规范性文件（适用本市的）规定的其他无效情形。</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8.商务和技术评估</w:t>
      </w:r>
    </w:p>
    <w:p>
      <w:pPr>
        <w:widowControl/>
        <w:spacing w:line="360" w:lineRule="auto"/>
        <w:ind w:firstLine="420"/>
        <w:rPr>
          <w:rFonts w:ascii="宋体" w:hAnsi="宋体"/>
          <w:b/>
          <w:color w:val="000000" w:themeColor="text1"/>
          <w:sz w:val="24"/>
          <w:highlight w:val="none"/>
          <w14:textFill>
            <w14:solidFill>
              <w14:schemeClr w14:val="tx1"/>
            </w14:solidFill>
          </w14:textFill>
        </w:rPr>
      </w:pPr>
      <w:bookmarkStart w:id="139" w:name="EB219b6b477584474cb0ab8660990a36a0"/>
      <w:bookmarkEnd w:id="139"/>
      <w:bookmarkStart w:id="140" w:name="EBa0a1699e4977444eac4c90b7cae614d0"/>
      <w:r>
        <w:rPr>
          <w:rFonts w:ascii="Segoe UI Symbol" w:hAnsi="Segoe UI Symbol" w:cs="Segoe UI Symbol"/>
          <w:color w:val="000000" w:themeColor="text1"/>
          <w:sz w:val="24"/>
          <w:highlight w:val="none"/>
          <w14:textFill>
            <w14:solidFill>
              <w14:schemeClr w14:val="tx1"/>
            </w14:solidFill>
          </w14:textFill>
        </w:rPr>
        <w:t>☑</w:t>
      </w:r>
      <w:bookmarkEnd w:id="140"/>
      <w:r>
        <w:rPr>
          <w:rFonts w:hint="eastAsia" w:ascii="宋体" w:hAnsi="宋体"/>
          <w:color w:val="000000" w:themeColor="text1"/>
          <w:sz w:val="24"/>
          <w:highlight w:val="none"/>
          <w14:textFill>
            <w14:solidFill>
              <w14:schemeClr w14:val="tx1"/>
            </w14:solidFill>
          </w14:textFill>
        </w:rPr>
        <w:t xml:space="preserve">8.1 </w:t>
      </w:r>
      <w:r>
        <w:rPr>
          <w:rFonts w:hint="eastAsia" w:ascii="宋体" w:hAnsi="宋体"/>
          <w:b/>
          <w:color w:val="000000" w:themeColor="text1"/>
          <w:sz w:val="24"/>
          <w:highlight w:val="none"/>
          <w14:textFill>
            <w14:solidFill>
              <w14:schemeClr w14:val="tx1"/>
            </w14:solidFill>
          </w14:textFill>
        </w:rPr>
        <w:t>本项目采用综合评分法。</w:t>
      </w:r>
    </w:p>
    <w:tbl>
      <w:tblPr>
        <w:tblStyle w:val="3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2092"/>
        <w:gridCol w:w="2150"/>
        <w:gridCol w:w="2131"/>
        <w:gridCol w:w="21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092" w:type="dxa"/>
            <w:tcMar>
              <w:top w:w="100" w:type="dxa"/>
              <w:bottom w:w="100" w:type="dxa"/>
            </w:tcMar>
            <w:vAlign w:val="center"/>
          </w:tcPr>
          <w:p>
            <w:pPr>
              <w:pStyle w:val="1597"/>
              <w:jc w:val="center"/>
              <w:rPr>
                <w:rFonts w:ascii="宋体" w:hAnsi="宋体" w:eastAsia="宋体" w:cs="宋体"/>
                <w:color w:val="000000" w:themeColor="text1"/>
                <w:highlight w:val="none"/>
                <w14:textFill>
                  <w14:solidFill>
                    <w14:schemeClr w14:val="tx1"/>
                  </w14:solidFill>
                </w14:textFill>
              </w:rPr>
            </w:pPr>
            <w:bookmarkStart w:id="141" w:name="EB31a4709c9f5a4f2daf007db3d6d03fcd"/>
            <w:r>
              <w:rPr>
                <w:rFonts w:ascii="宋体" w:hAnsi="宋体" w:eastAsia="宋体" w:cs="宋体"/>
                <w:color w:val="000000" w:themeColor="text1"/>
                <w:highlight w:val="none"/>
                <w14:textFill>
                  <w14:solidFill>
                    <w14:schemeClr w14:val="tx1"/>
                  </w14:solidFill>
                </w14:textFill>
              </w:rPr>
              <w:t>评分项目</w:t>
            </w:r>
          </w:p>
        </w:tc>
        <w:tc>
          <w:tcPr>
            <w:tcW w:w="2150" w:type="dxa"/>
            <w:tcMar>
              <w:top w:w="100" w:type="dxa"/>
              <w:bottom w:w="100" w:type="dxa"/>
            </w:tcMar>
            <w:vAlign w:val="center"/>
          </w:tcPr>
          <w:p>
            <w:pPr>
              <w:pStyle w:val="1597"/>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技术评估</w:t>
            </w:r>
          </w:p>
        </w:tc>
        <w:tc>
          <w:tcPr>
            <w:tcW w:w="2131" w:type="dxa"/>
            <w:tcMar>
              <w:top w:w="100" w:type="dxa"/>
              <w:bottom w:w="100" w:type="dxa"/>
            </w:tcMar>
            <w:vAlign w:val="center"/>
          </w:tcPr>
          <w:p>
            <w:pPr>
              <w:pStyle w:val="1597"/>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商务评估</w:t>
            </w:r>
          </w:p>
        </w:tc>
        <w:tc>
          <w:tcPr>
            <w:tcW w:w="2150" w:type="dxa"/>
            <w:tcMar>
              <w:top w:w="100" w:type="dxa"/>
              <w:bottom w:w="100" w:type="dxa"/>
            </w:tcMar>
            <w:vAlign w:val="center"/>
          </w:tcPr>
          <w:p>
            <w:pPr>
              <w:pStyle w:val="1597"/>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价格评估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092" w:type="dxa"/>
            <w:tcMar>
              <w:top w:w="100" w:type="dxa"/>
              <w:bottom w:w="100" w:type="dxa"/>
            </w:tcMar>
            <w:vAlign w:val="center"/>
          </w:tcPr>
          <w:p>
            <w:pPr>
              <w:pStyle w:val="1597"/>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分值</w:t>
            </w:r>
          </w:p>
        </w:tc>
        <w:tc>
          <w:tcPr>
            <w:tcW w:w="2150" w:type="dxa"/>
            <w:tcMar>
              <w:top w:w="100" w:type="dxa"/>
              <w:bottom w:w="100" w:type="dxa"/>
            </w:tcMar>
            <w:vAlign w:val="center"/>
          </w:tcPr>
          <w:p>
            <w:pPr>
              <w:pStyle w:val="1597"/>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65</w:t>
            </w:r>
            <w:r>
              <w:rPr>
                <w:rFonts w:ascii="宋体" w:hAnsi="宋体" w:eastAsia="宋体" w:cs="宋体"/>
                <w:color w:val="000000" w:themeColor="text1"/>
                <w:highlight w:val="none"/>
                <w14:textFill>
                  <w14:solidFill>
                    <w14:schemeClr w14:val="tx1"/>
                  </w14:solidFill>
                </w14:textFill>
              </w:rPr>
              <w:t>.00</w:t>
            </w:r>
          </w:p>
        </w:tc>
        <w:tc>
          <w:tcPr>
            <w:tcW w:w="2131" w:type="dxa"/>
            <w:tcMar>
              <w:top w:w="100" w:type="dxa"/>
              <w:bottom w:w="100" w:type="dxa"/>
            </w:tcMar>
            <w:vAlign w:val="center"/>
          </w:tcPr>
          <w:p>
            <w:pPr>
              <w:pStyle w:val="1597"/>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25</w:t>
            </w:r>
            <w:r>
              <w:rPr>
                <w:rFonts w:ascii="宋体" w:hAnsi="宋体" w:eastAsia="宋体" w:cs="宋体"/>
                <w:color w:val="000000" w:themeColor="text1"/>
                <w:highlight w:val="none"/>
                <w14:textFill>
                  <w14:solidFill>
                    <w14:schemeClr w14:val="tx1"/>
                  </w14:solidFill>
                </w14:textFill>
              </w:rPr>
              <w:t>.00</w:t>
            </w:r>
          </w:p>
        </w:tc>
        <w:tc>
          <w:tcPr>
            <w:tcW w:w="2150" w:type="dxa"/>
            <w:tcMar>
              <w:top w:w="100" w:type="dxa"/>
              <w:bottom w:w="100" w:type="dxa"/>
            </w:tcMar>
            <w:vAlign w:val="center"/>
          </w:tcPr>
          <w:p>
            <w:pPr>
              <w:pStyle w:val="1597"/>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ascii="宋体" w:hAnsi="宋体" w:eastAsia="宋体" w:cs="宋体"/>
                <w:color w:val="000000" w:themeColor="text1"/>
                <w:highlight w:val="none"/>
                <w14:textFill>
                  <w14:solidFill>
                    <w14:schemeClr w14:val="tx1"/>
                  </w14:solidFill>
                </w14:textFill>
              </w:rPr>
              <w:t>0.00</w:t>
            </w:r>
          </w:p>
        </w:tc>
      </w:tr>
    </w:tbl>
    <w:p>
      <w:pPr>
        <w:rPr>
          <w:highlight w:val="none"/>
        </w:rPr>
      </w:pPr>
      <w:r>
        <w:rPr>
          <w:rFonts w:hint="eastAsia"/>
          <w:highlight w:val="none"/>
        </w:rPr>
        <w:t xml:space="preserve"> </w:t>
      </w:r>
    </w:p>
    <w:p>
      <w:pPr>
        <w:widowControl/>
        <w:numPr>
          <w:ilvl w:val="0"/>
          <w:numId w:val="12"/>
        </w:numP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商务评估</w:t>
      </w:r>
    </w:p>
    <w:tbl>
      <w:tblPr>
        <w:tblStyle w:val="39"/>
        <w:tblW w:w="5255"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75"/>
        <w:gridCol w:w="1175"/>
        <w:gridCol w:w="6248"/>
        <w:gridCol w:w="73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jc w:val="center"/>
        </w:trPr>
        <w:tc>
          <w:tcPr>
            <w:tcW w:w="575" w:type="dxa"/>
            <w:vAlign w:val="center"/>
          </w:tcPr>
          <w:p>
            <w:pPr>
              <w:pStyle w:val="1187"/>
              <w:spacing w:line="276" w:lineRule="auto"/>
              <w:jc w:val="center"/>
              <w:rPr>
                <w:rFonts w:ascii="宋体" w:hAnsi="宋体" w:cs="宋体"/>
                <w:color w:val="000000" w:themeColor="text1"/>
                <w:sz w:val="24"/>
                <w:szCs w:val="24"/>
                <w:highlight w:val="none"/>
                <w14:textFill>
                  <w14:solidFill>
                    <w14:schemeClr w14:val="tx1"/>
                  </w14:solidFill>
                </w14:textFill>
              </w:rPr>
            </w:pPr>
            <w:bookmarkStart w:id="142" w:name="EB14ad66033b3f422caabf25e355d52a4d"/>
            <w:r>
              <w:rPr>
                <w:rFonts w:hint="eastAsia" w:ascii="宋体" w:hAnsi="宋体" w:cs="宋体"/>
                <w:color w:val="000000" w:themeColor="text1"/>
                <w:sz w:val="24"/>
                <w:szCs w:val="24"/>
                <w:highlight w:val="none"/>
                <w14:textFill>
                  <w14:solidFill>
                    <w14:schemeClr w14:val="tx1"/>
                  </w14:solidFill>
                </w14:textFill>
              </w:rPr>
              <w:t>序号</w:t>
            </w:r>
          </w:p>
        </w:tc>
        <w:tc>
          <w:tcPr>
            <w:tcW w:w="1174" w:type="dxa"/>
            <w:vAlign w:val="center"/>
          </w:tcPr>
          <w:p>
            <w:pPr>
              <w:pStyle w:val="1187"/>
              <w:spacing w:line="276"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评审因素</w:t>
            </w:r>
          </w:p>
        </w:tc>
        <w:tc>
          <w:tcPr>
            <w:tcW w:w="6244" w:type="dxa"/>
            <w:vAlign w:val="center"/>
          </w:tcPr>
          <w:p>
            <w:pPr>
              <w:pStyle w:val="1187"/>
              <w:spacing w:line="276"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评审细则</w:t>
            </w:r>
          </w:p>
        </w:tc>
        <w:tc>
          <w:tcPr>
            <w:tcW w:w="739" w:type="dxa"/>
            <w:vAlign w:val="center"/>
          </w:tcPr>
          <w:p>
            <w:pPr>
              <w:pStyle w:val="1187"/>
              <w:spacing w:line="276"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分值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993" w:type="dxa"/>
            <w:gridSpan w:val="3"/>
            <w:vAlign w:val="center"/>
          </w:tcPr>
          <w:p>
            <w:pPr>
              <w:pStyle w:val="1187"/>
              <w:spacing w:line="276" w:lineRule="auto"/>
              <w:jc w:val="center"/>
              <w:rPr>
                <w:rFonts w:ascii="宋体" w:hAnsi="宋体" w:cs="宋体"/>
                <w:color w:val="000000" w:themeColor="text1"/>
                <w:sz w:val="24"/>
                <w:szCs w:val="24"/>
                <w:highlight w:val="none"/>
                <w:lang w:eastAsia="zh-CN"/>
                <w14:textFill>
                  <w14:solidFill>
                    <w14:schemeClr w14:val="tx1"/>
                  </w14:solidFill>
                </w14:textFill>
              </w:rPr>
            </w:pPr>
            <w:r>
              <w:rPr>
                <w:rFonts w:hint="eastAsia" w:ascii="宋体" w:hAnsi="宋体"/>
                <w:b/>
                <w:bCs/>
                <w:color w:val="000000" w:themeColor="text1"/>
                <w:sz w:val="24"/>
                <w:szCs w:val="24"/>
                <w:highlight w:val="none"/>
                <w:lang w:eastAsia="zh-CN"/>
                <w14:textFill>
                  <w14:solidFill>
                    <w14:schemeClr w14:val="tx1"/>
                  </w14:solidFill>
                </w14:textFill>
              </w:rPr>
              <w:t>企业资质及承接能力评价</w:t>
            </w:r>
          </w:p>
        </w:tc>
        <w:tc>
          <w:tcPr>
            <w:tcW w:w="739" w:type="dxa"/>
            <w:vAlign w:val="center"/>
          </w:tcPr>
          <w:p>
            <w:pPr>
              <w:pStyle w:val="1187"/>
              <w:spacing w:line="276"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25</w:t>
            </w:r>
            <w:r>
              <w:rPr>
                <w:rFonts w:hint="eastAsia" w:ascii="宋体" w:hAnsi="宋体" w:cs="宋体"/>
                <w:color w:val="000000" w:themeColor="text1"/>
                <w:sz w:val="24"/>
                <w:szCs w:val="24"/>
                <w:highlight w:val="none"/>
                <w14:textFill>
                  <w14:solidFill>
                    <w14:schemeClr w14:val="tx1"/>
                  </w14:solidFill>
                </w14:textFill>
              </w:rPr>
              <w:t>.0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8" w:hRule="atLeast"/>
          <w:jc w:val="center"/>
        </w:trPr>
        <w:tc>
          <w:tcPr>
            <w:tcW w:w="575" w:type="dxa"/>
            <w:vAlign w:val="center"/>
          </w:tcPr>
          <w:p>
            <w:pPr>
              <w:pStyle w:val="1187"/>
              <w:spacing w:line="276"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w:t>
            </w:r>
          </w:p>
        </w:tc>
        <w:tc>
          <w:tcPr>
            <w:tcW w:w="1174" w:type="dxa"/>
            <w:vAlign w:val="center"/>
          </w:tcPr>
          <w:p>
            <w:pPr>
              <w:spacing w:line="320" w:lineRule="exact"/>
              <w:jc w:val="center"/>
              <w:rPr>
                <w:rFonts w:ascii="宋体" w:hAnsi="宋体" w:cs="华文楷体"/>
                <w:color w:val="000000" w:themeColor="text1"/>
                <w:sz w:val="24"/>
                <w:szCs w:val="24"/>
                <w:highlight w:val="none"/>
                <w:lang w:val="zh-CN"/>
                <w14:textFill>
                  <w14:solidFill>
                    <w14:schemeClr w14:val="tx1"/>
                  </w14:solidFill>
                </w14:textFill>
              </w:rPr>
            </w:pPr>
            <w:r>
              <w:rPr>
                <w:rFonts w:hint="eastAsia" w:ascii="宋体" w:hAnsi="宋体" w:cs="华文楷体"/>
                <w:color w:val="000000" w:themeColor="text1"/>
                <w:sz w:val="24"/>
                <w:szCs w:val="24"/>
                <w:highlight w:val="none"/>
                <w:lang w:val="zh-CN"/>
                <w14:textFill>
                  <w14:solidFill>
                    <w14:schemeClr w14:val="tx1"/>
                  </w14:solidFill>
                </w14:textFill>
              </w:rPr>
              <w:t>履约能力</w:t>
            </w:r>
          </w:p>
          <w:p>
            <w:pPr>
              <w:spacing w:line="320" w:lineRule="exact"/>
              <w:jc w:val="center"/>
              <w:rPr>
                <w:rFonts w:ascii="宋体" w:hAnsi="宋体" w:cs="华文楷体"/>
                <w:color w:val="000000" w:themeColor="text1"/>
                <w:sz w:val="24"/>
                <w:szCs w:val="24"/>
                <w:highlight w:val="none"/>
                <w:lang w:val="zh-CN"/>
                <w14:textFill>
                  <w14:solidFill>
                    <w14:schemeClr w14:val="tx1"/>
                  </w14:solidFill>
                </w14:textFill>
              </w:rPr>
            </w:pPr>
            <w:r>
              <w:rPr>
                <w:rFonts w:hint="eastAsia" w:ascii="宋体" w:hAnsi="宋体" w:cs="华文楷体"/>
                <w:color w:val="000000" w:themeColor="text1"/>
                <w:sz w:val="24"/>
                <w:szCs w:val="24"/>
                <w:highlight w:val="none"/>
                <w:lang w:val="zh-CN"/>
                <w14:textFill>
                  <w14:solidFill>
                    <w14:schemeClr w14:val="tx1"/>
                  </w14:solidFill>
                </w14:textFill>
              </w:rPr>
              <w:t>评价</w:t>
            </w:r>
          </w:p>
        </w:tc>
        <w:tc>
          <w:tcPr>
            <w:tcW w:w="6244" w:type="dxa"/>
            <w:vAlign w:val="center"/>
          </w:tcPr>
          <w:p>
            <w:pPr>
              <w:spacing w:line="320" w:lineRule="exact"/>
              <w:rPr>
                <w:rFonts w:ascii="宋体" w:hAnsi="宋体" w:cs="华文楷体"/>
                <w:color w:val="000000" w:themeColor="text1"/>
                <w:sz w:val="24"/>
                <w:szCs w:val="24"/>
                <w:highlight w:val="none"/>
                <w:lang w:val="zh-CN"/>
                <w14:textFill>
                  <w14:solidFill>
                    <w14:schemeClr w14:val="tx1"/>
                  </w14:solidFill>
                </w14:textFill>
              </w:rPr>
            </w:pPr>
            <w:r>
              <w:rPr>
                <w:rFonts w:ascii="宋体" w:hAnsi="宋体" w:cs="华文楷体"/>
                <w:color w:val="000000" w:themeColor="text1"/>
                <w:sz w:val="24"/>
                <w:szCs w:val="24"/>
                <w:highlight w:val="none"/>
                <w:lang w:val="zh-CN"/>
                <w14:textFill>
                  <w14:solidFill>
                    <w14:schemeClr w14:val="tx1"/>
                  </w14:solidFill>
                </w14:textFill>
              </w:rPr>
              <w:t>1.投标人具有</w:t>
            </w:r>
            <w:r>
              <w:rPr>
                <w:rFonts w:hint="eastAsia" w:ascii="宋体" w:hAnsi="宋体" w:cs="华文楷体"/>
                <w:color w:val="000000" w:themeColor="text1"/>
                <w:sz w:val="24"/>
                <w:szCs w:val="24"/>
                <w:highlight w:val="none"/>
                <w:lang w:val="zh-CN"/>
                <w14:textFill>
                  <w14:solidFill>
                    <w14:schemeClr w14:val="tx1"/>
                  </w14:solidFill>
                </w14:textFill>
              </w:rPr>
              <w:t>ISO</w:t>
            </w:r>
            <w:r>
              <w:rPr>
                <w:rFonts w:ascii="宋体" w:hAnsi="宋体" w:cs="华文楷体"/>
                <w:color w:val="000000" w:themeColor="text1"/>
                <w:sz w:val="24"/>
                <w:szCs w:val="24"/>
                <w:highlight w:val="none"/>
                <w:lang w:val="zh-CN"/>
                <w14:textFill>
                  <w14:solidFill>
                    <w14:schemeClr w14:val="tx1"/>
                  </w14:solidFill>
                </w14:textFill>
              </w:rPr>
              <w:t>质量管理体系认证证书的得</w:t>
            </w:r>
            <w:r>
              <w:rPr>
                <w:rFonts w:hint="eastAsia" w:ascii="宋体" w:hAnsi="宋体" w:cs="华文楷体"/>
                <w:color w:val="000000" w:themeColor="text1"/>
                <w:sz w:val="24"/>
                <w:szCs w:val="24"/>
                <w:highlight w:val="none"/>
                <w:lang w:val="zh-CN"/>
                <w14:textFill>
                  <w14:solidFill>
                    <w14:schemeClr w14:val="tx1"/>
                  </w14:solidFill>
                </w14:textFill>
              </w:rPr>
              <w:t>2</w:t>
            </w:r>
            <w:r>
              <w:rPr>
                <w:rFonts w:ascii="宋体" w:hAnsi="宋体" w:cs="华文楷体"/>
                <w:color w:val="000000" w:themeColor="text1"/>
                <w:sz w:val="24"/>
                <w:szCs w:val="24"/>
                <w:highlight w:val="none"/>
                <w:lang w:val="zh-CN"/>
                <w14:textFill>
                  <w14:solidFill>
                    <w14:schemeClr w14:val="tx1"/>
                  </w14:solidFill>
                </w14:textFill>
              </w:rPr>
              <w:t>分</w:t>
            </w:r>
          </w:p>
          <w:p>
            <w:pPr>
              <w:spacing w:line="320" w:lineRule="exact"/>
              <w:rPr>
                <w:rFonts w:ascii="宋体" w:hAnsi="宋体" w:cs="华文楷体"/>
                <w:color w:val="000000" w:themeColor="text1"/>
                <w:sz w:val="24"/>
                <w:szCs w:val="24"/>
                <w:highlight w:val="none"/>
                <w:lang w:val="zh-CN"/>
                <w14:textFill>
                  <w14:solidFill>
                    <w14:schemeClr w14:val="tx1"/>
                  </w14:solidFill>
                </w14:textFill>
              </w:rPr>
            </w:pPr>
            <w:r>
              <w:rPr>
                <w:rFonts w:ascii="宋体" w:hAnsi="宋体" w:cs="华文楷体"/>
                <w:color w:val="000000" w:themeColor="text1"/>
                <w:sz w:val="24"/>
                <w:szCs w:val="24"/>
                <w:highlight w:val="none"/>
                <w:lang w:val="zh-CN"/>
                <w14:textFill>
                  <w14:solidFill>
                    <w14:schemeClr w14:val="tx1"/>
                  </w14:solidFill>
                </w14:textFill>
              </w:rPr>
              <w:t>2.投标人具有</w:t>
            </w:r>
            <w:r>
              <w:rPr>
                <w:rFonts w:hint="eastAsia" w:ascii="宋体" w:hAnsi="宋体" w:cs="华文楷体"/>
                <w:color w:val="000000" w:themeColor="text1"/>
                <w:sz w:val="24"/>
                <w:szCs w:val="24"/>
                <w:highlight w:val="none"/>
                <w:lang w:val="zh-CN"/>
                <w14:textFill>
                  <w14:solidFill>
                    <w14:schemeClr w14:val="tx1"/>
                  </w14:solidFill>
                </w14:textFill>
              </w:rPr>
              <w:t>ISO</w:t>
            </w:r>
            <w:r>
              <w:rPr>
                <w:rFonts w:ascii="宋体" w:hAnsi="宋体" w:cs="华文楷体"/>
                <w:color w:val="000000" w:themeColor="text1"/>
                <w:sz w:val="24"/>
                <w:szCs w:val="24"/>
                <w:highlight w:val="none"/>
                <w:lang w:val="zh-CN"/>
                <w14:textFill>
                  <w14:solidFill>
                    <w14:schemeClr w14:val="tx1"/>
                  </w14:solidFill>
                </w14:textFill>
              </w:rPr>
              <w:t>职业健康安全管理体系认证证书的得</w:t>
            </w:r>
            <w:r>
              <w:rPr>
                <w:rFonts w:hint="eastAsia" w:ascii="宋体" w:hAnsi="宋体" w:cs="华文楷体"/>
                <w:color w:val="000000" w:themeColor="text1"/>
                <w:sz w:val="24"/>
                <w:szCs w:val="24"/>
                <w:highlight w:val="none"/>
                <w:lang w:val="zh-CN"/>
                <w14:textFill>
                  <w14:solidFill>
                    <w14:schemeClr w14:val="tx1"/>
                  </w14:solidFill>
                </w14:textFill>
              </w:rPr>
              <w:t>2</w:t>
            </w:r>
            <w:r>
              <w:rPr>
                <w:rFonts w:ascii="宋体" w:hAnsi="宋体" w:cs="华文楷体"/>
                <w:color w:val="000000" w:themeColor="text1"/>
                <w:sz w:val="24"/>
                <w:szCs w:val="24"/>
                <w:highlight w:val="none"/>
                <w:lang w:val="zh-CN"/>
                <w14:textFill>
                  <w14:solidFill>
                    <w14:schemeClr w14:val="tx1"/>
                  </w14:solidFill>
                </w14:textFill>
              </w:rPr>
              <w:t>分</w:t>
            </w:r>
          </w:p>
          <w:p>
            <w:pPr>
              <w:spacing w:line="320" w:lineRule="exact"/>
              <w:rPr>
                <w:rFonts w:ascii="宋体" w:hAnsi="宋体" w:cs="华文楷体"/>
                <w:color w:val="000000" w:themeColor="text1"/>
                <w:sz w:val="24"/>
                <w:szCs w:val="24"/>
                <w:highlight w:val="none"/>
                <w:lang w:val="zh-CN"/>
                <w14:textFill>
                  <w14:solidFill>
                    <w14:schemeClr w14:val="tx1"/>
                  </w14:solidFill>
                </w14:textFill>
              </w:rPr>
            </w:pPr>
            <w:r>
              <w:rPr>
                <w:rFonts w:ascii="宋体" w:hAnsi="宋体" w:cs="华文楷体"/>
                <w:color w:val="000000" w:themeColor="text1"/>
                <w:sz w:val="24"/>
                <w:szCs w:val="24"/>
                <w:highlight w:val="none"/>
                <w:lang w:val="zh-CN"/>
                <w14:textFill>
                  <w14:solidFill>
                    <w14:schemeClr w14:val="tx1"/>
                  </w14:solidFill>
                </w14:textFill>
              </w:rPr>
              <w:t>3.投标人具有</w:t>
            </w:r>
            <w:r>
              <w:rPr>
                <w:rFonts w:hint="eastAsia" w:ascii="宋体" w:hAnsi="宋体" w:cs="华文楷体"/>
                <w:color w:val="000000" w:themeColor="text1"/>
                <w:sz w:val="24"/>
                <w:szCs w:val="24"/>
                <w:highlight w:val="none"/>
                <w:lang w:val="zh-CN"/>
                <w14:textFill>
                  <w14:solidFill>
                    <w14:schemeClr w14:val="tx1"/>
                  </w14:solidFill>
                </w14:textFill>
              </w:rPr>
              <w:t>ISO</w:t>
            </w:r>
            <w:r>
              <w:rPr>
                <w:rFonts w:ascii="宋体" w:hAnsi="宋体" w:cs="华文楷体"/>
                <w:color w:val="000000" w:themeColor="text1"/>
                <w:sz w:val="24"/>
                <w:szCs w:val="24"/>
                <w:highlight w:val="none"/>
                <w:lang w:val="zh-CN"/>
                <w14:textFill>
                  <w14:solidFill>
                    <w14:schemeClr w14:val="tx1"/>
                  </w14:solidFill>
                </w14:textFill>
              </w:rPr>
              <w:t>环境管理体系认证证书的得</w:t>
            </w:r>
            <w:r>
              <w:rPr>
                <w:rFonts w:hint="eastAsia" w:ascii="宋体" w:hAnsi="宋体" w:cs="华文楷体"/>
                <w:color w:val="000000" w:themeColor="text1"/>
                <w:sz w:val="24"/>
                <w:szCs w:val="24"/>
                <w:highlight w:val="none"/>
                <w:lang w:val="zh-CN"/>
                <w14:textFill>
                  <w14:solidFill>
                    <w14:schemeClr w14:val="tx1"/>
                  </w14:solidFill>
                </w14:textFill>
              </w:rPr>
              <w:t>2</w:t>
            </w:r>
            <w:r>
              <w:rPr>
                <w:rFonts w:ascii="宋体" w:hAnsi="宋体" w:cs="华文楷体"/>
                <w:color w:val="000000" w:themeColor="text1"/>
                <w:sz w:val="24"/>
                <w:szCs w:val="24"/>
                <w:highlight w:val="none"/>
                <w:lang w:val="zh-CN"/>
                <w14:textFill>
                  <w14:solidFill>
                    <w14:schemeClr w14:val="tx1"/>
                  </w14:solidFill>
                </w14:textFill>
              </w:rPr>
              <w:t>分</w:t>
            </w:r>
          </w:p>
          <w:p>
            <w:pPr>
              <w:spacing w:line="320" w:lineRule="exact"/>
              <w:rPr>
                <w:rFonts w:ascii="宋体" w:hAnsi="宋体" w:cs="华文楷体"/>
                <w:color w:val="000000" w:themeColor="text1"/>
                <w:sz w:val="24"/>
                <w:szCs w:val="24"/>
                <w:highlight w:val="none"/>
                <w:lang w:val="zh-CN"/>
                <w14:textFill>
                  <w14:solidFill>
                    <w14:schemeClr w14:val="tx1"/>
                  </w14:solidFill>
                </w14:textFill>
              </w:rPr>
            </w:pPr>
            <w:r>
              <w:rPr>
                <w:rFonts w:hint="eastAsia" w:ascii="宋体" w:hAnsi="宋体" w:cs="华文楷体"/>
                <w:color w:val="000000" w:themeColor="text1"/>
                <w:sz w:val="24"/>
                <w:szCs w:val="24"/>
                <w:highlight w:val="none"/>
                <w:lang w:val="zh-CN"/>
                <w14:textFill>
                  <w14:solidFill>
                    <w14:schemeClr w14:val="tx1"/>
                  </w14:solidFill>
                </w14:textFill>
              </w:rPr>
              <w:t>4</w:t>
            </w:r>
            <w:r>
              <w:rPr>
                <w:rFonts w:ascii="宋体" w:hAnsi="宋体" w:cs="华文楷体"/>
                <w:color w:val="000000" w:themeColor="text1"/>
                <w:sz w:val="24"/>
                <w:szCs w:val="24"/>
                <w:highlight w:val="none"/>
                <w:lang w:val="zh-CN"/>
                <w14:textFill>
                  <w14:solidFill>
                    <w14:schemeClr w14:val="tx1"/>
                  </w14:solidFill>
                </w14:textFill>
              </w:rPr>
              <w:t>.投标人具有</w:t>
            </w:r>
            <w:r>
              <w:rPr>
                <w:rFonts w:hint="eastAsia" w:ascii="宋体" w:hAnsi="宋体" w:cs="华文楷体"/>
                <w:color w:val="000000" w:themeColor="text1"/>
                <w:sz w:val="24"/>
                <w:szCs w:val="24"/>
                <w:highlight w:val="none"/>
                <w:lang w:val="zh-CN"/>
                <w14:textFill>
                  <w14:solidFill>
                    <w14:schemeClr w14:val="tx1"/>
                  </w14:solidFill>
                </w14:textFill>
              </w:rPr>
              <w:t>环保工程专业承包叁级资质的得2分；具有环保工程专业承包贰级及以上资质的得</w:t>
            </w:r>
            <w:r>
              <w:rPr>
                <w:rFonts w:ascii="宋体" w:hAnsi="宋体" w:cs="华文楷体"/>
                <w:color w:val="000000" w:themeColor="text1"/>
                <w:sz w:val="24"/>
                <w:szCs w:val="24"/>
                <w:highlight w:val="none"/>
                <w:lang w:val="zh-CN"/>
                <w14:textFill>
                  <w14:solidFill>
                    <w14:schemeClr w14:val="tx1"/>
                  </w14:solidFill>
                </w14:textFill>
              </w:rPr>
              <w:t>4</w:t>
            </w:r>
            <w:r>
              <w:rPr>
                <w:rFonts w:hint="eastAsia" w:ascii="宋体" w:hAnsi="宋体" w:cs="华文楷体"/>
                <w:color w:val="000000" w:themeColor="text1"/>
                <w:sz w:val="24"/>
                <w:szCs w:val="24"/>
                <w:highlight w:val="none"/>
                <w:lang w:val="zh-CN"/>
                <w14:textFill>
                  <w14:solidFill>
                    <w14:schemeClr w14:val="tx1"/>
                  </w14:solidFill>
                </w14:textFill>
              </w:rPr>
              <w:t>分；最高为4分。</w:t>
            </w:r>
          </w:p>
          <w:p>
            <w:pPr>
              <w:spacing w:line="320" w:lineRule="exact"/>
              <w:rPr>
                <w:rFonts w:ascii="宋体" w:hAnsi="宋体" w:cs="华文楷体"/>
                <w:b/>
                <w:bCs/>
                <w:color w:val="000000" w:themeColor="text1"/>
                <w:sz w:val="24"/>
                <w:szCs w:val="24"/>
                <w:highlight w:val="none"/>
                <w:lang w:val="zh-CN"/>
                <w14:textFill>
                  <w14:solidFill>
                    <w14:schemeClr w14:val="tx1"/>
                  </w14:solidFill>
                </w14:textFill>
              </w:rPr>
            </w:pPr>
            <w:r>
              <w:rPr>
                <w:rFonts w:ascii="宋体" w:hAnsi="宋体" w:cs="华文楷体"/>
                <w:b/>
                <w:bCs/>
                <w:color w:val="000000" w:themeColor="text1"/>
                <w:sz w:val="22"/>
                <w:highlight w:val="none"/>
                <w:lang w:val="zh-CN"/>
                <w14:textFill>
                  <w14:solidFill>
                    <w14:schemeClr w14:val="tx1"/>
                  </w14:solidFill>
                </w14:textFill>
              </w:rPr>
              <w:t>备注</w:t>
            </w:r>
            <w:r>
              <w:rPr>
                <w:rFonts w:hint="eastAsia" w:ascii="宋体" w:hAnsi="宋体" w:cs="华文楷体"/>
                <w:b/>
                <w:bCs/>
                <w:color w:val="000000" w:themeColor="text1"/>
                <w:sz w:val="22"/>
                <w:highlight w:val="none"/>
                <w:lang w:val="zh-CN"/>
                <w14:textFill>
                  <w14:solidFill>
                    <w14:schemeClr w14:val="tx1"/>
                  </w14:solidFill>
                </w14:textFill>
              </w:rPr>
              <w:t>：</w:t>
            </w:r>
            <w:r>
              <w:rPr>
                <w:rFonts w:ascii="宋体" w:hAnsi="宋体" w:cs="华文楷体"/>
                <w:b/>
                <w:bCs/>
                <w:color w:val="000000" w:themeColor="text1"/>
                <w:sz w:val="22"/>
                <w:highlight w:val="none"/>
                <w:lang w:val="zh-CN"/>
                <w14:textFill>
                  <w14:solidFill>
                    <w14:schemeClr w14:val="tx1"/>
                  </w14:solidFill>
                </w14:textFill>
              </w:rPr>
              <w:t>上述1-</w:t>
            </w:r>
            <w:r>
              <w:rPr>
                <w:rFonts w:hint="eastAsia" w:ascii="宋体" w:hAnsi="宋体" w:cs="华文楷体"/>
                <w:b/>
                <w:bCs/>
                <w:color w:val="000000" w:themeColor="text1"/>
                <w:sz w:val="22"/>
                <w:highlight w:val="none"/>
                <w:lang w:val="zh-CN"/>
                <w14:textFill>
                  <w14:solidFill>
                    <w14:schemeClr w14:val="tx1"/>
                  </w14:solidFill>
                </w14:textFill>
              </w:rPr>
              <w:t>4</w:t>
            </w:r>
            <w:r>
              <w:rPr>
                <w:rFonts w:ascii="宋体" w:hAnsi="宋体" w:cs="华文楷体"/>
                <w:b/>
                <w:bCs/>
                <w:color w:val="000000" w:themeColor="text1"/>
                <w:sz w:val="22"/>
                <w:highlight w:val="none"/>
                <w:lang w:val="zh-CN"/>
                <w14:textFill>
                  <w14:solidFill>
                    <w14:schemeClr w14:val="tx1"/>
                  </w14:solidFill>
                </w14:textFill>
              </w:rPr>
              <w:t>项投标文件中提供有效证书复印件并加盖投标人公章，否则不得分。</w:t>
            </w:r>
          </w:p>
        </w:tc>
        <w:tc>
          <w:tcPr>
            <w:tcW w:w="739" w:type="dxa"/>
            <w:vAlign w:val="center"/>
          </w:tcPr>
          <w:p>
            <w:pPr>
              <w:pStyle w:val="1187"/>
              <w:spacing w:line="276" w:lineRule="auto"/>
              <w:jc w:val="center"/>
              <w:rPr>
                <w:rFonts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10</w:t>
            </w:r>
            <w:r>
              <w:rPr>
                <w:rFonts w:hint="eastAsia" w:ascii="宋体" w:hAnsi="宋体" w:cs="宋体"/>
                <w:color w:val="000000" w:themeColor="text1"/>
                <w:sz w:val="24"/>
                <w:szCs w:val="24"/>
                <w:highlight w:val="none"/>
                <w14:textFill>
                  <w14:solidFill>
                    <w14:schemeClr w14:val="tx1"/>
                  </w14:solidFill>
                </w14:textFill>
              </w:rPr>
              <w:t>.0</w:t>
            </w:r>
            <w:r>
              <w:rPr>
                <w:rFonts w:hint="eastAsia" w:ascii="宋体" w:hAnsi="宋体" w:cs="宋体"/>
                <w:color w:val="000000" w:themeColor="text1"/>
                <w:sz w:val="24"/>
                <w:szCs w:val="24"/>
                <w:highlight w:val="none"/>
                <w:lang w:eastAsia="zh-CN"/>
                <w14:textFill>
                  <w14:solidFill>
                    <w14:schemeClr w14:val="tx1"/>
                  </w14:solidFill>
                </w14:textFill>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3" w:hRule="atLeast"/>
          <w:jc w:val="center"/>
        </w:trPr>
        <w:tc>
          <w:tcPr>
            <w:tcW w:w="575" w:type="dxa"/>
            <w:vAlign w:val="center"/>
          </w:tcPr>
          <w:p>
            <w:pPr>
              <w:pStyle w:val="1187"/>
              <w:spacing w:line="276"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ascii="宋体" w:hAnsi="宋体" w:cs="宋体"/>
                <w:color w:val="000000" w:themeColor="text1"/>
                <w:sz w:val="24"/>
                <w:szCs w:val="24"/>
                <w:highlight w:val="none"/>
                <w14:textFill>
                  <w14:solidFill>
                    <w14:schemeClr w14:val="tx1"/>
                  </w14:solidFill>
                </w14:textFill>
              </w:rPr>
              <w:t>2</w:t>
            </w:r>
          </w:p>
        </w:tc>
        <w:tc>
          <w:tcPr>
            <w:tcW w:w="1174" w:type="dxa"/>
            <w:vAlign w:val="center"/>
          </w:tcPr>
          <w:p>
            <w:pPr>
              <w:pStyle w:val="1187"/>
              <w:spacing w:line="276"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业绩</w:t>
            </w:r>
          </w:p>
        </w:tc>
        <w:tc>
          <w:tcPr>
            <w:tcW w:w="6244" w:type="dxa"/>
            <w:vAlign w:val="center"/>
          </w:tcPr>
          <w:p>
            <w:pPr>
              <w:jc w:val="left"/>
              <w:rPr>
                <w:rFonts w:ascii="宋体" w:hAnsi="宋体"/>
                <w:color w:val="000000" w:themeColor="text1"/>
                <w:spacing w:val="-8"/>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投标人具有与本项目类似垃圾填埋场飞灰吊装</w:t>
            </w:r>
            <w:r>
              <w:rPr>
                <w:rFonts w:hint="eastAsia" w:ascii="宋体" w:hAnsi="宋体"/>
                <w:color w:val="000000" w:themeColor="text1"/>
                <w:sz w:val="24"/>
                <w:szCs w:val="24"/>
                <w:highlight w:val="none"/>
                <w14:textFill>
                  <w14:solidFill>
                    <w14:schemeClr w14:val="tx1"/>
                  </w14:solidFill>
                </w14:textFill>
              </w:rPr>
              <w:t>服务</w:t>
            </w:r>
            <w:r>
              <w:rPr>
                <w:rFonts w:ascii="宋体" w:hAnsi="宋体"/>
                <w:color w:val="000000" w:themeColor="text1"/>
                <w:sz w:val="24"/>
                <w:szCs w:val="24"/>
                <w:highlight w:val="none"/>
                <w14:textFill>
                  <w14:solidFill>
                    <w14:schemeClr w14:val="tx1"/>
                  </w14:solidFill>
                </w14:textFill>
              </w:rPr>
              <w:t>业绩</w:t>
            </w:r>
            <w:r>
              <w:rPr>
                <w:rFonts w:hint="eastAsia" w:ascii="宋体" w:hAnsi="宋体"/>
                <w:color w:val="000000" w:themeColor="text1"/>
                <w:sz w:val="24"/>
                <w:szCs w:val="24"/>
                <w:highlight w:val="none"/>
                <w14:textFill>
                  <w14:solidFill>
                    <w14:schemeClr w14:val="tx1"/>
                  </w14:solidFill>
                </w14:textFill>
              </w:rPr>
              <w:t>的</w:t>
            </w:r>
            <w:r>
              <w:rPr>
                <w:rFonts w:ascii="宋体" w:hAnsi="宋体"/>
                <w:color w:val="000000" w:themeColor="text1"/>
                <w:sz w:val="24"/>
                <w:szCs w:val="24"/>
                <w:highlight w:val="none"/>
                <w14:textFill>
                  <w14:solidFill>
                    <w14:schemeClr w14:val="tx1"/>
                  </w14:solidFill>
                </w14:textFill>
              </w:rPr>
              <w:t>，每有一个得</w:t>
            </w: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分，最高得</w:t>
            </w:r>
            <w:r>
              <w:rPr>
                <w:rFonts w:hint="eastAsia" w:ascii="宋体" w:hAnsi="宋体"/>
                <w:color w:val="000000" w:themeColor="text1"/>
                <w:spacing w:val="-8"/>
                <w:sz w:val="24"/>
                <w:szCs w:val="24"/>
                <w:highlight w:val="none"/>
                <w14:textFill>
                  <w14:solidFill>
                    <w14:schemeClr w14:val="tx1"/>
                  </w14:solidFill>
                </w14:textFill>
              </w:rPr>
              <w:t>3</w:t>
            </w:r>
            <w:r>
              <w:rPr>
                <w:rFonts w:ascii="宋体" w:hAnsi="宋体"/>
                <w:color w:val="000000" w:themeColor="text1"/>
                <w:spacing w:val="-8"/>
                <w:sz w:val="24"/>
                <w:szCs w:val="24"/>
                <w:highlight w:val="none"/>
                <w14:textFill>
                  <w14:solidFill>
                    <w14:schemeClr w14:val="tx1"/>
                  </w14:solidFill>
                </w14:textFill>
              </w:rPr>
              <w:t>分。</w:t>
            </w:r>
          </w:p>
          <w:p>
            <w:pPr>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投标人具有与本项目类似垃圾填埋场</w:t>
            </w:r>
            <w:r>
              <w:rPr>
                <w:rFonts w:hint="eastAsia" w:ascii="宋体" w:hAnsi="宋体"/>
                <w:color w:val="000000" w:themeColor="text1"/>
                <w:sz w:val="24"/>
                <w:szCs w:val="24"/>
                <w:highlight w:val="none"/>
                <w14:textFill>
                  <w14:solidFill>
                    <w14:schemeClr w14:val="tx1"/>
                  </w14:solidFill>
                </w14:textFill>
              </w:rPr>
              <w:t>运营监管</w:t>
            </w:r>
            <w:r>
              <w:rPr>
                <w:rFonts w:ascii="宋体" w:hAnsi="宋体"/>
                <w:color w:val="000000" w:themeColor="text1"/>
                <w:sz w:val="24"/>
                <w:szCs w:val="24"/>
                <w:highlight w:val="none"/>
                <w14:textFill>
                  <w14:solidFill>
                    <w14:schemeClr w14:val="tx1"/>
                  </w14:solidFill>
                </w14:textFill>
              </w:rPr>
              <w:t>业绩</w:t>
            </w:r>
            <w:r>
              <w:rPr>
                <w:rFonts w:hint="eastAsia" w:ascii="宋体" w:hAnsi="宋体"/>
                <w:color w:val="000000" w:themeColor="text1"/>
                <w:sz w:val="24"/>
                <w:szCs w:val="24"/>
                <w:highlight w:val="none"/>
                <w14:textFill>
                  <w14:solidFill>
                    <w14:schemeClr w14:val="tx1"/>
                  </w14:solidFill>
                </w14:textFill>
              </w:rPr>
              <w:t>的，</w:t>
            </w:r>
            <w:r>
              <w:rPr>
                <w:rFonts w:ascii="宋体" w:hAnsi="宋体"/>
                <w:color w:val="000000" w:themeColor="text1"/>
                <w:sz w:val="24"/>
                <w:szCs w:val="24"/>
                <w:highlight w:val="none"/>
                <w14:textFill>
                  <w14:solidFill>
                    <w14:schemeClr w14:val="tx1"/>
                  </w14:solidFill>
                </w14:textFill>
              </w:rPr>
              <w:t xml:space="preserve">每有一个得 </w:t>
            </w: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分，最高得</w:t>
            </w:r>
            <w:r>
              <w:rPr>
                <w:rFonts w:hint="eastAsia" w:ascii="宋体" w:hAnsi="宋体"/>
                <w:color w:val="000000" w:themeColor="text1"/>
                <w:spacing w:val="-8"/>
                <w:sz w:val="24"/>
                <w:szCs w:val="24"/>
                <w:highlight w:val="none"/>
                <w14:textFill>
                  <w14:solidFill>
                    <w14:schemeClr w14:val="tx1"/>
                  </w14:solidFill>
                </w14:textFill>
              </w:rPr>
              <w:t>3</w:t>
            </w:r>
            <w:r>
              <w:rPr>
                <w:rFonts w:ascii="宋体" w:hAnsi="宋体"/>
                <w:color w:val="000000" w:themeColor="text1"/>
                <w:spacing w:val="-8"/>
                <w:sz w:val="24"/>
                <w:szCs w:val="24"/>
                <w:highlight w:val="none"/>
                <w14:textFill>
                  <w14:solidFill>
                    <w14:schemeClr w14:val="tx1"/>
                  </w14:solidFill>
                </w14:textFill>
              </w:rPr>
              <w:t>分。</w:t>
            </w:r>
          </w:p>
          <w:p>
            <w:pPr>
              <w:jc w:val="left"/>
              <w:rPr>
                <w:rFonts w:ascii="宋体" w:hAnsi="宋体" w:cs="宋体"/>
                <w:b/>
                <w:color w:val="000000" w:themeColor="text1"/>
                <w:sz w:val="24"/>
                <w:szCs w:val="24"/>
                <w:highlight w:val="none"/>
                <w14:textFill>
                  <w14:solidFill>
                    <w14:schemeClr w14:val="tx1"/>
                  </w14:solidFill>
                </w14:textFill>
              </w:rPr>
            </w:pPr>
            <w:r>
              <w:rPr>
                <w:rFonts w:ascii="宋体" w:hAnsi="宋体"/>
                <w:b/>
                <w:color w:val="000000" w:themeColor="text1"/>
                <w:spacing w:val="-1"/>
                <w:sz w:val="22"/>
                <w:highlight w:val="none"/>
                <w14:textFill>
                  <w14:solidFill>
                    <w14:schemeClr w14:val="tx1"/>
                  </w14:solidFill>
                </w14:textFill>
              </w:rPr>
              <w:t>备注</w:t>
            </w:r>
            <w:r>
              <w:rPr>
                <w:rFonts w:hint="eastAsia" w:ascii="宋体" w:hAnsi="宋体"/>
                <w:b/>
                <w:color w:val="000000" w:themeColor="text1"/>
                <w:spacing w:val="-1"/>
                <w:sz w:val="22"/>
                <w:highlight w:val="none"/>
                <w14:textFill>
                  <w14:solidFill>
                    <w14:schemeClr w14:val="tx1"/>
                  </w14:solidFill>
                </w14:textFill>
              </w:rPr>
              <w:t>：</w:t>
            </w:r>
            <w:r>
              <w:rPr>
                <w:rFonts w:hint="eastAsia" w:ascii="宋体" w:hAnsi="宋体"/>
                <w:b/>
                <w:color w:val="000000" w:themeColor="text1"/>
                <w:sz w:val="22"/>
                <w:highlight w:val="none"/>
                <w14:textFill>
                  <w14:solidFill>
                    <w14:schemeClr w14:val="tx1"/>
                  </w14:solidFill>
                </w14:textFill>
              </w:rPr>
              <w:t>提供合同扫描件、用户使用报告或验收报告，</w:t>
            </w:r>
            <w:r>
              <w:rPr>
                <w:rFonts w:ascii="宋体" w:hAnsi="宋体"/>
                <w:b/>
                <w:color w:val="000000" w:themeColor="text1"/>
                <w:spacing w:val="-1"/>
                <w:sz w:val="22"/>
                <w:highlight w:val="none"/>
                <w14:textFill>
                  <w14:solidFill>
                    <w14:schemeClr w14:val="tx1"/>
                  </w14:solidFill>
                </w14:textFill>
              </w:rPr>
              <w:t>并加盖投标人公章，缺一</w:t>
            </w:r>
            <w:r>
              <w:rPr>
                <w:rFonts w:hint="eastAsia" w:ascii="宋体" w:hAnsi="宋体"/>
                <w:b/>
                <w:color w:val="000000" w:themeColor="text1"/>
                <w:spacing w:val="-1"/>
                <w:sz w:val="22"/>
                <w:highlight w:val="none"/>
                <w14:textFill>
                  <w14:solidFill>
                    <w14:schemeClr w14:val="tx1"/>
                  </w14:solidFill>
                </w14:textFill>
              </w:rPr>
              <w:t>不可，</w:t>
            </w:r>
            <w:r>
              <w:rPr>
                <w:rFonts w:ascii="宋体" w:hAnsi="宋体"/>
                <w:b/>
                <w:color w:val="000000" w:themeColor="text1"/>
                <w:spacing w:val="-1"/>
                <w:sz w:val="22"/>
                <w:highlight w:val="none"/>
                <w14:textFill>
                  <w14:solidFill>
                    <w14:schemeClr w14:val="tx1"/>
                  </w14:solidFill>
                </w14:textFill>
              </w:rPr>
              <w:t>否则不得分。</w:t>
            </w:r>
          </w:p>
        </w:tc>
        <w:tc>
          <w:tcPr>
            <w:tcW w:w="739" w:type="dxa"/>
            <w:vAlign w:val="center"/>
          </w:tcPr>
          <w:p>
            <w:pPr>
              <w:pStyle w:val="1187"/>
              <w:spacing w:line="276"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3" w:hRule="atLeast"/>
          <w:jc w:val="center"/>
        </w:trPr>
        <w:tc>
          <w:tcPr>
            <w:tcW w:w="575" w:type="dxa"/>
            <w:vAlign w:val="center"/>
          </w:tcPr>
          <w:p>
            <w:pPr>
              <w:pStyle w:val="1187"/>
              <w:spacing w:line="276" w:lineRule="auto"/>
              <w:jc w:val="center"/>
              <w:rPr>
                <w:rFonts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1.3</w:t>
            </w:r>
          </w:p>
        </w:tc>
        <w:tc>
          <w:tcPr>
            <w:tcW w:w="1174" w:type="dxa"/>
            <w:vAlign w:val="center"/>
          </w:tcPr>
          <w:p>
            <w:pPr>
              <w:jc w:val="center"/>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运营团队评价</w:t>
            </w:r>
          </w:p>
        </w:tc>
        <w:tc>
          <w:tcPr>
            <w:tcW w:w="6244" w:type="dxa"/>
            <w:vAlign w:val="center"/>
          </w:tcPr>
          <w:p>
            <w:pPr>
              <w:rPr>
                <w:rFonts w:ascii="宋体" w:hAnsi="宋体"/>
                <w:color w:val="000000" w:themeColor="text1"/>
                <w:spacing w:val="-5"/>
                <w:sz w:val="24"/>
                <w:szCs w:val="24"/>
                <w:highlight w:val="none"/>
                <w14:textFill>
                  <w14:solidFill>
                    <w14:schemeClr w14:val="tx1"/>
                  </w14:solidFill>
                </w14:textFill>
              </w:rPr>
            </w:pPr>
            <w:r>
              <w:rPr>
                <w:rFonts w:hint="eastAsia" w:ascii="宋体" w:hAnsi="宋体"/>
                <w:color w:val="000000" w:themeColor="text1"/>
                <w:spacing w:val="1"/>
                <w:sz w:val="24"/>
                <w:szCs w:val="24"/>
                <w:highlight w:val="none"/>
                <w14:textFill>
                  <w14:solidFill>
                    <w14:schemeClr w14:val="tx1"/>
                  </w14:solidFill>
                </w14:textFill>
              </w:rPr>
              <w:t>（1）</w:t>
            </w:r>
            <w:r>
              <w:rPr>
                <w:rFonts w:ascii="宋体" w:hAnsi="宋体"/>
                <w:color w:val="000000" w:themeColor="text1"/>
                <w:spacing w:val="1"/>
                <w:sz w:val="24"/>
                <w:szCs w:val="24"/>
                <w:highlight w:val="none"/>
                <w14:textFill>
                  <w14:solidFill>
                    <w14:schemeClr w14:val="tx1"/>
                  </w14:solidFill>
                </w14:textFill>
              </w:rPr>
              <w:t>项目</w:t>
            </w:r>
            <w:r>
              <w:rPr>
                <w:rFonts w:hint="eastAsia" w:ascii="宋体" w:hAnsi="宋体"/>
                <w:color w:val="000000" w:themeColor="text1"/>
                <w:spacing w:val="1"/>
                <w:sz w:val="24"/>
                <w:szCs w:val="24"/>
                <w:highlight w:val="none"/>
                <w14:textFill>
                  <w14:solidFill>
                    <w14:schemeClr w14:val="tx1"/>
                  </w14:solidFill>
                </w14:textFill>
              </w:rPr>
              <w:t>经理须</w:t>
            </w:r>
            <w:r>
              <w:rPr>
                <w:rFonts w:ascii="宋体" w:hAnsi="宋体"/>
                <w:color w:val="000000" w:themeColor="text1"/>
                <w:spacing w:val="1"/>
                <w:sz w:val="24"/>
                <w:szCs w:val="24"/>
                <w:highlight w:val="none"/>
                <w14:textFill>
                  <w14:solidFill>
                    <w14:schemeClr w14:val="tx1"/>
                  </w14:solidFill>
                </w14:textFill>
              </w:rPr>
              <w:t>具有生活垃圾处理设施的运</w:t>
            </w:r>
            <w:r>
              <w:rPr>
                <w:rFonts w:ascii="宋体" w:hAnsi="宋体"/>
                <w:color w:val="000000" w:themeColor="text1"/>
                <w:sz w:val="24"/>
                <w:szCs w:val="24"/>
                <w:highlight w:val="none"/>
                <w14:textFill>
                  <w14:solidFill>
                    <w14:schemeClr w14:val="tx1"/>
                  </w14:solidFill>
                </w14:textFill>
              </w:rPr>
              <w:t>营管理或监管经验</w:t>
            </w:r>
            <w:r>
              <w:rPr>
                <w:rFonts w:hint="eastAsia" w:ascii="宋体" w:hAnsi="宋体"/>
                <w:color w:val="000000" w:themeColor="text1"/>
                <w:sz w:val="24"/>
                <w:szCs w:val="24"/>
                <w:highlight w:val="none"/>
                <w14:textFill>
                  <w14:solidFill>
                    <w14:schemeClr w14:val="tx1"/>
                  </w14:solidFill>
                </w14:textFill>
              </w:rPr>
              <w:t>（提供佐证材料）</w:t>
            </w:r>
            <w:r>
              <w:rPr>
                <w:rFonts w:ascii="宋体" w:hAnsi="宋体"/>
                <w:color w:val="000000" w:themeColor="text1"/>
                <w:spacing w:val="-5"/>
                <w:sz w:val="24"/>
                <w:szCs w:val="24"/>
                <w:highlight w:val="none"/>
                <w14:textFill>
                  <w14:solidFill>
                    <w14:schemeClr w14:val="tx1"/>
                  </w14:solidFill>
                </w14:textFill>
              </w:rPr>
              <w:t>，</w:t>
            </w:r>
            <w:r>
              <w:rPr>
                <w:rFonts w:hint="eastAsia" w:ascii="宋体" w:hAnsi="宋体"/>
                <w:color w:val="000000" w:themeColor="text1"/>
                <w:spacing w:val="-5"/>
                <w:sz w:val="24"/>
                <w:szCs w:val="24"/>
                <w:highlight w:val="none"/>
                <w14:textFill>
                  <w14:solidFill>
                    <w14:schemeClr w14:val="tx1"/>
                  </w14:solidFill>
                </w14:textFill>
              </w:rPr>
              <w:t>具备二级市政公用工程建造师执业资格的</w:t>
            </w:r>
            <w:r>
              <w:rPr>
                <w:rFonts w:ascii="宋体" w:hAnsi="宋体"/>
                <w:color w:val="000000" w:themeColor="text1"/>
                <w:spacing w:val="-5"/>
                <w:sz w:val="24"/>
                <w:szCs w:val="24"/>
                <w:highlight w:val="none"/>
                <w14:textFill>
                  <w14:solidFill>
                    <w14:schemeClr w14:val="tx1"/>
                  </w14:solidFill>
                </w14:textFill>
              </w:rPr>
              <w:t>得</w:t>
            </w:r>
            <w:r>
              <w:rPr>
                <w:rFonts w:hint="eastAsia" w:ascii="宋体" w:hAnsi="宋体"/>
                <w:color w:val="000000" w:themeColor="text1"/>
                <w:spacing w:val="-5"/>
                <w:sz w:val="24"/>
                <w:szCs w:val="24"/>
                <w:highlight w:val="none"/>
                <w14:textFill>
                  <w14:solidFill>
                    <w14:schemeClr w14:val="tx1"/>
                  </w14:solidFill>
                </w14:textFill>
              </w:rPr>
              <w:t>2</w:t>
            </w:r>
            <w:r>
              <w:rPr>
                <w:rFonts w:ascii="宋体" w:hAnsi="宋体"/>
                <w:color w:val="000000" w:themeColor="text1"/>
                <w:spacing w:val="-5"/>
                <w:sz w:val="24"/>
                <w:szCs w:val="24"/>
                <w:highlight w:val="none"/>
                <w14:textFill>
                  <w14:solidFill>
                    <w14:schemeClr w14:val="tx1"/>
                  </w14:solidFill>
                </w14:textFill>
              </w:rPr>
              <w:t>分</w:t>
            </w:r>
            <w:r>
              <w:rPr>
                <w:rFonts w:hint="eastAsia" w:ascii="宋体" w:hAnsi="宋体"/>
                <w:color w:val="000000" w:themeColor="text1"/>
                <w:spacing w:val="-5"/>
                <w:sz w:val="24"/>
                <w:szCs w:val="24"/>
                <w:highlight w:val="none"/>
                <w14:textFill>
                  <w14:solidFill>
                    <w14:schemeClr w14:val="tx1"/>
                  </w14:solidFill>
                </w14:textFill>
              </w:rPr>
              <w:t>，具备一级市政公用工程建造师执业资格的</w:t>
            </w:r>
            <w:r>
              <w:rPr>
                <w:rFonts w:ascii="宋体" w:hAnsi="宋体"/>
                <w:color w:val="000000" w:themeColor="text1"/>
                <w:spacing w:val="-5"/>
                <w:sz w:val="24"/>
                <w:szCs w:val="24"/>
                <w:highlight w:val="none"/>
                <w14:textFill>
                  <w14:solidFill>
                    <w14:schemeClr w14:val="tx1"/>
                  </w14:solidFill>
                </w14:textFill>
              </w:rPr>
              <w:t>得4分</w:t>
            </w:r>
            <w:r>
              <w:rPr>
                <w:rFonts w:hint="eastAsia" w:ascii="宋体" w:hAnsi="宋体"/>
                <w:color w:val="000000" w:themeColor="text1"/>
                <w:spacing w:val="-5"/>
                <w:sz w:val="24"/>
                <w:szCs w:val="24"/>
                <w:highlight w:val="none"/>
                <w14:textFill>
                  <w14:solidFill>
                    <w14:schemeClr w14:val="tx1"/>
                  </w14:solidFill>
                </w14:textFill>
              </w:rPr>
              <w:t>。</w:t>
            </w:r>
            <w:r>
              <w:rPr>
                <w:rFonts w:ascii="宋体" w:hAnsi="宋体"/>
                <w:color w:val="000000" w:themeColor="text1"/>
                <w:spacing w:val="-5"/>
                <w:sz w:val="24"/>
                <w:szCs w:val="24"/>
                <w:highlight w:val="none"/>
                <w14:textFill>
                  <w14:solidFill>
                    <w14:schemeClr w14:val="tx1"/>
                  </w14:solidFill>
                </w14:textFill>
              </w:rPr>
              <w:t>本项最多得</w:t>
            </w:r>
            <w:r>
              <w:rPr>
                <w:rFonts w:hint="eastAsia" w:ascii="宋体" w:hAnsi="宋体"/>
                <w:color w:val="000000" w:themeColor="text1"/>
                <w:spacing w:val="-5"/>
                <w:sz w:val="24"/>
                <w:szCs w:val="24"/>
                <w:highlight w:val="none"/>
                <w14:textFill>
                  <w14:solidFill>
                    <w14:schemeClr w14:val="tx1"/>
                  </w14:solidFill>
                </w14:textFill>
              </w:rPr>
              <w:t>4分。</w:t>
            </w:r>
          </w:p>
          <w:p>
            <w:pPr>
              <w:rPr>
                <w:rFonts w:ascii="宋体" w:hAnsi="宋体"/>
                <w:color w:val="000000" w:themeColor="text1"/>
                <w:spacing w:val="-5"/>
                <w:sz w:val="24"/>
                <w:szCs w:val="24"/>
                <w:highlight w:val="none"/>
                <w14:textFill>
                  <w14:solidFill>
                    <w14:schemeClr w14:val="tx1"/>
                  </w14:solidFill>
                </w14:textFill>
              </w:rPr>
            </w:pPr>
            <w:r>
              <w:rPr>
                <w:rFonts w:hint="eastAsia" w:ascii="宋体" w:hAnsi="宋体"/>
                <w:color w:val="000000" w:themeColor="text1"/>
                <w:spacing w:val="-5"/>
                <w:sz w:val="24"/>
                <w:szCs w:val="24"/>
                <w:highlight w:val="none"/>
                <w14:textFill>
                  <w14:solidFill>
                    <w14:schemeClr w14:val="tx1"/>
                  </w14:solidFill>
                </w14:textFill>
              </w:rPr>
              <w:t>（2）项目技术负责人</w:t>
            </w:r>
            <w:r>
              <w:rPr>
                <w:rFonts w:hint="eastAsia" w:ascii="宋体" w:hAnsi="宋体"/>
                <w:color w:val="000000" w:themeColor="text1"/>
                <w:spacing w:val="1"/>
                <w:sz w:val="24"/>
                <w:szCs w:val="24"/>
                <w:highlight w:val="none"/>
                <w14:textFill>
                  <w14:solidFill>
                    <w14:schemeClr w14:val="tx1"/>
                  </w14:solidFill>
                </w14:textFill>
              </w:rPr>
              <w:t>须</w:t>
            </w:r>
            <w:r>
              <w:rPr>
                <w:rFonts w:ascii="宋体" w:hAnsi="宋体"/>
                <w:color w:val="000000" w:themeColor="text1"/>
                <w:spacing w:val="-5"/>
                <w:sz w:val="24"/>
                <w:szCs w:val="24"/>
                <w:highlight w:val="none"/>
                <w14:textFill>
                  <w14:solidFill>
                    <w14:schemeClr w14:val="tx1"/>
                  </w14:solidFill>
                </w14:textFill>
              </w:rPr>
              <w:t>具有生活垃圾处理设施的运营管理或监管经验</w:t>
            </w:r>
            <w:r>
              <w:rPr>
                <w:rFonts w:hint="eastAsia" w:ascii="宋体" w:hAnsi="宋体"/>
                <w:color w:val="000000" w:themeColor="text1"/>
                <w:sz w:val="24"/>
                <w:szCs w:val="24"/>
                <w:highlight w:val="none"/>
                <w14:textFill>
                  <w14:solidFill>
                    <w14:schemeClr w14:val="tx1"/>
                  </w14:solidFill>
                </w14:textFill>
              </w:rPr>
              <w:t>（提供佐证材料）</w:t>
            </w:r>
            <w:r>
              <w:rPr>
                <w:rFonts w:ascii="宋体" w:hAnsi="宋体"/>
                <w:color w:val="000000" w:themeColor="text1"/>
                <w:spacing w:val="-5"/>
                <w:sz w:val="24"/>
                <w:szCs w:val="24"/>
                <w:highlight w:val="none"/>
                <w14:textFill>
                  <w14:solidFill>
                    <w14:schemeClr w14:val="tx1"/>
                  </w14:solidFill>
                </w14:textFill>
              </w:rPr>
              <w:t>，</w:t>
            </w:r>
            <w:r>
              <w:rPr>
                <w:rFonts w:hint="eastAsia" w:ascii="宋体" w:hAnsi="宋体"/>
                <w:color w:val="000000" w:themeColor="text1"/>
                <w:spacing w:val="-5"/>
                <w:sz w:val="24"/>
                <w:szCs w:val="24"/>
                <w:highlight w:val="none"/>
                <w14:textFill>
                  <w14:solidFill>
                    <w14:schemeClr w14:val="tx1"/>
                  </w14:solidFill>
                </w14:textFill>
              </w:rPr>
              <w:t>具有建设工程或环境工程相关专业中级职称证书的得2分,具有建设工程或环境工程相关专业高级及以上职称证书的得</w:t>
            </w:r>
            <w:r>
              <w:rPr>
                <w:rFonts w:ascii="宋体" w:hAnsi="宋体"/>
                <w:color w:val="000000" w:themeColor="text1"/>
                <w:spacing w:val="-5"/>
                <w:sz w:val="24"/>
                <w:szCs w:val="24"/>
                <w:highlight w:val="none"/>
                <w14:textFill>
                  <w14:solidFill>
                    <w14:schemeClr w14:val="tx1"/>
                  </w14:solidFill>
                </w14:textFill>
              </w:rPr>
              <w:t>3</w:t>
            </w:r>
            <w:r>
              <w:rPr>
                <w:rFonts w:hint="eastAsia" w:ascii="宋体" w:hAnsi="宋体"/>
                <w:color w:val="000000" w:themeColor="text1"/>
                <w:spacing w:val="-5"/>
                <w:sz w:val="24"/>
                <w:szCs w:val="24"/>
                <w:highlight w:val="none"/>
                <w14:textFill>
                  <w14:solidFill>
                    <w14:schemeClr w14:val="tx1"/>
                  </w14:solidFill>
                </w14:textFill>
              </w:rPr>
              <w:t>分。</w:t>
            </w:r>
            <w:r>
              <w:rPr>
                <w:rFonts w:ascii="宋体" w:hAnsi="宋体"/>
                <w:color w:val="000000" w:themeColor="text1"/>
                <w:spacing w:val="-5"/>
                <w:sz w:val="24"/>
                <w:szCs w:val="24"/>
                <w:highlight w:val="none"/>
                <w14:textFill>
                  <w14:solidFill>
                    <w14:schemeClr w14:val="tx1"/>
                  </w14:solidFill>
                </w14:textFill>
              </w:rPr>
              <w:t>本项最多得3</w:t>
            </w:r>
            <w:r>
              <w:rPr>
                <w:rFonts w:hint="eastAsia" w:ascii="宋体" w:hAnsi="宋体"/>
                <w:color w:val="000000" w:themeColor="text1"/>
                <w:spacing w:val="-5"/>
                <w:sz w:val="24"/>
                <w:szCs w:val="24"/>
                <w:highlight w:val="none"/>
                <w14:textFill>
                  <w14:solidFill>
                    <w14:schemeClr w14:val="tx1"/>
                  </w14:solidFill>
                </w14:textFill>
              </w:rPr>
              <w:t>分。</w:t>
            </w:r>
          </w:p>
          <w:p>
            <w:pPr>
              <w:rPr>
                <w:rFonts w:ascii="宋体" w:hAnsi="宋体"/>
                <w:color w:val="000000" w:themeColor="text1"/>
                <w:spacing w:val="-2"/>
                <w:sz w:val="24"/>
                <w:szCs w:val="24"/>
                <w:highlight w:val="none"/>
                <w14:textFill>
                  <w14:solidFill>
                    <w14:schemeClr w14:val="tx1"/>
                  </w14:solidFill>
                </w14:textFill>
              </w:rPr>
            </w:pPr>
            <w:r>
              <w:rPr>
                <w:rFonts w:hint="eastAsia" w:ascii="宋体" w:hAnsi="宋体"/>
                <w:color w:val="000000" w:themeColor="text1"/>
                <w:spacing w:val="-5"/>
                <w:sz w:val="24"/>
                <w:szCs w:val="24"/>
                <w:highlight w:val="none"/>
                <w14:textFill>
                  <w14:solidFill>
                    <w14:schemeClr w14:val="tx1"/>
                  </w14:solidFill>
                </w14:textFill>
              </w:rPr>
              <w:t>（3）吊车驾驶员具备建设工程机</w:t>
            </w:r>
            <w:r>
              <w:rPr>
                <w:rFonts w:hint="eastAsia" w:ascii="宋体" w:hAnsi="宋体"/>
                <w:color w:val="000000" w:themeColor="text1"/>
                <w:spacing w:val="-2"/>
                <w:sz w:val="24"/>
                <w:szCs w:val="24"/>
                <w:highlight w:val="none"/>
                <w14:textFill>
                  <w14:solidFill>
                    <w14:schemeClr w14:val="tx1"/>
                  </w14:solidFill>
                </w14:textFill>
              </w:rPr>
              <w:t>械岗位汽车式起重机操作证的得2分。</w:t>
            </w:r>
          </w:p>
          <w:p>
            <w:pPr>
              <w:rPr>
                <w:rFonts w:ascii="宋体" w:hAnsi="宋体"/>
                <w:b/>
                <w:color w:val="000000" w:themeColor="text1"/>
                <w:spacing w:val="1"/>
                <w:sz w:val="22"/>
                <w:highlight w:val="none"/>
                <w14:textFill>
                  <w14:solidFill>
                    <w14:schemeClr w14:val="tx1"/>
                  </w14:solidFill>
                </w14:textFill>
              </w:rPr>
            </w:pPr>
            <w:r>
              <w:rPr>
                <w:rFonts w:ascii="宋体" w:hAnsi="宋体"/>
                <w:b/>
                <w:color w:val="000000" w:themeColor="text1"/>
                <w:spacing w:val="1"/>
                <w:sz w:val="22"/>
                <w:highlight w:val="none"/>
                <w14:textFill>
                  <w14:solidFill>
                    <w14:schemeClr w14:val="tx1"/>
                  </w14:solidFill>
                </w14:textFill>
              </w:rPr>
              <w:t>注</w:t>
            </w:r>
            <w:r>
              <w:rPr>
                <w:rFonts w:hint="eastAsia" w:ascii="宋体" w:hAnsi="宋体"/>
                <w:b/>
                <w:color w:val="000000" w:themeColor="text1"/>
                <w:spacing w:val="1"/>
                <w:sz w:val="22"/>
                <w:highlight w:val="none"/>
                <w14:textFill>
                  <w14:solidFill>
                    <w14:schemeClr w14:val="tx1"/>
                  </w14:solidFill>
                </w14:textFill>
              </w:rPr>
              <w:t>：1、</w:t>
            </w:r>
            <w:r>
              <w:rPr>
                <w:rFonts w:ascii="宋体" w:hAnsi="宋体"/>
                <w:b/>
                <w:color w:val="000000" w:themeColor="text1"/>
                <w:spacing w:val="1"/>
                <w:sz w:val="22"/>
                <w:highlight w:val="none"/>
                <w14:textFill>
                  <w14:solidFill>
                    <w14:schemeClr w14:val="tx1"/>
                  </w14:solidFill>
                </w14:textFill>
              </w:rPr>
              <w:t>上述</w:t>
            </w:r>
            <w:r>
              <w:rPr>
                <w:rFonts w:hint="eastAsia" w:ascii="宋体" w:hAnsi="宋体"/>
                <w:b/>
                <w:color w:val="000000" w:themeColor="text1"/>
                <w:spacing w:val="1"/>
                <w:sz w:val="22"/>
                <w:highlight w:val="none"/>
                <w14:textFill>
                  <w14:solidFill>
                    <w14:schemeClr w14:val="tx1"/>
                  </w14:solidFill>
                </w14:textFill>
              </w:rPr>
              <w:t>1</w:t>
            </w:r>
            <w:r>
              <w:rPr>
                <w:rFonts w:ascii="宋体" w:hAnsi="宋体"/>
                <w:b/>
                <w:color w:val="000000" w:themeColor="text1"/>
                <w:spacing w:val="1"/>
                <w:sz w:val="22"/>
                <w:highlight w:val="none"/>
                <w14:textFill>
                  <w14:solidFill>
                    <w14:schemeClr w14:val="tx1"/>
                  </w14:solidFill>
                </w14:textFill>
              </w:rPr>
              <w:t>-</w:t>
            </w:r>
            <w:r>
              <w:rPr>
                <w:rFonts w:hint="eastAsia" w:ascii="宋体" w:hAnsi="宋体"/>
                <w:b/>
                <w:color w:val="000000" w:themeColor="text1"/>
                <w:spacing w:val="1"/>
                <w:sz w:val="22"/>
                <w:highlight w:val="none"/>
                <w14:textFill>
                  <w14:solidFill>
                    <w14:schemeClr w14:val="tx1"/>
                  </w14:solidFill>
                </w14:textFill>
              </w:rPr>
              <w:t>3</w:t>
            </w:r>
            <w:r>
              <w:rPr>
                <w:rFonts w:ascii="宋体" w:hAnsi="宋体"/>
                <w:b/>
                <w:color w:val="000000" w:themeColor="text1"/>
                <w:spacing w:val="1"/>
                <w:sz w:val="22"/>
                <w:highlight w:val="none"/>
                <w14:textFill>
                  <w14:solidFill>
                    <w14:schemeClr w14:val="tx1"/>
                  </w14:solidFill>
                </w14:textFill>
              </w:rPr>
              <w:t>项</w:t>
            </w:r>
            <w:r>
              <w:rPr>
                <w:rFonts w:hint="eastAsia" w:ascii="宋体" w:hAnsi="宋体"/>
                <w:b/>
                <w:color w:val="000000" w:themeColor="text1"/>
                <w:spacing w:val="1"/>
                <w:sz w:val="22"/>
                <w:highlight w:val="none"/>
                <w14:textFill>
                  <w14:solidFill>
                    <w14:schemeClr w14:val="tx1"/>
                  </w14:solidFill>
                </w14:textFill>
              </w:rPr>
              <w:t>须在</w:t>
            </w:r>
            <w:r>
              <w:rPr>
                <w:rFonts w:ascii="宋体" w:hAnsi="宋体"/>
                <w:b/>
                <w:color w:val="000000" w:themeColor="text1"/>
                <w:spacing w:val="1"/>
                <w:sz w:val="22"/>
                <w:highlight w:val="none"/>
                <w14:textFill>
                  <w14:solidFill>
                    <w14:schemeClr w14:val="tx1"/>
                  </w14:solidFill>
                </w14:textFill>
              </w:rPr>
              <w:t>投标文件中提供证书扫描件及近半年以来</w:t>
            </w:r>
            <w:r>
              <w:rPr>
                <w:rFonts w:hint="eastAsia" w:ascii="宋体" w:hAnsi="宋体"/>
                <w:b/>
                <w:color w:val="000000" w:themeColor="text1"/>
                <w:spacing w:val="1"/>
                <w:sz w:val="22"/>
                <w:highlight w:val="none"/>
                <w14:textFill>
                  <w14:solidFill>
                    <w14:schemeClr w14:val="tx1"/>
                  </w14:solidFill>
                </w14:textFill>
              </w:rPr>
              <w:t>（</w:t>
            </w:r>
            <w:r>
              <w:rPr>
                <w:rFonts w:ascii="宋体" w:hAnsi="宋体"/>
                <w:b/>
                <w:color w:val="000000" w:themeColor="text1"/>
                <w:spacing w:val="1"/>
                <w:sz w:val="22"/>
                <w:highlight w:val="none"/>
                <w14:textFill>
                  <w14:solidFill>
                    <w14:schemeClr w14:val="tx1"/>
                  </w14:solidFill>
                </w14:textFill>
              </w:rPr>
              <w:t>至少一个月</w:t>
            </w:r>
            <w:r>
              <w:rPr>
                <w:rFonts w:hint="eastAsia" w:ascii="宋体" w:hAnsi="宋体"/>
                <w:b/>
                <w:color w:val="000000" w:themeColor="text1"/>
                <w:spacing w:val="1"/>
                <w:sz w:val="22"/>
                <w:highlight w:val="none"/>
                <w14:textFill>
                  <w14:solidFill>
                    <w14:schemeClr w14:val="tx1"/>
                  </w14:solidFill>
                </w14:textFill>
              </w:rPr>
              <w:t>）</w:t>
            </w:r>
            <w:r>
              <w:rPr>
                <w:rFonts w:ascii="宋体" w:hAnsi="宋体"/>
                <w:b/>
                <w:color w:val="000000" w:themeColor="text1"/>
                <w:spacing w:val="1"/>
                <w:sz w:val="22"/>
                <w:highlight w:val="none"/>
                <w14:textFill>
                  <w14:solidFill>
                    <w14:schemeClr w14:val="tx1"/>
                  </w14:solidFill>
                </w14:textFill>
              </w:rPr>
              <w:t>投标人为其缴纳的社保证明材料</w:t>
            </w:r>
            <w:r>
              <w:rPr>
                <w:rFonts w:hint="eastAsia" w:ascii="宋体" w:hAnsi="宋体"/>
                <w:b/>
                <w:color w:val="000000" w:themeColor="text1"/>
                <w:spacing w:val="1"/>
                <w:sz w:val="22"/>
                <w:highlight w:val="none"/>
                <w14:textFill>
                  <w14:solidFill>
                    <w14:schemeClr w14:val="tx1"/>
                  </w14:solidFill>
                </w14:textFill>
              </w:rPr>
              <w:t>。</w:t>
            </w:r>
            <w:r>
              <w:rPr>
                <w:rFonts w:ascii="宋体" w:hAnsi="宋体"/>
                <w:b/>
                <w:color w:val="000000" w:themeColor="text1"/>
                <w:spacing w:val="1"/>
                <w:sz w:val="22"/>
                <w:highlight w:val="none"/>
                <w14:textFill>
                  <w14:solidFill>
                    <w14:schemeClr w14:val="tx1"/>
                  </w14:solidFill>
                </w14:textFill>
              </w:rPr>
              <w:t>同一人具有多个证书的按一个计分，不重复得分。</w:t>
            </w:r>
          </w:p>
          <w:p>
            <w:pPr>
              <w:rPr>
                <w:rFonts w:ascii="宋体" w:hAnsi="宋体"/>
                <w:b/>
                <w:color w:val="000000" w:themeColor="text1"/>
                <w:spacing w:val="1"/>
                <w:sz w:val="22"/>
                <w:highlight w:val="none"/>
                <w14:textFill>
                  <w14:solidFill>
                    <w14:schemeClr w14:val="tx1"/>
                  </w14:solidFill>
                </w14:textFill>
              </w:rPr>
            </w:pPr>
            <w:r>
              <w:rPr>
                <w:rFonts w:ascii="宋体" w:hAnsi="宋体"/>
                <w:b/>
                <w:color w:val="000000" w:themeColor="text1"/>
                <w:spacing w:val="1"/>
                <w:sz w:val="22"/>
                <w:highlight w:val="none"/>
                <w14:textFill>
                  <w14:solidFill>
                    <w14:schemeClr w14:val="tx1"/>
                  </w14:solidFill>
                </w14:textFill>
              </w:rPr>
              <w:t>2</w:t>
            </w:r>
            <w:r>
              <w:rPr>
                <w:rFonts w:hint="eastAsia" w:ascii="宋体" w:hAnsi="宋体"/>
                <w:b/>
                <w:color w:val="000000" w:themeColor="text1"/>
                <w:spacing w:val="1"/>
                <w:sz w:val="22"/>
                <w:highlight w:val="none"/>
                <w14:textFill>
                  <w14:solidFill>
                    <w14:schemeClr w14:val="tx1"/>
                  </w14:solidFill>
                </w14:textFill>
              </w:rPr>
              <w:t>、项目经理和技术负责人不可为同一人。</w:t>
            </w:r>
          </w:p>
          <w:p>
            <w:pPr>
              <w:pStyle w:val="2"/>
              <w:rPr>
                <w:rFonts w:ascii="宋体" w:hAnsi="宋体" w:eastAsia="宋体"/>
                <w:b/>
                <w:color w:val="000000" w:themeColor="text1"/>
                <w:spacing w:val="1"/>
                <w:sz w:val="22"/>
                <w:szCs w:val="22"/>
                <w:highlight w:val="none"/>
                <w14:textFill>
                  <w14:solidFill>
                    <w14:schemeClr w14:val="tx1"/>
                  </w14:solidFill>
                </w14:textFill>
              </w:rPr>
            </w:pPr>
            <w:r>
              <w:rPr>
                <w:rFonts w:hint="eastAsia" w:ascii="宋体" w:hAnsi="宋体" w:eastAsia="宋体"/>
                <w:b/>
                <w:color w:val="000000" w:themeColor="text1"/>
                <w:spacing w:val="1"/>
                <w:sz w:val="22"/>
                <w:szCs w:val="22"/>
                <w:highlight w:val="none"/>
                <w14:textFill>
                  <w14:solidFill>
                    <w14:schemeClr w14:val="tx1"/>
                  </w14:solidFill>
                </w14:textFill>
              </w:rPr>
              <w:t>3、项目经理、项目技术负责人须提供工作经验的佐证材料，未提供佐证材料的对应的得分项不得分。</w:t>
            </w:r>
          </w:p>
          <w:p>
            <w:pPr>
              <w:pStyle w:val="2"/>
              <w:rPr>
                <w:rFonts w:hint="eastAsia"/>
                <w:highlight w:val="none"/>
              </w:rPr>
            </w:pPr>
            <w:r>
              <w:rPr>
                <w:rFonts w:hint="eastAsia" w:ascii="宋体" w:hAnsi="宋体" w:eastAsia="宋体"/>
                <w:b/>
                <w:color w:val="000000" w:themeColor="text1"/>
                <w:spacing w:val="1"/>
                <w:sz w:val="22"/>
                <w:szCs w:val="22"/>
                <w:highlight w:val="none"/>
                <w14:textFill>
                  <w14:solidFill>
                    <w14:schemeClr w14:val="tx1"/>
                  </w14:solidFill>
                </w14:textFill>
              </w:rPr>
              <w:t>4、</w:t>
            </w:r>
            <w:r>
              <w:rPr>
                <w:rFonts w:ascii="宋体" w:hAnsi="宋体" w:eastAsia="宋体"/>
                <w:b/>
                <w:color w:val="000000" w:themeColor="text1"/>
                <w:spacing w:val="1"/>
                <w:sz w:val="22"/>
                <w:szCs w:val="22"/>
                <w:highlight w:val="none"/>
                <w14:textFill>
                  <w14:solidFill>
                    <w14:schemeClr w14:val="tx1"/>
                  </w14:solidFill>
                </w14:textFill>
              </w:rPr>
              <w:t>上述</w:t>
            </w:r>
            <w:r>
              <w:rPr>
                <w:rFonts w:hint="eastAsia" w:ascii="宋体" w:hAnsi="宋体" w:eastAsia="宋体"/>
                <w:b/>
                <w:color w:val="000000" w:themeColor="text1"/>
                <w:spacing w:val="1"/>
                <w:sz w:val="22"/>
                <w:szCs w:val="22"/>
                <w:highlight w:val="none"/>
                <w14:textFill>
                  <w14:solidFill>
                    <w14:schemeClr w14:val="tx1"/>
                  </w14:solidFill>
                </w14:textFill>
              </w:rPr>
              <w:t>1</w:t>
            </w:r>
            <w:r>
              <w:rPr>
                <w:rFonts w:ascii="宋体" w:hAnsi="宋体" w:eastAsia="宋体"/>
                <w:b/>
                <w:color w:val="000000" w:themeColor="text1"/>
                <w:spacing w:val="1"/>
                <w:sz w:val="22"/>
                <w:szCs w:val="22"/>
                <w:highlight w:val="none"/>
                <w14:textFill>
                  <w14:solidFill>
                    <w14:schemeClr w14:val="tx1"/>
                  </w14:solidFill>
                </w14:textFill>
              </w:rPr>
              <w:t>-</w:t>
            </w:r>
            <w:r>
              <w:rPr>
                <w:rFonts w:hint="eastAsia" w:ascii="宋体" w:hAnsi="宋体" w:eastAsia="宋体"/>
                <w:b/>
                <w:color w:val="000000" w:themeColor="text1"/>
                <w:spacing w:val="1"/>
                <w:sz w:val="22"/>
                <w:szCs w:val="22"/>
                <w:highlight w:val="none"/>
                <w14:textFill>
                  <w14:solidFill>
                    <w14:schemeClr w14:val="tx1"/>
                  </w14:solidFill>
                </w14:textFill>
              </w:rPr>
              <w:t>3</w:t>
            </w:r>
            <w:r>
              <w:rPr>
                <w:rFonts w:ascii="宋体" w:hAnsi="宋体" w:eastAsia="宋体"/>
                <w:b/>
                <w:color w:val="000000" w:themeColor="text1"/>
                <w:spacing w:val="1"/>
                <w:sz w:val="22"/>
                <w:szCs w:val="22"/>
                <w:highlight w:val="none"/>
                <w14:textFill>
                  <w14:solidFill>
                    <w14:schemeClr w14:val="tx1"/>
                  </w14:solidFill>
                </w14:textFill>
              </w:rPr>
              <w:t>项</w:t>
            </w:r>
            <w:r>
              <w:rPr>
                <w:rFonts w:hint="eastAsia" w:ascii="宋体" w:hAnsi="宋体" w:eastAsia="宋体"/>
                <w:b/>
                <w:color w:val="000000" w:themeColor="text1"/>
                <w:spacing w:val="1"/>
                <w:sz w:val="22"/>
                <w:szCs w:val="22"/>
                <w:highlight w:val="none"/>
                <w14:textFill>
                  <w14:solidFill>
                    <w14:schemeClr w14:val="tx1"/>
                  </w14:solidFill>
                </w14:textFill>
              </w:rPr>
              <w:t>所有材料需加盖投标人公章，未提供或未按要求提供的不得分。</w:t>
            </w:r>
          </w:p>
        </w:tc>
        <w:tc>
          <w:tcPr>
            <w:tcW w:w="739" w:type="dxa"/>
            <w:vAlign w:val="center"/>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9</w:t>
            </w:r>
            <w:r>
              <w:rPr>
                <w:rFonts w:hint="eastAsia" w:ascii="宋体" w:hAnsi="宋体"/>
                <w:color w:val="000000" w:themeColor="text1"/>
                <w:sz w:val="24"/>
                <w:szCs w:val="24"/>
                <w:highlight w:val="none"/>
                <w14:textFill>
                  <w14:solidFill>
                    <w14:schemeClr w14:val="tx1"/>
                  </w14:solidFill>
                </w14:textFill>
              </w:rPr>
              <w:t>.0</w:t>
            </w:r>
          </w:p>
        </w:tc>
      </w:tr>
    </w:tbl>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bookmarkEnd w:id="142"/>
    </w:p>
    <w:p>
      <w:pPr>
        <w:widowControl/>
        <w:numPr>
          <w:ilvl w:val="0"/>
          <w:numId w:val="12"/>
        </w:numP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技术评估</w:t>
      </w:r>
    </w:p>
    <w:tbl>
      <w:tblPr>
        <w:tblStyle w:val="39"/>
        <w:tblW w:w="512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376"/>
        <w:gridCol w:w="866"/>
        <w:gridCol w:w="6784"/>
        <w:gridCol w:w="5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6" w:hRule="atLeast"/>
          <w:jc w:val="center"/>
        </w:trPr>
        <w:tc>
          <w:tcPr>
            <w:tcW w:w="376" w:type="dxa"/>
            <w:vAlign w:val="center"/>
          </w:tcPr>
          <w:p>
            <w:pPr>
              <w:pStyle w:val="1187"/>
              <w:spacing w:line="276" w:lineRule="auto"/>
              <w:jc w:val="center"/>
              <w:rPr>
                <w:rFonts w:ascii="宋体" w:hAnsi="宋体" w:cs="宋体"/>
                <w:color w:val="000000" w:themeColor="text1"/>
                <w:sz w:val="24"/>
                <w:szCs w:val="24"/>
                <w:highlight w:val="none"/>
                <w14:textFill>
                  <w14:solidFill>
                    <w14:schemeClr w14:val="tx1"/>
                  </w14:solidFill>
                </w14:textFill>
              </w:rPr>
            </w:pPr>
            <w:bookmarkStart w:id="143" w:name="EB8bc87097367b4d119bf6570f05cbf4c9"/>
            <w:r>
              <w:rPr>
                <w:rFonts w:hint="eastAsia" w:ascii="宋体" w:hAnsi="宋体" w:cs="宋体"/>
                <w:color w:val="000000" w:themeColor="text1"/>
                <w:sz w:val="24"/>
                <w:szCs w:val="24"/>
                <w:highlight w:val="none"/>
                <w14:textFill>
                  <w14:solidFill>
                    <w14:schemeClr w14:val="tx1"/>
                  </w14:solidFill>
                </w14:textFill>
              </w:rPr>
              <w:t>序号</w:t>
            </w:r>
          </w:p>
        </w:tc>
        <w:tc>
          <w:tcPr>
            <w:tcW w:w="865" w:type="dxa"/>
            <w:vAlign w:val="center"/>
          </w:tcPr>
          <w:p>
            <w:pPr>
              <w:pStyle w:val="1187"/>
              <w:spacing w:line="276"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评审因素</w:t>
            </w:r>
          </w:p>
        </w:tc>
        <w:tc>
          <w:tcPr>
            <w:tcW w:w="6780" w:type="dxa"/>
            <w:vAlign w:val="center"/>
          </w:tcPr>
          <w:p>
            <w:pPr>
              <w:pStyle w:val="1187"/>
              <w:spacing w:line="276"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评审细则</w:t>
            </w:r>
          </w:p>
        </w:tc>
        <w:tc>
          <w:tcPr>
            <w:tcW w:w="500" w:type="dxa"/>
            <w:vAlign w:val="center"/>
          </w:tcPr>
          <w:p>
            <w:pPr>
              <w:pStyle w:val="1187"/>
              <w:spacing w:line="276"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分值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8021" w:type="dxa"/>
            <w:gridSpan w:val="3"/>
            <w:vAlign w:val="center"/>
          </w:tcPr>
          <w:p>
            <w:pPr>
              <w:pStyle w:val="1187"/>
              <w:spacing w:line="276"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运营方案评价</w:t>
            </w:r>
          </w:p>
        </w:tc>
        <w:tc>
          <w:tcPr>
            <w:tcW w:w="500" w:type="dxa"/>
            <w:vAlign w:val="center"/>
          </w:tcPr>
          <w:p>
            <w:pPr>
              <w:pStyle w:val="1187"/>
              <w:spacing w:line="276"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65</w:t>
            </w:r>
            <w:r>
              <w:rPr>
                <w:rFonts w:hint="eastAsia" w:ascii="宋体" w:hAnsi="宋体" w:cs="宋体"/>
                <w:color w:val="000000" w:themeColor="text1"/>
                <w:sz w:val="24"/>
                <w:szCs w:val="24"/>
                <w:highlight w:val="none"/>
                <w14:textFill>
                  <w14:solidFill>
                    <w14:schemeClr w14:val="tx1"/>
                  </w14:solidFill>
                </w14:textFill>
              </w:rPr>
              <w:t>.0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1" w:hRule="atLeast"/>
          <w:jc w:val="center"/>
        </w:trPr>
        <w:tc>
          <w:tcPr>
            <w:tcW w:w="376" w:type="dxa"/>
            <w:vAlign w:val="center"/>
          </w:tcPr>
          <w:p>
            <w:pPr>
              <w:pStyle w:val="1187"/>
              <w:spacing w:line="276"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.1</w:t>
            </w:r>
          </w:p>
        </w:tc>
        <w:tc>
          <w:tcPr>
            <w:tcW w:w="865" w:type="dxa"/>
            <w:vAlign w:val="center"/>
          </w:tcPr>
          <w:p>
            <w:pPr>
              <w:autoSpaceDE w:val="0"/>
              <w:autoSpaceDN w:val="0"/>
              <w:adjustRightInd w:val="0"/>
              <w:spacing w:line="360" w:lineRule="exact"/>
              <w:jc w:val="center"/>
              <w:textAlignment w:val="baseline"/>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项目</w:t>
            </w:r>
          </w:p>
          <w:p>
            <w:pPr>
              <w:autoSpaceDE w:val="0"/>
              <w:autoSpaceDN w:val="0"/>
              <w:adjustRightInd w:val="0"/>
              <w:spacing w:line="360" w:lineRule="exact"/>
              <w:jc w:val="center"/>
              <w:textAlignment w:val="baseline"/>
              <w:rPr>
                <w:rFonts w:ascii="宋体" w:hAnsi="宋体"/>
                <w:bCs/>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理解</w:t>
            </w:r>
          </w:p>
        </w:tc>
        <w:tc>
          <w:tcPr>
            <w:tcW w:w="6780" w:type="dxa"/>
            <w:vAlign w:val="center"/>
          </w:tcPr>
          <w:p>
            <w:pPr>
              <w:spacing w:line="320" w:lineRule="exact"/>
              <w:rPr>
                <w:rFonts w:ascii="宋体" w:hAnsi="宋体" w:cs="华文楷体"/>
                <w:color w:val="000000" w:themeColor="text1"/>
                <w:sz w:val="24"/>
                <w:szCs w:val="24"/>
                <w:highlight w:val="none"/>
                <w:lang w:val="zh-CN"/>
                <w14:textFill>
                  <w14:solidFill>
                    <w14:schemeClr w14:val="tx1"/>
                  </w14:solidFill>
                </w14:textFill>
              </w:rPr>
            </w:pPr>
            <w:r>
              <w:rPr>
                <w:rFonts w:hint="eastAsia" w:ascii="宋体" w:hAnsi="宋体" w:cs="华文楷体"/>
                <w:color w:val="000000"/>
                <w:sz w:val="24"/>
                <w:szCs w:val="24"/>
                <w:highlight w:val="none"/>
                <w:lang w:val="zh-CN"/>
              </w:rPr>
              <w:t>投标人应根据本项目现场实际现状，提供对本项目的理解，包括但不限于项目概况、项目需求、项目重点及难点问题分析、合理化建议等。项目理解描述准确、完整、符合采购人实际情况的得</w:t>
            </w:r>
            <w:r>
              <w:rPr>
                <w:rFonts w:hint="eastAsia" w:ascii="宋体" w:hAnsi="宋体" w:cs="华文楷体"/>
                <w:color w:val="000000"/>
                <w:sz w:val="24"/>
                <w:szCs w:val="24"/>
                <w:highlight w:val="none"/>
              </w:rPr>
              <w:t>5</w:t>
            </w:r>
            <w:r>
              <w:rPr>
                <w:rFonts w:hint="eastAsia" w:ascii="宋体" w:hAnsi="宋体" w:cs="华文楷体"/>
                <w:color w:val="000000"/>
                <w:sz w:val="24"/>
                <w:szCs w:val="24"/>
                <w:highlight w:val="none"/>
                <w:lang w:val="zh-CN"/>
              </w:rPr>
              <w:t>分；项目理解描述基本准确、完整，方案考虑周到覆盖面一般得</w:t>
            </w:r>
            <w:r>
              <w:rPr>
                <w:rFonts w:hint="eastAsia" w:ascii="宋体" w:hAnsi="宋体" w:cs="华文楷体"/>
                <w:color w:val="000000"/>
                <w:sz w:val="24"/>
                <w:szCs w:val="24"/>
                <w:highlight w:val="none"/>
              </w:rPr>
              <w:t>3</w:t>
            </w:r>
            <w:r>
              <w:rPr>
                <w:rFonts w:hint="eastAsia" w:ascii="宋体" w:hAnsi="宋体" w:cs="华文楷体"/>
                <w:color w:val="000000"/>
                <w:sz w:val="24"/>
                <w:szCs w:val="24"/>
                <w:highlight w:val="none"/>
                <w:lang w:val="zh-CN"/>
              </w:rPr>
              <w:t>分；项目理解描述简单，覆盖面一般得</w:t>
            </w:r>
            <w:r>
              <w:rPr>
                <w:rFonts w:hint="eastAsia" w:ascii="宋体" w:hAnsi="宋体" w:cs="华文楷体"/>
                <w:color w:val="000000"/>
                <w:sz w:val="24"/>
                <w:szCs w:val="24"/>
                <w:highlight w:val="none"/>
              </w:rPr>
              <w:t>1</w:t>
            </w:r>
            <w:r>
              <w:rPr>
                <w:rFonts w:hint="eastAsia" w:ascii="宋体" w:hAnsi="宋体" w:cs="华文楷体"/>
                <w:color w:val="000000"/>
                <w:sz w:val="24"/>
                <w:szCs w:val="24"/>
                <w:highlight w:val="none"/>
                <w:lang w:val="zh-CN"/>
              </w:rPr>
              <w:t>分；未提供不得分。</w:t>
            </w:r>
          </w:p>
        </w:tc>
        <w:tc>
          <w:tcPr>
            <w:tcW w:w="500" w:type="dxa"/>
            <w:vAlign w:val="center"/>
          </w:tcPr>
          <w:p>
            <w:pPr>
              <w:autoSpaceDE w:val="0"/>
              <w:autoSpaceDN w:val="0"/>
              <w:adjustRightInd w:val="0"/>
              <w:spacing w:line="360" w:lineRule="exact"/>
              <w:jc w:val="center"/>
              <w:textAlignment w:val="baseline"/>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33" w:hRule="atLeast"/>
          <w:jc w:val="center"/>
        </w:trPr>
        <w:tc>
          <w:tcPr>
            <w:tcW w:w="376" w:type="dxa"/>
            <w:vAlign w:val="center"/>
          </w:tcPr>
          <w:p>
            <w:pPr>
              <w:pStyle w:val="1187"/>
              <w:spacing w:line="276"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.2</w:t>
            </w:r>
          </w:p>
        </w:tc>
        <w:tc>
          <w:tcPr>
            <w:tcW w:w="865" w:type="dxa"/>
            <w:vAlign w:val="center"/>
          </w:tcPr>
          <w:p>
            <w:pPr>
              <w:autoSpaceDE w:val="0"/>
              <w:autoSpaceDN w:val="0"/>
              <w:adjustRightInd w:val="0"/>
              <w:spacing w:line="360" w:lineRule="exact"/>
              <w:jc w:val="center"/>
              <w:textAlignment w:val="baseline"/>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pacing w:val="-2"/>
                <w:sz w:val="24"/>
                <w:szCs w:val="24"/>
                <w:highlight w:val="none"/>
                <w14:textFill>
                  <w14:solidFill>
                    <w14:schemeClr w14:val="tx1"/>
                  </w14:solidFill>
                </w14:textFill>
              </w:rPr>
              <w:t>飞灰吊装服务方</w:t>
            </w:r>
            <w:r>
              <w:rPr>
                <w:rFonts w:ascii="宋体" w:hAnsi="宋体"/>
                <w:color w:val="000000" w:themeColor="text1"/>
                <w:spacing w:val="-4"/>
                <w:sz w:val="24"/>
                <w:szCs w:val="24"/>
                <w:highlight w:val="none"/>
                <w14:textFill>
                  <w14:solidFill>
                    <w14:schemeClr w14:val="tx1"/>
                  </w14:solidFill>
                </w14:textFill>
              </w:rPr>
              <w:t>案</w:t>
            </w:r>
          </w:p>
        </w:tc>
        <w:tc>
          <w:tcPr>
            <w:tcW w:w="6780" w:type="dxa"/>
            <w:vAlign w:val="center"/>
          </w:tcPr>
          <w:p>
            <w:pPr>
              <w:rPr>
                <w:rFonts w:ascii="宋体" w:hAnsi="宋体" w:cs="华文楷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评标委员会根据投标人提供的飞灰吊装</w:t>
            </w:r>
            <w:r>
              <w:rPr>
                <w:rFonts w:hint="eastAsia" w:ascii="宋体" w:hAnsi="宋体"/>
                <w:color w:val="000000" w:themeColor="text1"/>
                <w:sz w:val="24"/>
                <w:szCs w:val="24"/>
                <w:highlight w:val="none"/>
                <w14:textFill>
                  <w14:solidFill>
                    <w14:schemeClr w14:val="tx1"/>
                  </w14:solidFill>
                </w14:textFill>
              </w:rPr>
              <w:t>服务</w:t>
            </w:r>
            <w:r>
              <w:rPr>
                <w:rFonts w:ascii="宋体" w:hAnsi="宋体"/>
                <w:color w:val="000000" w:themeColor="text1"/>
                <w:sz w:val="24"/>
                <w:szCs w:val="24"/>
                <w:highlight w:val="none"/>
                <w14:textFill>
                  <w14:solidFill>
                    <w14:schemeClr w14:val="tx1"/>
                  </w14:solidFill>
                </w14:textFill>
              </w:rPr>
              <w:t>方案进行评审</w:t>
            </w:r>
            <w:r>
              <w:rPr>
                <w:rFonts w:hint="eastAsia" w:ascii="宋体" w:hAnsi="宋体"/>
                <w:color w:val="000000" w:themeColor="text1"/>
                <w:sz w:val="24"/>
                <w:szCs w:val="24"/>
                <w:highlight w:val="none"/>
                <w14:textFill>
                  <w14:solidFill>
                    <w14:schemeClr w14:val="tx1"/>
                  </w14:solidFill>
                </w14:textFill>
              </w:rPr>
              <w:t>。方案</w:t>
            </w:r>
            <w:r>
              <w:rPr>
                <w:rFonts w:ascii="宋体" w:hAnsi="宋体"/>
                <w:color w:val="000000" w:themeColor="text1"/>
                <w:sz w:val="24"/>
                <w:szCs w:val="24"/>
                <w:highlight w:val="none"/>
                <w14:textFill>
                  <w14:solidFill>
                    <w14:schemeClr w14:val="tx1"/>
                  </w14:solidFill>
                </w14:textFill>
              </w:rPr>
              <w:t>应切合</w:t>
            </w:r>
            <w:r>
              <w:rPr>
                <w:rFonts w:hint="eastAsia" w:ascii="宋体" w:hAnsi="宋体"/>
                <w:color w:val="000000" w:themeColor="text1"/>
                <w:sz w:val="24"/>
                <w:szCs w:val="24"/>
                <w:highlight w:val="none"/>
                <w14:textFill>
                  <w14:solidFill>
                    <w14:schemeClr w14:val="tx1"/>
                  </w14:solidFill>
                </w14:textFill>
              </w:rPr>
              <w:t>焚烧灰渣处置场</w:t>
            </w:r>
            <w:r>
              <w:rPr>
                <w:rFonts w:ascii="宋体" w:hAnsi="宋体"/>
                <w:color w:val="000000" w:themeColor="text1"/>
                <w:sz w:val="24"/>
                <w:szCs w:val="24"/>
                <w:highlight w:val="none"/>
                <w14:textFill>
                  <w14:solidFill>
                    <w14:schemeClr w14:val="tx1"/>
                  </w14:solidFill>
                </w14:textFill>
              </w:rPr>
              <w:t>运行实际情况，内容包括但不限于：运</w:t>
            </w:r>
            <w:r>
              <w:rPr>
                <w:rFonts w:ascii="宋体" w:hAnsi="宋体"/>
                <w:color w:val="000000" w:themeColor="text1"/>
                <w:spacing w:val="1"/>
                <w:sz w:val="24"/>
                <w:szCs w:val="24"/>
                <w:highlight w:val="none"/>
                <w14:textFill>
                  <w14:solidFill>
                    <w14:schemeClr w14:val="tx1"/>
                  </w14:solidFill>
                </w14:textFill>
              </w:rPr>
              <w:t>行班组组织结构与人员组成、吊装运行质量保证措施和方案、吊装作业计划、安</w:t>
            </w:r>
            <w:r>
              <w:rPr>
                <w:rFonts w:ascii="宋体" w:hAnsi="宋体"/>
                <w:color w:val="000000" w:themeColor="text1"/>
                <w:spacing w:val="-1"/>
                <w:sz w:val="24"/>
                <w:szCs w:val="24"/>
                <w:highlight w:val="none"/>
                <w14:textFill>
                  <w14:solidFill>
                    <w14:schemeClr w14:val="tx1"/>
                  </w14:solidFill>
                </w14:textFill>
              </w:rPr>
              <w:t>全防护、突发情况应急措施及其他相关措施等。</w:t>
            </w:r>
            <w:r>
              <w:rPr>
                <w:rFonts w:ascii="宋体" w:hAnsi="宋体"/>
                <w:color w:val="000000" w:themeColor="text1"/>
                <w:sz w:val="24"/>
                <w:szCs w:val="24"/>
                <w:highlight w:val="none"/>
                <w14:textFill>
                  <w14:solidFill>
                    <w14:schemeClr w14:val="tx1"/>
                  </w14:solidFill>
                </w14:textFill>
              </w:rPr>
              <w:t>飞灰吊装方案描述准确、完整，人员配置合理，运行质量及安全防护应急处置方</w:t>
            </w:r>
            <w:r>
              <w:rPr>
                <w:rFonts w:ascii="宋体" w:hAnsi="宋体"/>
                <w:color w:val="000000" w:themeColor="text1"/>
                <w:spacing w:val="-3"/>
                <w:sz w:val="24"/>
                <w:szCs w:val="24"/>
                <w:highlight w:val="none"/>
                <w14:textFill>
                  <w14:solidFill>
                    <w14:schemeClr w14:val="tx1"/>
                  </w14:solidFill>
                </w14:textFill>
              </w:rPr>
              <w:t>案考虑周到覆盖面较全</w:t>
            </w:r>
            <w:r>
              <w:rPr>
                <w:rFonts w:hint="eastAsia" w:ascii="宋体" w:hAnsi="宋体"/>
                <w:color w:val="000000" w:themeColor="text1"/>
                <w:spacing w:val="-3"/>
                <w:sz w:val="24"/>
                <w:szCs w:val="24"/>
                <w:highlight w:val="none"/>
                <w14:textFill>
                  <w14:solidFill>
                    <w14:schemeClr w14:val="tx1"/>
                  </w14:solidFill>
                </w14:textFill>
              </w:rPr>
              <w:t>的得</w:t>
            </w:r>
            <w:r>
              <w:rPr>
                <w:rFonts w:ascii="宋体" w:hAnsi="宋体"/>
                <w:color w:val="000000" w:themeColor="text1"/>
                <w:spacing w:val="-3"/>
                <w:sz w:val="24"/>
                <w:szCs w:val="24"/>
                <w:highlight w:val="none"/>
                <w14:textFill>
                  <w14:solidFill>
                    <w14:schemeClr w14:val="tx1"/>
                  </w14:solidFill>
                </w14:textFill>
              </w:rPr>
              <w:t>10分；</w:t>
            </w:r>
            <w:r>
              <w:rPr>
                <w:rFonts w:ascii="宋体" w:hAnsi="宋体"/>
                <w:color w:val="000000" w:themeColor="text1"/>
                <w:sz w:val="24"/>
                <w:szCs w:val="24"/>
                <w:highlight w:val="none"/>
                <w14:textFill>
                  <w14:solidFill>
                    <w14:schemeClr w14:val="tx1"/>
                  </w14:solidFill>
                </w14:textFill>
              </w:rPr>
              <w:t>飞灰吊装方案描述基本准确、完整，人员配置基本合理，运行质量及安全防护应急处置方案一般得</w:t>
            </w:r>
            <w:r>
              <w:rPr>
                <w:rFonts w:hint="eastAsia" w:ascii="宋体" w:hAnsi="宋体"/>
                <w:color w:val="000000" w:themeColor="text1"/>
                <w:sz w:val="24"/>
                <w:szCs w:val="24"/>
                <w:highlight w:val="none"/>
                <w14:textFill>
                  <w14:solidFill>
                    <w14:schemeClr w14:val="tx1"/>
                  </w14:solidFill>
                </w14:textFill>
              </w:rPr>
              <w:t>7</w:t>
            </w:r>
            <w:r>
              <w:rPr>
                <w:rFonts w:ascii="宋体" w:hAnsi="宋体"/>
                <w:color w:val="000000" w:themeColor="text1"/>
                <w:sz w:val="24"/>
                <w:szCs w:val="24"/>
                <w:highlight w:val="none"/>
                <w14:textFill>
                  <w14:solidFill>
                    <w14:schemeClr w14:val="tx1"/>
                  </w14:solidFill>
                </w14:textFill>
              </w:rPr>
              <w:t>分；</w:t>
            </w:r>
            <w:r>
              <w:rPr>
                <w:rFonts w:ascii="宋体" w:hAnsi="宋体"/>
                <w:color w:val="000000" w:themeColor="text1"/>
                <w:spacing w:val="1"/>
                <w:sz w:val="24"/>
                <w:szCs w:val="24"/>
                <w:highlight w:val="none"/>
                <w14:textFill>
                  <w14:solidFill>
                    <w14:schemeClr w14:val="tx1"/>
                  </w14:solidFill>
                </w14:textFill>
              </w:rPr>
              <w:t>飞灰吊装方案描述简单，人员配置、运行质量及安全防护应急处置方案较为简单得</w:t>
            </w:r>
            <w:r>
              <w:rPr>
                <w:rFonts w:hint="eastAsia" w:ascii="宋体" w:hAnsi="宋体"/>
                <w:color w:val="000000" w:themeColor="text1"/>
                <w:spacing w:val="1"/>
                <w:sz w:val="24"/>
                <w:szCs w:val="24"/>
                <w:highlight w:val="none"/>
                <w14:textFill>
                  <w14:solidFill>
                    <w14:schemeClr w14:val="tx1"/>
                  </w14:solidFill>
                </w14:textFill>
              </w:rPr>
              <w:t>4</w:t>
            </w:r>
            <w:r>
              <w:rPr>
                <w:rFonts w:ascii="宋体" w:hAnsi="宋体"/>
                <w:color w:val="000000" w:themeColor="text1"/>
                <w:spacing w:val="-3"/>
                <w:sz w:val="24"/>
                <w:szCs w:val="24"/>
                <w:highlight w:val="none"/>
                <w14:textFill>
                  <w14:solidFill>
                    <w14:schemeClr w14:val="tx1"/>
                  </w14:solidFill>
                </w14:textFill>
              </w:rPr>
              <w:t>分</w:t>
            </w:r>
            <w:r>
              <w:rPr>
                <w:rFonts w:hint="eastAsia" w:ascii="宋体" w:hAnsi="宋体"/>
                <w:color w:val="000000" w:themeColor="text1"/>
                <w:spacing w:val="-3"/>
                <w:sz w:val="24"/>
                <w:szCs w:val="24"/>
                <w:highlight w:val="none"/>
                <w14:textFill>
                  <w14:solidFill>
                    <w14:schemeClr w14:val="tx1"/>
                  </w14:solidFill>
                </w14:textFill>
              </w:rPr>
              <w:t>；</w:t>
            </w:r>
            <w:r>
              <w:rPr>
                <w:rFonts w:ascii="宋体" w:hAnsi="宋体"/>
                <w:color w:val="000000" w:themeColor="text1"/>
                <w:spacing w:val="-3"/>
                <w:sz w:val="24"/>
                <w:szCs w:val="24"/>
                <w:highlight w:val="none"/>
                <w14:textFill>
                  <w14:solidFill>
                    <w14:schemeClr w14:val="tx1"/>
                  </w14:solidFill>
                </w14:textFill>
              </w:rPr>
              <w:t>未提供不得分</w:t>
            </w:r>
            <w:r>
              <w:rPr>
                <w:rFonts w:hint="eastAsia" w:ascii="宋体" w:hAnsi="宋体"/>
                <w:color w:val="000000" w:themeColor="text1"/>
                <w:spacing w:val="-3"/>
                <w:sz w:val="24"/>
                <w:szCs w:val="24"/>
                <w:highlight w:val="none"/>
                <w14:textFill>
                  <w14:solidFill>
                    <w14:schemeClr w14:val="tx1"/>
                  </w14:solidFill>
                </w14:textFill>
              </w:rPr>
              <w:t>。</w:t>
            </w:r>
          </w:p>
        </w:tc>
        <w:tc>
          <w:tcPr>
            <w:tcW w:w="500" w:type="dxa"/>
            <w:vAlign w:val="center"/>
          </w:tcPr>
          <w:p>
            <w:pPr>
              <w:autoSpaceDE w:val="0"/>
              <w:autoSpaceDN w:val="0"/>
              <w:adjustRightInd w:val="0"/>
              <w:spacing w:line="360" w:lineRule="exact"/>
              <w:jc w:val="center"/>
              <w:textAlignment w:val="baseline"/>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9" w:hRule="atLeast"/>
          <w:jc w:val="center"/>
        </w:trPr>
        <w:tc>
          <w:tcPr>
            <w:tcW w:w="376" w:type="dxa"/>
            <w:vAlign w:val="center"/>
          </w:tcPr>
          <w:p>
            <w:pPr>
              <w:pStyle w:val="1187"/>
              <w:spacing w:line="276"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.3</w:t>
            </w:r>
          </w:p>
        </w:tc>
        <w:tc>
          <w:tcPr>
            <w:tcW w:w="865" w:type="dxa"/>
            <w:vAlign w:val="center"/>
          </w:tcPr>
          <w:p>
            <w:pPr>
              <w:spacing w:line="360" w:lineRule="exact"/>
              <w:jc w:val="center"/>
              <w:textAlignment w:val="baseline"/>
              <w:rPr>
                <w:rFonts w:ascii="宋体" w:hAnsi="宋体"/>
                <w:bCs/>
                <w:color w:val="000000" w:themeColor="text1"/>
                <w:sz w:val="24"/>
                <w:szCs w:val="24"/>
                <w:highlight w:val="none"/>
                <w14:textFill>
                  <w14:solidFill>
                    <w14:schemeClr w14:val="tx1"/>
                  </w14:solidFill>
                </w14:textFill>
              </w:rPr>
            </w:pPr>
            <w:r>
              <w:rPr>
                <w:rFonts w:ascii="宋体" w:hAnsi="宋体"/>
                <w:color w:val="000000" w:themeColor="text1"/>
                <w:spacing w:val="-1"/>
                <w:sz w:val="24"/>
                <w:szCs w:val="24"/>
                <w:highlight w:val="none"/>
                <w14:textFill>
                  <w14:solidFill>
                    <w14:schemeClr w14:val="tx1"/>
                  </w14:solidFill>
                </w14:textFill>
              </w:rPr>
              <w:t>堆体整形服务方</w:t>
            </w:r>
            <w:r>
              <w:rPr>
                <w:rFonts w:ascii="宋体" w:hAnsi="宋体"/>
                <w:color w:val="000000" w:themeColor="text1"/>
                <w:spacing w:val="-4"/>
                <w:sz w:val="24"/>
                <w:szCs w:val="24"/>
                <w:highlight w:val="none"/>
                <w14:textFill>
                  <w14:solidFill>
                    <w14:schemeClr w14:val="tx1"/>
                  </w14:solidFill>
                </w14:textFill>
              </w:rPr>
              <w:t>案</w:t>
            </w:r>
          </w:p>
        </w:tc>
        <w:tc>
          <w:tcPr>
            <w:tcW w:w="6780" w:type="dxa"/>
            <w:vAlign w:val="center"/>
          </w:tcPr>
          <w:p>
            <w:pPr>
              <w:rPr>
                <w:rFonts w:ascii="宋体" w:hAnsi="宋体" w:cs="华文楷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评标委员会根据投标人提供的堆体整形方案，应切合</w:t>
            </w:r>
            <w:r>
              <w:rPr>
                <w:rFonts w:hint="eastAsia" w:ascii="宋体" w:hAnsi="宋体"/>
                <w:color w:val="000000" w:themeColor="text1"/>
                <w:sz w:val="24"/>
                <w:szCs w:val="24"/>
                <w:highlight w:val="none"/>
                <w14:textFill>
                  <w14:solidFill>
                    <w14:schemeClr w14:val="tx1"/>
                  </w14:solidFill>
                </w14:textFill>
              </w:rPr>
              <w:t>焚烧灰渣处置场</w:t>
            </w:r>
            <w:r>
              <w:rPr>
                <w:rFonts w:ascii="宋体" w:hAnsi="宋体"/>
                <w:color w:val="000000" w:themeColor="text1"/>
                <w:sz w:val="24"/>
                <w:szCs w:val="24"/>
                <w:highlight w:val="none"/>
                <w14:textFill>
                  <w14:solidFill>
                    <w14:schemeClr w14:val="tx1"/>
                  </w14:solidFill>
                </w14:textFill>
              </w:rPr>
              <w:t>运行实际及计划作业进</w:t>
            </w:r>
            <w:r>
              <w:rPr>
                <w:rFonts w:ascii="宋体" w:hAnsi="宋体"/>
                <w:color w:val="000000" w:themeColor="text1"/>
                <w:spacing w:val="-4"/>
                <w:sz w:val="24"/>
                <w:szCs w:val="24"/>
                <w:highlight w:val="none"/>
                <w14:textFill>
                  <w14:solidFill>
                    <w14:schemeClr w14:val="tx1"/>
                  </w14:solidFill>
                </w14:textFill>
              </w:rPr>
              <w:t>度进行编制，</w:t>
            </w:r>
            <w:r>
              <w:rPr>
                <w:rFonts w:ascii="宋体" w:hAnsi="宋体"/>
                <w:color w:val="000000" w:themeColor="text1"/>
                <w:spacing w:val="1"/>
                <w:sz w:val="24"/>
                <w:szCs w:val="24"/>
                <w:highlight w:val="none"/>
                <w14:textFill>
                  <w14:solidFill>
                    <w14:schemeClr w14:val="tx1"/>
                  </w14:solidFill>
                </w14:textFill>
              </w:rPr>
              <w:t>方案包括但不限于：堆体整形目标、堆体整形实施计划、安全防护、突发情况应</w:t>
            </w:r>
            <w:r>
              <w:rPr>
                <w:rFonts w:ascii="宋体" w:hAnsi="宋体"/>
                <w:color w:val="000000" w:themeColor="text1"/>
                <w:sz w:val="24"/>
                <w:szCs w:val="24"/>
                <w:highlight w:val="none"/>
                <w14:textFill>
                  <w14:solidFill>
                    <w14:schemeClr w14:val="tx1"/>
                  </w14:solidFill>
                </w14:textFill>
              </w:rPr>
              <w:t>急措施及其他相关措施。</w:t>
            </w:r>
            <w:r>
              <w:rPr>
                <w:rFonts w:ascii="宋体" w:hAnsi="宋体"/>
                <w:color w:val="000000" w:themeColor="text1"/>
                <w:spacing w:val="-8"/>
                <w:sz w:val="24"/>
                <w:szCs w:val="24"/>
                <w:highlight w:val="none"/>
                <w14:textFill>
                  <w14:solidFill>
                    <w14:schemeClr w14:val="tx1"/>
                  </w14:solidFill>
                </w14:textFill>
              </w:rPr>
              <w:t>堆体整形方案描述准确、完整，堆体整形计划安排合理</w:t>
            </w:r>
            <w:r>
              <w:rPr>
                <w:rFonts w:ascii="宋体" w:hAnsi="宋体"/>
                <w:color w:val="000000" w:themeColor="text1"/>
                <w:spacing w:val="-9"/>
                <w:sz w:val="24"/>
                <w:szCs w:val="24"/>
                <w:highlight w:val="none"/>
                <w14:textFill>
                  <w14:solidFill>
                    <w14:schemeClr w14:val="tx1"/>
                  </w14:solidFill>
                </w14:textFill>
              </w:rPr>
              <w:t>，安全防护到位，突发情</w:t>
            </w:r>
            <w:r>
              <w:rPr>
                <w:rFonts w:ascii="宋体" w:hAnsi="宋体"/>
                <w:color w:val="000000" w:themeColor="text1"/>
                <w:spacing w:val="-1"/>
                <w:sz w:val="24"/>
                <w:szCs w:val="24"/>
                <w:highlight w:val="none"/>
                <w14:textFill>
                  <w14:solidFill>
                    <w14:schemeClr w14:val="tx1"/>
                  </w14:solidFill>
                </w14:textFill>
              </w:rPr>
              <w:t>况应急措施较为详细全面的</w:t>
            </w:r>
            <w:r>
              <w:rPr>
                <w:rFonts w:hint="eastAsia" w:ascii="宋体" w:hAnsi="宋体"/>
                <w:color w:val="000000" w:themeColor="text1"/>
                <w:spacing w:val="-1"/>
                <w:sz w:val="24"/>
                <w:szCs w:val="24"/>
                <w:highlight w:val="none"/>
                <w14:textFill>
                  <w14:solidFill>
                    <w14:schemeClr w14:val="tx1"/>
                  </w14:solidFill>
                </w14:textFill>
              </w:rPr>
              <w:t>得10</w:t>
            </w:r>
            <w:r>
              <w:rPr>
                <w:rFonts w:ascii="宋体" w:hAnsi="宋体"/>
                <w:color w:val="000000" w:themeColor="text1"/>
                <w:spacing w:val="-1"/>
                <w:sz w:val="24"/>
                <w:szCs w:val="24"/>
                <w:highlight w:val="none"/>
                <w14:textFill>
                  <w14:solidFill>
                    <w14:schemeClr w14:val="tx1"/>
                  </w14:solidFill>
                </w14:textFill>
              </w:rPr>
              <w:t>分；</w:t>
            </w:r>
            <w:r>
              <w:rPr>
                <w:rFonts w:ascii="宋体" w:hAnsi="宋体"/>
                <w:color w:val="000000" w:themeColor="text1"/>
                <w:sz w:val="24"/>
                <w:szCs w:val="24"/>
                <w:highlight w:val="none"/>
                <w14:textFill>
                  <w14:solidFill>
                    <w14:schemeClr w14:val="tx1"/>
                  </w14:solidFill>
                </w14:textFill>
              </w:rPr>
              <w:t>堆体整形方案描述基本准确、完整，堆体整形计划安排基本合理，安全</w:t>
            </w:r>
            <w:r>
              <w:rPr>
                <w:rFonts w:ascii="宋体" w:hAnsi="宋体"/>
                <w:color w:val="000000" w:themeColor="text1"/>
                <w:spacing w:val="-4"/>
                <w:sz w:val="24"/>
                <w:szCs w:val="24"/>
                <w:highlight w:val="none"/>
                <w14:textFill>
                  <w14:solidFill>
                    <w14:schemeClr w14:val="tx1"/>
                  </w14:solidFill>
                </w14:textFill>
              </w:rPr>
              <w:t>防护到位，</w:t>
            </w:r>
            <w:r>
              <w:rPr>
                <w:rFonts w:ascii="宋体" w:hAnsi="宋体"/>
                <w:color w:val="000000" w:themeColor="text1"/>
                <w:spacing w:val="-8"/>
                <w:sz w:val="24"/>
                <w:szCs w:val="24"/>
                <w:highlight w:val="none"/>
                <w14:textFill>
                  <w14:solidFill>
                    <w14:schemeClr w14:val="tx1"/>
                  </w14:solidFill>
                </w14:textFill>
              </w:rPr>
              <w:t>突发情况应急措施一般的得</w:t>
            </w:r>
            <w:r>
              <w:rPr>
                <w:rFonts w:hint="eastAsia" w:ascii="宋体" w:hAnsi="宋体"/>
                <w:color w:val="000000" w:themeColor="text1"/>
                <w:spacing w:val="-8"/>
                <w:sz w:val="24"/>
                <w:szCs w:val="24"/>
                <w:highlight w:val="none"/>
                <w14:textFill>
                  <w14:solidFill>
                    <w14:schemeClr w14:val="tx1"/>
                  </w14:solidFill>
                </w14:textFill>
              </w:rPr>
              <w:t>7</w:t>
            </w:r>
            <w:r>
              <w:rPr>
                <w:rFonts w:ascii="宋体" w:hAnsi="宋体"/>
                <w:color w:val="000000" w:themeColor="text1"/>
                <w:spacing w:val="-8"/>
                <w:sz w:val="24"/>
                <w:szCs w:val="24"/>
                <w:highlight w:val="none"/>
                <w14:textFill>
                  <w14:solidFill>
                    <w14:schemeClr w14:val="tx1"/>
                  </w14:solidFill>
                </w14:textFill>
              </w:rPr>
              <w:t>分；</w:t>
            </w:r>
            <w:r>
              <w:rPr>
                <w:rFonts w:ascii="宋体" w:hAnsi="宋体"/>
                <w:color w:val="000000" w:themeColor="text1"/>
                <w:spacing w:val="1"/>
                <w:sz w:val="24"/>
                <w:szCs w:val="24"/>
                <w:highlight w:val="none"/>
                <w14:textFill>
                  <w14:solidFill>
                    <w14:schemeClr w14:val="tx1"/>
                  </w14:solidFill>
                </w14:textFill>
              </w:rPr>
              <w:t>堆体整形方案描述简单，有堆体整形计划，安全防护到位，突发情况应急措施简</w:t>
            </w:r>
            <w:r>
              <w:rPr>
                <w:rFonts w:ascii="宋体" w:hAnsi="宋体"/>
                <w:color w:val="000000" w:themeColor="text1"/>
                <w:spacing w:val="-9"/>
                <w:sz w:val="24"/>
                <w:szCs w:val="24"/>
                <w:highlight w:val="none"/>
                <w14:textFill>
                  <w14:solidFill>
                    <w14:schemeClr w14:val="tx1"/>
                  </w14:solidFill>
                </w14:textFill>
              </w:rPr>
              <w:t>单的得</w:t>
            </w:r>
            <w:r>
              <w:rPr>
                <w:rFonts w:hint="eastAsia" w:ascii="宋体" w:hAnsi="宋体"/>
                <w:color w:val="000000" w:themeColor="text1"/>
                <w:spacing w:val="-9"/>
                <w:sz w:val="24"/>
                <w:szCs w:val="24"/>
                <w:highlight w:val="none"/>
                <w14:textFill>
                  <w14:solidFill>
                    <w14:schemeClr w14:val="tx1"/>
                  </w14:solidFill>
                </w14:textFill>
              </w:rPr>
              <w:t>4分；未提供不得分。</w:t>
            </w:r>
          </w:p>
        </w:tc>
        <w:tc>
          <w:tcPr>
            <w:tcW w:w="500" w:type="dxa"/>
            <w:vAlign w:val="center"/>
          </w:tcPr>
          <w:p>
            <w:pPr>
              <w:spacing w:line="360" w:lineRule="exact"/>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376" w:type="dxa"/>
            <w:vAlign w:val="center"/>
          </w:tcPr>
          <w:p>
            <w:pPr>
              <w:pStyle w:val="1187"/>
              <w:spacing w:line="276" w:lineRule="auto"/>
              <w:jc w:val="center"/>
              <w:rPr>
                <w:rFonts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2.4</w:t>
            </w:r>
          </w:p>
        </w:tc>
        <w:tc>
          <w:tcPr>
            <w:tcW w:w="865" w:type="dxa"/>
            <w:vAlign w:val="center"/>
          </w:tcPr>
          <w:p>
            <w:pPr>
              <w:spacing w:line="360" w:lineRule="exact"/>
              <w:jc w:val="center"/>
              <w:textAlignment w:val="baseline"/>
              <w:rPr>
                <w:rFonts w:ascii="宋体" w:hAnsi="宋体"/>
                <w:color w:val="000000" w:themeColor="text1"/>
                <w:spacing w:val="-1"/>
                <w:sz w:val="24"/>
                <w:szCs w:val="24"/>
                <w:highlight w:val="none"/>
                <w14:textFill>
                  <w14:solidFill>
                    <w14:schemeClr w14:val="tx1"/>
                  </w14:solidFill>
                </w14:textFill>
              </w:rPr>
            </w:pPr>
            <w:r>
              <w:rPr>
                <w:rFonts w:ascii="宋体" w:hAnsi="宋体"/>
                <w:color w:val="000000" w:themeColor="text1"/>
                <w:spacing w:val="-1"/>
                <w:sz w:val="24"/>
                <w:szCs w:val="24"/>
                <w:highlight w:val="none"/>
                <w14:textFill>
                  <w14:solidFill>
                    <w14:schemeClr w14:val="tx1"/>
                  </w14:solidFill>
                </w14:textFill>
              </w:rPr>
              <w:t>HDPE膜</w:t>
            </w:r>
          </w:p>
          <w:p>
            <w:pPr>
              <w:spacing w:line="360" w:lineRule="exact"/>
              <w:jc w:val="center"/>
              <w:textAlignment w:val="baseline"/>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pacing w:val="-1"/>
                <w:sz w:val="24"/>
                <w:szCs w:val="24"/>
                <w:highlight w:val="none"/>
                <w14:textFill>
                  <w14:solidFill>
                    <w14:schemeClr w14:val="tx1"/>
                  </w14:solidFill>
                </w14:textFill>
              </w:rPr>
              <w:t>作业方案</w:t>
            </w:r>
          </w:p>
        </w:tc>
        <w:tc>
          <w:tcPr>
            <w:tcW w:w="6780" w:type="dxa"/>
            <w:vAlign w:val="center"/>
          </w:tcPr>
          <w:p>
            <w:pPr>
              <w:rPr>
                <w:rFonts w:ascii="宋体" w:hAnsi="宋体" w:cs="华文楷体"/>
                <w:color w:val="000000" w:themeColor="text1"/>
                <w:sz w:val="24"/>
                <w:szCs w:val="24"/>
                <w:highlight w:val="none"/>
                <w:lang w:val="zh-CN"/>
                <w14:textFill>
                  <w14:solidFill>
                    <w14:schemeClr w14:val="tx1"/>
                  </w14:solidFill>
                </w14:textFill>
              </w:rPr>
            </w:pPr>
            <w:r>
              <w:rPr>
                <w:rFonts w:ascii="宋体" w:hAnsi="宋体"/>
                <w:snapToGrid w:val="0"/>
                <w:color w:val="000000" w:themeColor="text1"/>
                <w:sz w:val="24"/>
                <w:szCs w:val="24"/>
                <w:highlight w:val="none"/>
                <w14:textFill>
                  <w14:solidFill>
                    <w14:schemeClr w14:val="tx1"/>
                  </w14:solidFill>
                </w14:textFill>
              </w:rPr>
              <w:t>投标人提供HDPE膜焊接方案，应根据</w:t>
            </w:r>
            <w:r>
              <w:rPr>
                <w:rFonts w:hint="eastAsia" w:ascii="宋体" w:hAnsi="宋体"/>
                <w:snapToGrid w:val="0"/>
                <w:color w:val="000000" w:themeColor="text1"/>
                <w:sz w:val="24"/>
                <w:szCs w:val="24"/>
                <w:highlight w:val="none"/>
                <w14:textFill>
                  <w14:solidFill>
                    <w14:schemeClr w14:val="tx1"/>
                  </w14:solidFill>
                </w14:textFill>
              </w:rPr>
              <w:t>焚烧灰渣处置场</w:t>
            </w:r>
            <w:r>
              <w:rPr>
                <w:rFonts w:ascii="宋体" w:hAnsi="宋体"/>
                <w:snapToGrid w:val="0"/>
                <w:color w:val="000000" w:themeColor="text1"/>
                <w:sz w:val="24"/>
                <w:szCs w:val="24"/>
                <w:highlight w:val="none"/>
                <w14:textFill>
                  <w14:solidFill>
                    <w14:schemeClr w14:val="tx1"/>
                  </w14:solidFill>
                </w14:textFill>
              </w:rPr>
              <w:t>作业计划进行同步编制，确保HDPE膜焊接完整性、雨污分流效果，方案包括但不限于：施工作业计划及进度、材料、人员配置投入、具体施工方案、质量保证措施、焊接完成成品膜保护方案及措施。HDP膜焊接方案描述准确、完整，计划合理，施工安排及时、施工质量、成品膜保护措施到位</w:t>
            </w:r>
            <w:r>
              <w:rPr>
                <w:rFonts w:hint="eastAsia" w:ascii="宋体" w:hAnsi="宋体"/>
                <w:snapToGrid w:val="0"/>
                <w:color w:val="000000" w:themeColor="text1"/>
                <w:sz w:val="24"/>
                <w:szCs w:val="24"/>
                <w:highlight w:val="none"/>
                <w14:textFill>
                  <w14:solidFill>
                    <w14:schemeClr w14:val="tx1"/>
                  </w14:solidFill>
                </w14:textFill>
              </w:rPr>
              <w:t>得</w:t>
            </w:r>
            <w:r>
              <w:rPr>
                <w:rFonts w:ascii="宋体" w:hAnsi="宋体"/>
                <w:snapToGrid w:val="0"/>
                <w:color w:val="000000" w:themeColor="text1"/>
                <w:sz w:val="24"/>
                <w:szCs w:val="24"/>
                <w:highlight w:val="none"/>
                <w14:textFill>
                  <w14:solidFill>
                    <w14:schemeClr w14:val="tx1"/>
                  </w14:solidFill>
                </w14:textFill>
              </w:rPr>
              <w:t>8分；HDPE膜焊接方案描述基本准确、完整，计划基本合理，施工安排及时、施工质量、成品膜保护措施到位一般</w:t>
            </w:r>
            <w:r>
              <w:rPr>
                <w:rFonts w:hint="eastAsia" w:ascii="宋体" w:hAnsi="宋体"/>
                <w:snapToGrid w:val="0"/>
                <w:color w:val="000000" w:themeColor="text1"/>
                <w:sz w:val="24"/>
                <w:szCs w:val="24"/>
                <w:highlight w:val="none"/>
                <w14:textFill>
                  <w14:solidFill>
                    <w14:schemeClr w14:val="tx1"/>
                  </w14:solidFill>
                </w14:textFill>
              </w:rPr>
              <w:t>得</w:t>
            </w:r>
            <w:r>
              <w:rPr>
                <w:rFonts w:ascii="宋体" w:hAnsi="宋体"/>
                <w:snapToGrid w:val="0"/>
                <w:color w:val="000000" w:themeColor="text1"/>
                <w:sz w:val="24"/>
                <w:szCs w:val="24"/>
                <w:highlight w:val="none"/>
                <w14:textFill>
                  <w14:solidFill>
                    <w14:schemeClr w14:val="tx1"/>
                  </w14:solidFill>
                </w14:textFill>
              </w:rPr>
              <w:t>5分；HDPE膜焊接方案描述简单，有焊接计划，施工安排及时、施工质量、成品膜保护措施简单</w:t>
            </w:r>
            <w:r>
              <w:rPr>
                <w:rFonts w:hint="eastAsia" w:ascii="宋体" w:hAnsi="宋体"/>
                <w:snapToGrid w:val="0"/>
                <w:color w:val="000000" w:themeColor="text1"/>
                <w:sz w:val="24"/>
                <w:szCs w:val="24"/>
                <w:highlight w:val="none"/>
                <w14:textFill>
                  <w14:solidFill>
                    <w14:schemeClr w14:val="tx1"/>
                  </w14:solidFill>
                </w14:textFill>
              </w:rPr>
              <w:t>的</w:t>
            </w:r>
            <w:r>
              <w:rPr>
                <w:rFonts w:ascii="宋体" w:hAnsi="宋体"/>
                <w:snapToGrid w:val="0"/>
                <w:color w:val="000000" w:themeColor="text1"/>
                <w:sz w:val="24"/>
                <w:szCs w:val="24"/>
                <w:highlight w:val="none"/>
                <w14:textFill>
                  <w14:solidFill>
                    <w14:schemeClr w14:val="tx1"/>
                  </w14:solidFill>
                </w14:textFill>
              </w:rPr>
              <w:t>得2分</w:t>
            </w:r>
            <w:r>
              <w:rPr>
                <w:rFonts w:hint="eastAsia" w:ascii="宋体" w:hAnsi="宋体"/>
                <w:snapToGrid w:val="0"/>
                <w:color w:val="000000" w:themeColor="text1"/>
                <w:sz w:val="24"/>
                <w:szCs w:val="24"/>
                <w:highlight w:val="none"/>
                <w14:textFill>
                  <w14:solidFill>
                    <w14:schemeClr w14:val="tx1"/>
                  </w14:solidFill>
                </w14:textFill>
              </w:rPr>
              <w:t>；</w:t>
            </w:r>
            <w:r>
              <w:rPr>
                <w:rFonts w:hint="eastAsia" w:ascii="宋体" w:hAnsi="宋体"/>
                <w:color w:val="000000" w:themeColor="text1"/>
                <w:spacing w:val="-9"/>
                <w:sz w:val="24"/>
                <w:szCs w:val="24"/>
                <w:highlight w:val="none"/>
                <w14:textFill>
                  <w14:solidFill>
                    <w14:schemeClr w14:val="tx1"/>
                  </w14:solidFill>
                </w14:textFill>
              </w:rPr>
              <w:t>未提供不得分。</w:t>
            </w:r>
          </w:p>
        </w:tc>
        <w:tc>
          <w:tcPr>
            <w:tcW w:w="500" w:type="dxa"/>
            <w:vAlign w:val="center"/>
          </w:tcPr>
          <w:p>
            <w:pPr>
              <w:spacing w:line="360" w:lineRule="exact"/>
              <w:jc w:val="center"/>
              <w:rPr>
                <w:rFonts w:ascii="宋体"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8</w:t>
            </w:r>
            <w:r>
              <w:rPr>
                <w:rFonts w:hint="eastAsia" w:ascii="宋体" w:hAnsi="宋体"/>
                <w:color w:val="000000" w:themeColor="text1"/>
                <w:sz w:val="24"/>
                <w:szCs w:val="24"/>
                <w:highlight w:val="none"/>
                <w14:textFill>
                  <w14:solidFill>
                    <w14:schemeClr w14:val="tx1"/>
                  </w14:solidFill>
                </w14:textFill>
              </w:rPr>
              <w:t>.0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9" w:hRule="atLeast"/>
          <w:jc w:val="center"/>
        </w:trPr>
        <w:tc>
          <w:tcPr>
            <w:tcW w:w="376" w:type="dxa"/>
            <w:vAlign w:val="center"/>
          </w:tcPr>
          <w:p>
            <w:pPr>
              <w:pStyle w:val="1187"/>
              <w:spacing w:line="276" w:lineRule="auto"/>
              <w:jc w:val="center"/>
              <w:rPr>
                <w:rFonts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sz w:val="24"/>
                <w:szCs w:val="24"/>
                <w:highlight w:val="none"/>
                <w:lang w:eastAsia="zh-CN"/>
              </w:rPr>
              <w:t>2</w:t>
            </w:r>
            <w:r>
              <w:rPr>
                <w:rFonts w:ascii="宋体" w:hAnsi="宋体" w:cs="宋体"/>
                <w:color w:val="000000"/>
                <w:sz w:val="24"/>
                <w:szCs w:val="24"/>
                <w:highlight w:val="none"/>
                <w:lang w:eastAsia="zh-CN"/>
              </w:rPr>
              <w:t>.5</w:t>
            </w:r>
          </w:p>
        </w:tc>
        <w:tc>
          <w:tcPr>
            <w:tcW w:w="865" w:type="dxa"/>
            <w:vAlign w:val="center"/>
          </w:tcPr>
          <w:p>
            <w:pPr>
              <w:spacing w:line="360" w:lineRule="exact"/>
              <w:jc w:val="center"/>
              <w:textAlignment w:val="baseline"/>
              <w:rPr>
                <w:rFonts w:ascii="宋体" w:hAnsi="宋体"/>
                <w:color w:val="000000" w:themeColor="text1"/>
                <w:spacing w:val="-1"/>
                <w:sz w:val="24"/>
                <w:szCs w:val="24"/>
                <w:highlight w:val="none"/>
                <w14:textFill>
                  <w14:solidFill>
                    <w14:schemeClr w14:val="tx1"/>
                  </w14:solidFill>
                </w14:textFill>
              </w:rPr>
            </w:pPr>
            <w:r>
              <w:rPr>
                <w:rFonts w:hint="eastAsia" w:ascii="宋体" w:hAnsi="宋体"/>
                <w:color w:val="000000"/>
                <w:spacing w:val="-1"/>
                <w:sz w:val="24"/>
                <w:szCs w:val="24"/>
                <w:highlight w:val="none"/>
              </w:rPr>
              <w:t>渗滤液处理监管、污水和雨水在线监测监管方案</w:t>
            </w:r>
          </w:p>
        </w:tc>
        <w:tc>
          <w:tcPr>
            <w:tcW w:w="6780" w:type="dxa"/>
            <w:vAlign w:val="center"/>
          </w:tcPr>
          <w:p>
            <w:pPr>
              <w:rPr>
                <w:rFonts w:ascii="宋体" w:hAnsi="宋体"/>
                <w:snapToGrid w:val="0"/>
                <w:color w:val="000000" w:themeColor="text1"/>
                <w:sz w:val="24"/>
                <w:szCs w:val="24"/>
                <w:highlight w:val="none"/>
                <w14:textFill>
                  <w14:solidFill>
                    <w14:schemeClr w14:val="tx1"/>
                  </w14:solidFill>
                </w14:textFill>
              </w:rPr>
            </w:pPr>
            <w:r>
              <w:rPr>
                <w:rFonts w:hint="eastAsia" w:ascii="宋体" w:hAnsi="宋体"/>
                <w:snapToGrid w:val="0"/>
                <w:color w:val="000000"/>
                <w:sz w:val="24"/>
                <w:szCs w:val="24"/>
                <w:highlight w:val="none"/>
              </w:rPr>
              <w:t>投标人提供本项目现场渗滤液处理监管、污水和雨水在线监测监管方案，包括但不限于本项目重点监管及一般监管内容、监管人员的配备及服务实施方案等。方案描述准确、完整，方案考虑周到覆盖面较全得</w:t>
            </w:r>
            <w:r>
              <w:rPr>
                <w:rFonts w:ascii="宋体" w:hAnsi="宋体"/>
                <w:snapToGrid w:val="0"/>
                <w:color w:val="000000"/>
                <w:sz w:val="24"/>
                <w:szCs w:val="24"/>
                <w:highlight w:val="none"/>
              </w:rPr>
              <w:t>8</w:t>
            </w:r>
            <w:r>
              <w:rPr>
                <w:rFonts w:hint="eastAsia" w:ascii="宋体" w:hAnsi="宋体"/>
                <w:snapToGrid w:val="0"/>
                <w:color w:val="000000"/>
                <w:sz w:val="24"/>
                <w:szCs w:val="24"/>
                <w:highlight w:val="none"/>
              </w:rPr>
              <w:t>分；方案描述基本准确、完整，方案考虑周到盖面一般得</w:t>
            </w:r>
            <w:r>
              <w:rPr>
                <w:rFonts w:ascii="宋体" w:hAnsi="宋体"/>
                <w:snapToGrid w:val="0"/>
                <w:color w:val="000000"/>
                <w:sz w:val="24"/>
                <w:szCs w:val="24"/>
                <w:highlight w:val="none"/>
              </w:rPr>
              <w:t>5</w:t>
            </w:r>
            <w:r>
              <w:rPr>
                <w:rFonts w:hint="eastAsia" w:ascii="宋体" w:hAnsi="宋体"/>
                <w:snapToGrid w:val="0"/>
                <w:color w:val="000000"/>
                <w:sz w:val="24"/>
                <w:szCs w:val="24"/>
                <w:highlight w:val="none"/>
              </w:rPr>
              <w:t>分；方案描述简单得</w:t>
            </w:r>
            <w:r>
              <w:rPr>
                <w:rFonts w:ascii="宋体" w:hAnsi="宋体"/>
                <w:snapToGrid w:val="0"/>
                <w:color w:val="000000"/>
                <w:sz w:val="24"/>
                <w:szCs w:val="24"/>
                <w:highlight w:val="none"/>
              </w:rPr>
              <w:t>2</w:t>
            </w:r>
            <w:r>
              <w:rPr>
                <w:rFonts w:hint="eastAsia" w:ascii="宋体" w:hAnsi="宋体"/>
                <w:snapToGrid w:val="0"/>
                <w:color w:val="000000"/>
                <w:sz w:val="24"/>
                <w:szCs w:val="24"/>
                <w:highlight w:val="none"/>
              </w:rPr>
              <w:t>分；未提供不得分。</w:t>
            </w:r>
          </w:p>
        </w:tc>
        <w:tc>
          <w:tcPr>
            <w:tcW w:w="500" w:type="dxa"/>
            <w:vAlign w:val="center"/>
          </w:tcPr>
          <w:p>
            <w:pPr>
              <w:spacing w:line="360" w:lineRule="exact"/>
              <w:jc w:val="center"/>
              <w:rPr>
                <w:rFonts w:ascii="宋体" w:hAnsi="宋体"/>
                <w:color w:val="000000" w:themeColor="text1"/>
                <w:sz w:val="24"/>
                <w:szCs w:val="24"/>
                <w:highlight w:val="none"/>
                <w14:textFill>
                  <w14:solidFill>
                    <w14:schemeClr w14:val="tx1"/>
                  </w14:solidFill>
                </w14:textFill>
              </w:rPr>
            </w:pPr>
            <w:r>
              <w:rPr>
                <w:rFonts w:ascii="宋体" w:hAnsi="宋体"/>
                <w:color w:val="000000"/>
                <w:sz w:val="24"/>
                <w:szCs w:val="24"/>
                <w:highlight w:val="none"/>
              </w:rPr>
              <w:t>8.0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9" w:hRule="atLeast"/>
          <w:jc w:val="center"/>
        </w:trPr>
        <w:tc>
          <w:tcPr>
            <w:tcW w:w="376" w:type="dxa"/>
            <w:vAlign w:val="center"/>
          </w:tcPr>
          <w:p>
            <w:pPr>
              <w:pStyle w:val="1187"/>
              <w:spacing w:line="276" w:lineRule="auto"/>
              <w:jc w:val="center"/>
              <w:rPr>
                <w:rFonts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2.</w:t>
            </w:r>
            <w:r>
              <w:rPr>
                <w:rFonts w:ascii="宋体" w:hAnsi="宋体" w:cs="宋体"/>
                <w:color w:val="000000" w:themeColor="text1"/>
                <w:sz w:val="24"/>
                <w:szCs w:val="24"/>
                <w:highlight w:val="none"/>
                <w:lang w:eastAsia="zh-CN"/>
                <w14:textFill>
                  <w14:solidFill>
                    <w14:schemeClr w14:val="tx1"/>
                  </w14:solidFill>
                </w14:textFill>
              </w:rPr>
              <w:t>6</w:t>
            </w:r>
          </w:p>
        </w:tc>
        <w:tc>
          <w:tcPr>
            <w:tcW w:w="865" w:type="dxa"/>
            <w:vAlign w:val="center"/>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pacing w:val="-7"/>
                <w:sz w:val="24"/>
                <w:szCs w:val="24"/>
                <w:highlight w:val="none"/>
                <w14:textFill>
                  <w14:solidFill>
                    <w14:schemeClr w14:val="tx1"/>
                  </w14:solidFill>
                </w14:textFill>
              </w:rPr>
              <w:t>设备应急方案、设</w:t>
            </w:r>
            <w:r>
              <w:rPr>
                <w:rFonts w:ascii="宋体" w:hAnsi="宋体"/>
                <w:color w:val="000000" w:themeColor="text1"/>
                <w:spacing w:val="-15"/>
                <w:sz w:val="24"/>
                <w:szCs w:val="24"/>
                <w:highlight w:val="none"/>
                <w14:textFill>
                  <w14:solidFill>
                    <w14:schemeClr w14:val="tx1"/>
                  </w14:solidFill>
                </w14:textFill>
              </w:rPr>
              <w:t>备维修方案</w:t>
            </w:r>
          </w:p>
        </w:tc>
        <w:tc>
          <w:tcPr>
            <w:tcW w:w="6780" w:type="dxa"/>
          </w:tcPr>
          <w:p>
            <w:pPr>
              <w:rPr>
                <w:rFonts w:ascii="宋体" w:hAnsi="宋体"/>
                <w:color w:val="000000" w:themeColor="text1"/>
                <w:spacing w:val="-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投标人提供设备应急方案、设备维修方案，应切合</w:t>
            </w:r>
            <w:r>
              <w:rPr>
                <w:rFonts w:hint="eastAsia" w:ascii="宋体" w:hAnsi="宋体"/>
                <w:color w:val="000000" w:themeColor="text1"/>
                <w:sz w:val="24"/>
                <w:szCs w:val="24"/>
                <w:highlight w:val="none"/>
                <w14:textFill>
                  <w14:solidFill>
                    <w14:schemeClr w14:val="tx1"/>
                  </w14:solidFill>
                </w14:textFill>
              </w:rPr>
              <w:t>焚烧灰渣处置场</w:t>
            </w:r>
            <w:r>
              <w:rPr>
                <w:rFonts w:ascii="宋体" w:hAnsi="宋体"/>
                <w:color w:val="000000" w:themeColor="text1"/>
                <w:sz w:val="24"/>
                <w:szCs w:val="24"/>
                <w:highlight w:val="none"/>
                <w14:textFill>
                  <w14:solidFill>
                    <w14:schemeClr w14:val="tx1"/>
                  </w14:solidFill>
                </w14:textFill>
              </w:rPr>
              <w:t>现场实际，综合考</w:t>
            </w:r>
            <w:r>
              <w:rPr>
                <w:rFonts w:ascii="宋体" w:hAnsi="宋体"/>
                <w:color w:val="000000" w:themeColor="text1"/>
                <w:spacing w:val="-4"/>
                <w:sz w:val="24"/>
                <w:szCs w:val="24"/>
                <w:highlight w:val="none"/>
                <w14:textFill>
                  <w14:solidFill>
                    <w14:schemeClr w14:val="tx1"/>
                  </w14:solidFill>
                </w14:textFill>
              </w:rPr>
              <w:t>虑各种可能情况，并制定相应方案，方案包括但不限于：应急服务方案、设备维</w:t>
            </w:r>
            <w:r>
              <w:rPr>
                <w:rFonts w:ascii="宋体" w:hAnsi="宋体"/>
                <w:color w:val="000000" w:themeColor="text1"/>
                <w:sz w:val="24"/>
                <w:szCs w:val="24"/>
                <w:highlight w:val="none"/>
                <w14:textFill>
                  <w14:solidFill>
                    <w14:schemeClr w14:val="tx1"/>
                  </w14:solidFill>
                </w14:textFill>
              </w:rPr>
              <w:t>修方案、拟投入应急设备、应急人员、维修人员、应急设备进场时效性</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设备备件可用数量</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设备故障应对措施和方案及维修时效性、应急设备进出场方</w:t>
            </w:r>
            <w:r>
              <w:rPr>
                <w:rFonts w:ascii="宋体" w:hAnsi="宋体"/>
                <w:color w:val="000000" w:themeColor="text1"/>
                <w:spacing w:val="-1"/>
                <w:sz w:val="24"/>
                <w:szCs w:val="24"/>
                <w:highlight w:val="none"/>
                <w14:textFill>
                  <w14:solidFill>
                    <w14:schemeClr w14:val="tx1"/>
                  </w14:solidFill>
                </w14:textFill>
              </w:rPr>
              <w:t>案。</w:t>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pacing w:val="-3"/>
                <w:sz w:val="24"/>
                <w:szCs w:val="24"/>
                <w:highlight w:val="none"/>
                <w14:textFill>
                  <w14:solidFill>
                    <w14:schemeClr w14:val="tx1"/>
                  </w14:solidFill>
                </w14:textFill>
              </w:rPr>
              <w:t>（1）</w:t>
            </w:r>
            <w:r>
              <w:rPr>
                <w:rFonts w:ascii="宋体" w:hAnsi="宋体"/>
                <w:color w:val="000000" w:themeColor="text1"/>
                <w:spacing w:val="-3"/>
                <w:sz w:val="24"/>
                <w:szCs w:val="24"/>
                <w:highlight w:val="none"/>
                <w14:textFill>
                  <w14:solidFill>
                    <w14:schemeClr w14:val="tx1"/>
                  </w14:solidFill>
                </w14:textFill>
              </w:rPr>
              <w:t>设备应急方案、设备维修方案描述准确、完整、合理、可行性强，</w:t>
            </w:r>
            <w:r>
              <w:rPr>
                <w:rFonts w:ascii="宋体" w:hAnsi="宋体"/>
                <w:color w:val="000000" w:themeColor="text1"/>
                <w:spacing w:val="-4"/>
                <w:sz w:val="24"/>
                <w:szCs w:val="24"/>
                <w:highlight w:val="none"/>
                <w14:textFill>
                  <w14:solidFill>
                    <w14:schemeClr w14:val="tx1"/>
                  </w14:solidFill>
                </w14:textFill>
              </w:rPr>
              <w:t>人员配置合理、</w:t>
            </w:r>
            <w:r>
              <w:rPr>
                <w:rFonts w:ascii="宋体" w:hAnsi="宋体"/>
                <w:color w:val="000000" w:themeColor="text1"/>
                <w:spacing w:val="-1"/>
                <w:sz w:val="24"/>
                <w:szCs w:val="24"/>
                <w:highlight w:val="none"/>
                <w14:textFill>
                  <w14:solidFill>
                    <w14:schemeClr w14:val="tx1"/>
                  </w14:solidFill>
                </w14:textFill>
              </w:rPr>
              <w:t>分工明确、责任清晰，应急设备进场时效性强、保障措施到位的</w:t>
            </w:r>
            <w:r>
              <w:rPr>
                <w:rFonts w:ascii="宋体" w:hAnsi="宋体"/>
                <w:color w:val="000000" w:themeColor="text1"/>
                <w:spacing w:val="-2"/>
                <w:sz w:val="24"/>
                <w:szCs w:val="24"/>
                <w:highlight w:val="none"/>
                <w14:textFill>
                  <w14:solidFill>
                    <w14:schemeClr w14:val="tx1"/>
                  </w14:solidFill>
                </w14:textFill>
              </w:rPr>
              <w:t>得8</w:t>
            </w:r>
            <w:r>
              <w:rPr>
                <w:rFonts w:hint="eastAsia" w:ascii="宋体" w:hAnsi="宋体"/>
                <w:color w:val="000000" w:themeColor="text1"/>
                <w:spacing w:val="-2"/>
                <w:sz w:val="24"/>
                <w:szCs w:val="24"/>
                <w:highlight w:val="none"/>
                <w14:textFill>
                  <w14:solidFill>
                    <w14:schemeClr w14:val="tx1"/>
                  </w14:solidFill>
                </w14:textFill>
              </w:rPr>
              <w:t>分；</w:t>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r>
              <w:rPr>
                <w:rFonts w:ascii="宋体" w:hAnsi="宋体"/>
                <w:color w:val="000000" w:themeColor="text1"/>
                <w:sz w:val="24"/>
                <w:szCs w:val="24"/>
                <w:highlight w:val="none"/>
                <w14:textFill>
                  <w14:solidFill>
                    <w14:schemeClr w14:val="tx1"/>
                  </w14:solidFill>
                </w14:textFill>
              </w:rPr>
              <w:t>设备应急方案、设备维修方案描述基本准确、完整、合理、有可行性，人员配置</w:t>
            </w:r>
            <w:r>
              <w:rPr>
                <w:rFonts w:ascii="宋体" w:hAnsi="宋体"/>
                <w:color w:val="000000" w:themeColor="text1"/>
                <w:spacing w:val="-3"/>
                <w:sz w:val="24"/>
                <w:szCs w:val="24"/>
                <w:highlight w:val="none"/>
                <w14:textFill>
                  <w14:solidFill>
                    <w14:schemeClr w14:val="tx1"/>
                  </w14:solidFill>
                </w14:textFill>
              </w:rPr>
              <w:t>合理、分工明确、责任清晰，有应急设备进场时效性、保障措施一般的得5</w:t>
            </w:r>
            <w:r>
              <w:rPr>
                <w:rFonts w:hint="eastAsia" w:ascii="宋体" w:hAnsi="宋体"/>
                <w:color w:val="000000" w:themeColor="text1"/>
                <w:spacing w:val="-3"/>
                <w:sz w:val="24"/>
                <w:szCs w:val="24"/>
                <w:highlight w:val="none"/>
                <w14:textFill>
                  <w14:solidFill>
                    <w14:schemeClr w14:val="tx1"/>
                  </w14:solidFill>
                </w14:textFill>
              </w:rPr>
              <w:t>分；</w:t>
            </w:r>
          </w:p>
          <w:p>
            <w:pPr>
              <w:rPr>
                <w:rFonts w:ascii="宋体" w:hAnsi="宋体"/>
                <w:color w:val="000000" w:themeColor="text1"/>
                <w:spacing w:val="-12"/>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设备应急方案、设备维修方案描述简单；有应急设备进场、保障措施一般简单</w:t>
            </w:r>
            <w:r>
              <w:rPr>
                <w:rFonts w:ascii="宋体" w:hAnsi="宋体"/>
                <w:color w:val="000000" w:themeColor="text1"/>
                <w:spacing w:val="-12"/>
                <w:sz w:val="24"/>
                <w:szCs w:val="24"/>
                <w:highlight w:val="none"/>
                <w14:textFill>
                  <w14:solidFill>
                    <w14:schemeClr w14:val="tx1"/>
                  </w14:solidFill>
                </w14:textFill>
              </w:rPr>
              <w:t>得2</w:t>
            </w:r>
            <w:r>
              <w:rPr>
                <w:rFonts w:hint="eastAsia" w:ascii="宋体" w:hAnsi="宋体"/>
                <w:color w:val="000000" w:themeColor="text1"/>
                <w:spacing w:val="-12"/>
                <w:sz w:val="24"/>
                <w:szCs w:val="24"/>
                <w:highlight w:val="none"/>
                <w14:textFill>
                  <w14:solidFill>
                    <w14:schemeClr w14:val="tx1"/>
                  </w14:solidFill>
                </w14:textFill>
              </w:rPr>
              <w:t>分；</w:t>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pacing w:val="-12"/>
                <w:sz w:val="24"/>
                <w:szCs w:val="24"/>
                <w:highlight w:val="none"/>
                <w14:textFill>
                  <w14:solidFill>
                    <w14:schemeClr w14:val="tx1"/>
                  </w14:solidFill>
                </w14:textFill>
              </w:rPr>
              <w:t>（4）未提供不得分。</w:t>
            </w:r>
          </w:p>
        </w:tc>
        <w:tc>
          <w:tcPr>
            <w:tcW w:w="500" w:type="dxa"/>
            <w:vAlign w:val="center"/>
          </w:tcPr>
          <w:p>
            <w:pPr>
              <w:spacing w:line="360" w:lineRule="exact"/>
              <w:jc w:val="center"/>
              <w:rPr>
                <w:rFonts w:ascii="宋体"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8</w:t>
            </w:r>
            <w:r>
              <w:rPr>
                <w:rFonts w:hint="eastAsia" w:ascii="宋体" w:hAnsi="宋体"/>
                <w:color w:val="000000" w:themeColor="text1"/>
                <w:sz w:val="24"/>
                <w:szCs w:val="24"/>
                <w:highlight w:val="none"/>
                <w14:textFill>
                  <w14:solidFill>
                    <w14:schemeClr w14:val="tx1"/>
                  </w14:solidFill>
                </w14:textFill>
              </w:rPr>
              <w:t>.0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9" w:hRule="atLeast"/>
          <w:jc w:val="center"/>
        </w:trPr>
        <w:tc>
          <w:tcPr>
            <w:tcW w:w="376" w:type="dxa"/>
            <w:vAlign w:val="center"/>
          </w:tcPr>
          <w:p>
            <w:pPr>
              <w:pStyle w:val="1187"/>
              <w:spacing w:line="276" w:lineRule="auto"/>
              <w:jc w:val="center"/>
              <w:rPr>
                <w:rFonts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2.</w:t>
            </w:r>
            <w:r>
              <w:rPr>
                <w:rFonts w:ascii="宋体" w:hAnsi="宋体" w:cs="宋体"/>
                <w:color w:val="000000" w:themeColor="text1"/>
                <w:sz w:val="24"/>
                <w:szCs w:val="24"/>
                <w:highlight w:val="none"/>
                <w:lang w:eastAsia="zh-CN"/>
                <w14:textFill>
                  <w14:solidFill>
                    <w14:schemeClr w14:val="tx1"/>
                  </w14:solidFill>
                </w14:textFill>
              </w:rPr>
              <w:t>7</w:t>
            </w:r>
          </w:p>
        </w:tc>
        <w:tc>
          <w:tcPr>
            <w:tcW w:w="865" w:type="dxa"/>
            <w:vAlign w:val="center"/>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pacing w:val="-2"/>
                <w:sz w:val="24"/>
                <w:szCs w:val="24"/>
                <w:highlight w:val="none"/>
                <w14:textFill>
                  <w14:solidFill>
                    <w14:schemeClr w14:val="tx1"/>
                  </w14:solidFill>
                </w14:textFill>
              </w:rPr>
              <w:t>管理制度及操作</w:t>
            </w:r>
            <w:r>
              <w:rPr>
                <w:rFonts w:ascii="宋体" w:hAnsi="宋体"/>
                <w:color w:val="000000" w:themeColor="text1"/>
                <w:spacing w:val="-5"/>
                <w:sz w:val="24"/>
                <w:szCs w:val="24"/>
                <w:highlight w:val="none"/>
                <w14:textFill>
                  <w14:solidFill>
                    <w14:schemeClr w14:val="tx1"/>
                  </w14:solidFill>
                </w14:textFill>
              </w:rPr>
              <w:t>规程</w:t>
            </w:r>
          </w:p>
        </w:tc>
        <w:tc>
          <w:tcPr>
            <w:tcW w:w="6780" w:type="dxa"/>
          </w:tcPr>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pacing w:val="-4"/>
                <w:sz w:val="24"/>
                <w:szCs w:val="24"/>
                <w:highlight w:val="none"/>
                <w14:textFill>
                  <w14:solidFill>
                    <w14:schemeClr w14:val="tx1"/>
                  </w14:solidFill>
                </w14:textFill>
              </w:rPr>
              <w:t>投标人提供管理制度与操作规程，内容包括但不限于：现场工作管理制度、设备</w:t>
            </w:r>
            <w:r>
              <w:rPr>
                <w:rFonts w:ascii="宋体" w:hAnsi="宋体"/>
                <w:color w:val="000000" w:themeColor="text1"/>
                <w:sz w:val="24"/>
                <w:szCs w:val="24"/>
                <w:highlight w:val="none"/>
                <w14:textFill>
                  <w14:solidFill>
                    <w14:schemeClr w14:val="tx1"/>
                  </w14:solidFill>
                </w14:textFill>
              </w:rPr>
              <w:t>操作规程、设备维修维护管理规定、安全生产流程、突发情况处置流程、应急情</w:t>
            </w:r>
            <w:r>
              <w:rPr>
                <w:rFonts w:ascii="宋体" w:hAnsi="宋体"/>
                <w:color w:val="000000" w:themeColor="text1"/>
                <w:spacing w:val="-1"/>
                <w:sz w:val="24"/>
                <w:szCs w:val="24"/>
                <w:highlight w:val="none"/>
                <w14:textFill>
                  <w14:solidFill>
                    <w14:schemeClr w14:val="tx1"/>
                  </w14:solidFill>
                </w14:textFill>
              </w:rPr>
              <w:t>况处置流程等。</w:t>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pacing w:val="-3"/>
                <w:sz w:val="24"/>
                <w:szCs w:val="24"/>
                <w:highlight w:val="none"/>
                <w14:textFill>
                  <w14:solidFill>
                    <w14:schemeClr w14:val="tx1"/>
                  </w14:solidFill>
                </w14:textFill>
              </w:rPr>
              <w:t>（1）</w:t>
            </w:r>
            <w:r>
              <w:rPr>
                <w:rFonts w:ascii="宋体" w:hAnsi="宋体"/>
                <w:color w:val="000000" w:themeColor="text1"/>
                <w:spacing w:val="-3"/>
                <w:sz w:val="24"/>
                <w:szCs w:val="24"/>
                <w:highlight w:val="none"/>
                <w14:textFill>
                  <w14:solidFill>
                    <w14:schemeClr w14:val="tx1"/>
                  </w14:solidFill>
                </w14:textFill>
              </w:rPr>
              <w:t>吊装作业管理制度与操作规程描述准确、完整、合理</w:t>
            </w:r>
            <w:r>
              <w:rPr>
                <w:rFonts w:ascii="宋体" w:hAnsi="宋体"/>
                <w:color w:val="000000" w:themeColor="text1"/>
                <w:spacing w:val="-4"/>
                <w:sz w:val="24"/>
                <w:szCs w:val="24"/>
                <w:highlight w:val="none"/>
                <w14:textFill>
                  <w14:solidFill>
                    <w14:schemeClr w14:val="tx1"/>
                  </w14:solidFill>
                </w14:textFill>
              </w:rPr>
              <w:t>、可行性强，设备维修维护</w:t>
            </w:r>
            <w:r>
              <w:rPr>
                <w:rFonts w:ascii="宋体" w:hAnsi="宋体"/>
                <w:color w:val="000000" w:themeColor="text1"/>
                <w:spacing w:val="-3"/>
                <w:sz w:val="24"/>
                <w:szCs w:val="24"/>
                <w:highlight w:val="none"/>
                <w14:textFill>
                  <w14:solidFill>
                    <w14:schemeClr w14:val="tx1"/>
                  </w14:solidFill>
                </w14:textFill>
              </w:rPr>
              <w:t>管理规定完善、安全生产流程科学、突发情况处置流程及应急情况处置流程</w:t>
            </w:r>
            <w:r>
              <w:rPr>
                <w:rFonts w:ascii="宋体" w:hAnsi="宋体"/>
                <w:color w:val="000000" w:themeColor="text1"/>
                <w:spacing w:val="-4"/>
                <w:sz w:val="24"/>
                <w:szCs w:val="24"/>
                <w:highlight w:val="none"/>
                <w14:textFill>
                  <w14:solidFill>
                    <w14:schemeClr w14:val="tx1"/>
                  </w14:solidFill>
                </w14:textFill>
              </w:rPr>
              <w:t>合理的得8分；</w:t>
            </w:r>
          </w:p>
          <w:p>
            <w:pPr>
              <w:rPr>
                <w:rFonts w:ascii="宋体" w:hAnsi="宋体"/>
                <w:color w:val="000000" w:themeColor="text1"/>
                <w:spacing w:val="-15"/>
                <w:sz w:val="24"/>
                <w:szCs w:val="24"/>
                <w:highlight w:val="none"/>
                <w14:textFill>
                  <w14:solidFill>
                    <w14:schemeClr w14:val="tx1"/>
                  </w14:solidFill>
                </w14:textFill>
              </w:rPr>
            </w:pPr>
            <w:r>
              <w:rPr>
                <w:rFonts w:hint="eastAsia" w:ascii="宋体" w:hAnsi="宋体"/>
                <w:color w:val="000000" w:themeColor="text1"/>
                <w:spacing w:val="-1"/>
                <w:sz w:val="24"/>
                <w:szCs w:val="24"/>
                <w:highlight w:val="none"/>
                <w14:textFill>
                  <w14:solidFill>
                    <w14:schemeClr w14:val="tx1"/>
                  </w14:solidFill>
                </w14:textFill>
              </w:rPr>
              <w:t>（2）</w:t>
            </w:r>
            <w:r>
              <w:rPr>
                <w:rFonts w:ascii="宋体" w:hAnsi="宋体"/>
                <w:color w:val="000000" w:themeColor="text1"/>
                <w:spacing w:val="-1"/>
                <w:sz w:val="24"/>
                <w:szCs w:val="24"/>
                <w:highlight w:val="none"/>
                <w14:textFill>
                  <w14:solidFill>
                    <w14:schemeClr w14:val="tx1"/>
                  </w14:solidFill>
                </w14:textFill>
              </w:rPr>
              <w:t>吊装作业管理制度与操作规程描述基本合理、具有一定可行性，有设备维修维护</w:t>
            </w:r>
            <w:r>
              <w:rPr>
                <w:rFonts w:ascii="宋体" w:hAnsi="宋体"/>
                <w:color w:val="000000" w:themeColor="text1"/>
                <w:spacing w:val="-4"/>
                <w:sz w:val="24"/>
                <w:szCs w:val="24"/>
                <w:highlight w:val="none"/>
                <w14:textFill>
                  <w14:solidFill>
                    <w14:schemeClr w14:val="tx1"/>
                  </w14:solidFill>
                </w14:textFill>
              </w:rPr>
              <w:t>管理规定、安全生产流程科学，具备突发情况处置</w:t>
            </w:r>
            <w:r>
              <w:rPr>
                <w:rFonts w:ascii="宋体" w:hAnsi="宋体"/>
                <w:color w:val="000000" w:themeColor="text1"/>
                <w:spacing w:val="-5"/>
                <w:sz w:val="24"/>
                <w:szCs w:val="24"/>
                <w:highlight w:val="none"/>
                <w14:textFill>
                  <w14:solidFill>
                    <w14:schemeClr w14:val="tx1"/>
                  </w14:solidFill>
                </w14:textFill>
              </w:rPr>
              <w:t>流程及应急情况处置流程的</w:t>
            </w:r>
            <w:r>
              <w:rPr>
                <w:rFonts w:hint="eastAsia" w:ascii="宋体" w:hAnsi="宋体"/>
                <w:color w:val="000000" w:themeColor="text1"/>
                <w:spacing w:val="-5"/>
                <w:sz w:val="24"/>
                <w:szCs w:val="24"/>
                <w:highlight w:val="none"/>
                <w14:textFill>
                  <w14:solidFill>
                    <w14:schemeClr w14:val="tx1"/>
                  </w14:solidFill>
                </w14:textFill>
              </w:rPr>
              <w:t>得</w:t>
            </w:r>
            <w:r>
              <w:rPr>
                <w:rFonts w:ascii="宋体" w:hAnsi="宋体"/>
                <w:color w:val="000000" w:themeColor="text1"/>
                <w:spacing w:val="-5"/>
                <w:sz w:val="24"/>
                <w:szCs w:val="24"/>
                <w:highlight w:val="none"/>
                <w14:textFill>
                  <w14:solidFill>
                    <w14:schemeClr w14:val="tx1"/>
                  </w14:solidFill>
                </w14:textFill>
              </w:rPr>
              <w:t>5</w:t>
            </w:r>
            <w:r>
              <w:rPr>
                <w:rFonts w:ascii="宋体" w:hAnsi="宋体"/>
                <w:color w:val="000000" w:themeColor="text1"/>
                <w:spacing w:val="-15"/>
                <w:sz w:val="24"/>
                <w:szCs w:val="24"/>
                <w:highlight w:val="none"/>
                <w14:textFill>
                  <w14:solidFill>
                    <w14:schemeClr w14:val="tx1"/>
                  </w14:solidFill>
                </w14:textFill>
              </w:rPr>
              <w:t>分；</w:t>
            </w:r>
          </w:p>
          <w:p>
            <w:pPr>
              <w:rPr>
                <w:rFonts w:ascii="宋体" w:hAnsi="宋体"/>
                <w:color w:val="000000" w:themeColor="text1"/>
                <w:spacing w:val="-8"/>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吊装作业管理制度与操作规程描述简单，设备维修维护管理规定、安全生产流程</w:t>
            </w:r>
            <w:r>
              <w:rPr>
                <w:rFonts w:ascii="宋体" w:hAnsi="宋体"/>
                <w:color w:val="000000" w:themeColor="text1"/>
                <w:spacing w:val="-8"/>
                <w:sz w:val="24"/>
                <w:szCs w:val="24"/>
                <w:highlight w:val="none"/>
                <w14:textFill>
                  <w14:solidFill>
                    <w14:schemeClr w14:val="tx1"/>
                  </w14:solidFill>
                </w14:textFill>
              </w:rPr>
              <w:t>简单，不具备突发情况处置流程及应急情况处置流程</w:t>
            </w:r>
            <w:r>
              <w:rPr>
                <w:rFonts w:hint="eastAsia" w:ascii="宋体" w:hAnsi="宋体"/>
                <w:color w:val="000000" w:themeColor="text1"/>
                <w:spacing w:val="-8"/>
                <w:sz w:val="24"/>
                <w:szCs w:val="24"/>
                <w:highlight w:val="none"/>
                <w14:textFill>
                  <w14:solidFill>
                    <w14:schemeClr w14:val="tx1"/>
                  </w14:solidFill>
                </w14:textFill>
              </w:rPr>
              <w:t>的</w:t>
            </w:r>
            <w:r>
              <w:rPr>
                <w:rFonts w:ascii="宋体" w:hAnsi="宋体"/>
                <w:color w:val="000000" w:themeColor="text1"/>
                <w:spacing w:val="-8"/>
                <w:sz w:val="24"/>
                <w:szCs w:val="24"/>
                <w:highlight w:val="none"/>
                <w14:textFill>
                  <w14:solidFill>
                    <w14:schemeClr w14:val="tx1"/>
                  </w14:solidFill>
                </w14:textFill>
              </w:rPr>
              <w:t>得2</w:t>
            </w:r>
            <w:r>
              <w:rPr>
                <w:rFonts w:hint="eastAsia" w:ascii="宋体" w:hAnsi="宋体"/>
                <w:color w:val="000000" w:themeColor="text1"/>
                <w:spacing w:val="-8"/>
                <w:sz w:val="24"/>
                <w:szCs w:val="24"/>
                <w:highlight w:val="none"/>
                <w14:textFill>
                  <w14:solidFill>
                    <w14:schemeClr w14:val="tx1"/>
                  </w14:solidFill>
                </w14:textFill>
              </w:rPr>
              <w:t>分；</w:t>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pacing w:val="-8"/>
                <w:sz w:val="24"/>
                <w:szCs w:val="24"/>
                <w:highlight w:val="none"/>
                <w14:textFill>
                  <w14:solidFill>
                    <w14:schemeClr w14:val="tx1"/>
                  </w14:solidFill>
                </w14:textFill>
              </w:rPr>
              <w:t>（4）</w:t>
            </w:r>
            <w:r>
              <w:rPr>
                <w:rFonts w:ascii="宋体" w:hAnsi="宋体"/>
                <w:color w:val="000000" w:themeColor="text1"/>
                <w:spacing w:val="-8"/>
                <w:sz w:val="24"/>
                <w:szCs w:val="24"/>
                <w:highlight w:val="none"/>
                <w14:textFill>
                  <w14:solidFill>
                    <w14:schemeClr w14:val="tx1"/>
                  </w14:solidFill>
                </w14:textFill>
              </w:rPr>
              <w:t>未提供不得分</w:t>
            </w:r>
            <w:r>
              <w:rPr>
                <w:rFonts w:hint="eastAsia" w:ascii="宋体" w:hAnsi="宋体"/>
                <w:color w:val="000000" w:themeColor="text1"/>
                <w:spacing w:val="-8"/>
                <w:sz w:val="24"/>
                <w:szCs w:val="24"/>
                <w:highlight w:val="none"/>
                <w14:textFill>
                  <w14:solidFill>
                    <w14:schemeClr w14:val="tx1"/>
                  </w14:solidFill>
                </w14:textFill>
              </w:rPr>
              <w:t>。</w:t>
            </w:r>
          </w:p>
        </w:tc>
        <w:tc>
          <w:tcPr>
            <w:tcW w:w="500" w:type="dxa"/>
            <w:vAlign w:val="center"/>
          </w:tcPr>
          <w:p>
            <w:pPr>
              <w:spacing w:line="360" w:lineRule="exact"/>
              <w:jc w:val="center"/>
              <w:rPr>
                <w:rFonts w:ascii="宋体"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8</w:t>
            </w:r>
            <w:r>
              <w:rPr>
                <w:rFonts w:hint="eastAsia" w:ascii="宋体" w:hAnsi="宋体"/>
                <w:color w:val="000000" w:themeColor="text1"/>
                <w:sz w:val="24"/>
                <w:szCs w:val="24"/>
                <w:highlight w:val="none"/>
                <w14:textFill>
                  <w14:solidFill>
                    <w14:schemeClr w14:val="tx1"/>
                  </w14:solidFill>
                </w14:textFill>
              </w:rPr>
              <w:t>.0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9" w:hRule="atLeast"/>
          <w:jc w:val="center"/>
        </w:trPr>
        <w:tc>
          <w:tcPr>
            <w:tcW w:w="376" w:type="dxa"/>
            <w:vAlign w:val="center"/>
          </w:tcPr>
          <w:p>
            <w:pPr>
              <w:pStyle w:val="1187"/>
              <w:spacing w:line="276" w:lineRule="auto"/>
              <w:jc w:val="center"/>
              <w:rPr>
                <w:rFonts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2.</w:t>
            </w:r>
            <w:r>
              <w:rPr>
                <w:rFonts w:ascii="宋体" w:hAnsi="宋体" w:cs="宋体"/>
                <w:color w:val="000000" w:themeColor="text1"/>
                <w:sz w:val="24"/>
                <w:szCs w:val="24"/>
                <w:highlight w:val="none"/>
                <w:lang w:eastAsia="zh-CN"/>
                <w14:textFill>
                  <w14:solidFill>
                    <w14:schemeClr w14:val="tx1"/>
                  </w14:solidFill>
                </w14:textFill>
              </w:rPr>
              <w:t>8</w:t>
            </w:r>
          </w:p>
        </w:tc>
        <w:tc>
          <w:tcPr>
            <w:tcW w:w="865" w:type="dxa"/>
            <w:vAlign w:val="center"/>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pacing w:val="-2"/>
                <w:sz w:val="24"/>
                <w:szCs w:val="24"/>
                <w:highlight w:val="none"/>
                <w14:textFill>
                  <w14:solidFill>
                    <w14:schemeClr w14:val="tx1"/>
                  </w14:solidFill>
                </w14:textFill>
              </w:rPr>
              <w:t>安全生产保障措</w:t>
            </w:r>
            <w:r>
              <w:rPr>
                <w:rFonts w:ascii="宋体" w:hAnsi="宋体"/>
                <w:color w:val="000000" w:themeColor="text1"/>
                <w:spacing w:val="-7"/>
                <w:sz w:val="24"/>
                <w:szCs w:val="24"/>
                <w:highlight w:val="none"/>
                <w14:textFill>
                  <w14:solidFill>
                    <w14:schemeClr w14:val="tx1"/>
                  </w14:solidFill>
                </w14:textFill>
              </w:rPr>
              <w:t>施</w:t>
            </w:r>
          </w:p>
        </w:tc>
        <w:tc>
          <w:tcPr>
            <w:tcW w:w="6780" w:type="dxa"/>
          </w:tcPr>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pacing w:val="-5"/>
                <w:sz w:val="24"/>
                <w:szCs w:val="24"/>
                <w:highlight w:val="none"/>
                <w14:textFill>
                  <w14:solidFill>
                    <w14:schemeClr w14:val="tx1"/>
                  </w14:solidFill>
                </w14:textFill>
              </w:rPr>
              <w:t>投标人提供安全生产保障措施，应结合</w:t>
            </w:r>
            <w:r>
              <w:rPr>
                <w:rFonts w:hint="eastAsia" w:ascii="宋体" w:hAnsi="宋体"/>
                <w:color w:val="000000" w:themeColor="text1"/>
                <w:spacing w:val="-5"/>
                <w:sz w:val="24"/>
                <w:szCs w:val="24"/>
                <w:highlight w:val="none"/>
                <w14:textFill>
                  <w14:solidFill>
                    <w14:schemeClr w14:val="tx1"/>
                  </w14:solidFill>
                </w14:textFill>
              </w:rPr>
              <w:t>焚烧灰渣处置场</w:t>
            </w:r>
            <w:r>
              <w:rPr>
                <w:rFonts w:ascii="宋体" w:hAnsi="宋体"/>
                <w:color w:val="000000" w:themeColor="text1"/>
                <w:spacing w:val="-5"/>
                <w:sz w:val="24"/>
                <w:szCs w:val="24"/>
                <w:highlight w:val="none"/>
                <w14:textFill>
                  <w14:solidFill>
                    <w14:schemeClr w14:val="tx1"/>
                  </w14:solidFill>
                </w14:textFill>
              </w:rPr>
              <w:t>飞灰吊装现有情况提供安全保障措施，</w:t>
            </w:r>
            <w:r>
              <w:rPr>
                <w:rFonts w:ascii="宋体" w:hAnsi="宋体"/>
                <w:color w:val="000000" w:themeColor="text1"/>
                <w:spacing w:val="-4"/>
                <w:sz w:val="24"/>
                <w:szCs w:val="24"/>
                <w:highlight w:val="none"/>
                <w14:textFill>
                  <w14:solidFill>
                    <w14:schemeClr w14:val="tx1"/>
                  </w14:solidFill>
                </w14:textFill>
              </w:rPr>
              <w:t>内容包括但不限于：明确安全生产责任制，责任到</w:t>
            </w:r>
            <w:r>
              <w:rPr>
                <w:rFonts w:ascii="宋体" w:hAnsi="宋体"/>
                <w:color w:val="000000" w:themeColor="text1"/>
                <w:spacing w:val="-5"/>
                <w:sz w:val="24"/>
                <w:szCs w:val="24"/>
                <w:highlight w:val="none"/>
                <w14:textFill>
                  <w14:solidFill>
                    <w14:schemeClr w14:val="tx1"/>
                  </w14:solidFill>
                </w14:textFill>
              </w:rPr>
              <w:t>人、规章制度建设、保障措施</w:t>
            </w:r>
            <w:r>
              <w:rPr>
                <w:rFonts w:ascii="宋体" w:hAnsi="宋体"/>
                <w:color w:val="000000" w:themeColor="text1"/>
                <w:spacing w:val="-1"/>
                <w:sz w:val="24"/>
                <w:szCs w:val="24"/>
                <w:highlight w:val="none"/>
                <w14:textFill>
                  <w14:solidFill>
                    <w14:schemeClr w14:val="tx1"/>
                  </w14:solidFill>
                </w14:textFill>
              </w:rPr>
              <w:t>实施、现场管理措施、突发情况应急演练方案、安全生产台账资料</w:t>
            </w:r>
            <w:r>
              <w:rPr>
                <w:rFonts w:hint="eastAsia" w:ascii="宋体" w:hAnsi="宋体"/>
                <w:color w:val="000000" w:themeColor="text1"/>
                <w:spacing w:val="-1"/>
                <w:sz w:val="24"/>
                <w:szCs w:val="24"/>
                <w:highlight w:val="none"/>
                <w14:textFill>
                  <w14:solidFill>
                    <w14:schemeClr w14:val="tx1"/>
                  </w14:solidFill>
                </w14:textFill>
              </w:rPr>
              <w:t>等</w:t>
            </w:r>
            <w:r>
              <w:rPr>
                <w:rFonts w:ascii="宋体" w:hAnsi="宋体"/>
                <w:color w:val="000000" w:themeColor="text1"/>
                <w:spacing w:val="-1"/>
                <w:sz w:val="24"/>
                <w:szCs w:val="24"/>
                <w:highlight w:val="none"/>
                <w14:textFill>
                  <w14:solidFill>
                    <w14:schemeClr w14:val="tx1"/>
                  </w14:solidFill>
                </w14:textFill>
              </w:rPr>
              <w:t>。</w:t>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pacing w:val="-5"/>
                <w:sz w:val="24"/>
                <w:szCs w:val="24"/>
                <w:highlight w:val="none"/>
                <w14:textFill>
                  <w14:solidFill>
                    <w14:schemeClr w14:val="tx1"/>
                  </w14:solidFill>
                </w14:textFill>
              </w:rPr>
              <w:t>（1）</w:t>
            </w:r>
            <w:r>
              <w:rPr>
                <w:rFonts w:ascii="宋体" w:hAnsi="宋体"/>
                <w:color w:val="000000" w:themeColor="text1"/>
                <w:spacing w:val="-5"/>
                <w:sz w:val="24"/>
                <w:szCs w:val="24"/>
                <w:highlight w:val="none"/>
                <w14:textFill>
                  <w14:solidFill>
                    <w14:schemeClr w14:val="tx1"/>
                  </w14:solidFill>
                </w14:textFill>
              </w:rPr>
              <w:t>安全生产保障措施描述准确、完整、合理、可行性强，人员配</w:t>
            </w:r>
            <w:r>
              <w:rPr>
                <w:rFonts w:ascii="宋体" w:hAnsi="宋体"/>
                <w:color w:val="000000" w:themeColor="text1"/>
                <w:spacing w:val="-6"/>
                <w:sz w:val="24"/>
                <w:szCs w:val="24"/>
                <w:highlight w:val="none"/>
                <w14:textFill>
                  <w14:solidFill>
                    <w14:schemeClr w14:val="tx1"/>
                  </w14:solidFill>
                </w14:textFill>
              </w:rPr>
              <w:t>置合理、分工明确、</w:t>
            </w:r>
            <w:r>
              <w:rPr>
                <w:rFonts w:ascii="宋体" w:hAnsi="宋体"/>
                <w:color w:val="000000" w:themeColor="text1"/>
                <w:spacing w:val="-4"/>
                <w:sz w:val="24"/>
                <w:szCs w:val="24"/>
                <w:highlight w:val="none"/>
                <w14:textFill>
                  <w14:solidFill>
                    <w14:schemeClr w14:val="tx1"/>
                  </w14:solidFill>
                </w14:textFill>
              </w:rPr>
              <w:t>责任清晰，规章制度完善，保障措施到位，台账资料建立合理完整的得8分；</w:t>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r>
              <w:rPr>
                <w:rFonts w:ascii="宋体" w:hAnsi="宋体"/>
                <w:color w:val="000000" w:themeColor="text1"/>
                <w:sz w:val="24"/>
                <w:szCs w:val="24"/>
                <w:highlight w:val="none"/>
                <w14:textFill>
                  <w14:solidFill>
                    <w14:schemeClr w14:val="tx1"/>
                  </w14:solidFill>
                </w14:textFill>
              </w:rPr>
              <w:t>安全生产保障措施描述基本准确、完整、合理，人员配置合理、分工明确、责任</w:t>
            </w:r>
            <w:r>
              <w:rPr>
                <w:rFonts w:ascii="宋体" w:hAnsi="宋体"/>
                <w:color w:val="000000" w:themeColor="text1"/>
                <w:spacing w:val="-8"/>
                <w:sz w:val="24"/>
                <w:szCs w:val="24"/>
                <w:highlight w:val="none"/>
                <w14:textFill>
                  <w14:solidFill>
                    <w14:schemeClr w14:val="tx1"/>
                  </w14:solidFill>
                </w14:textFill>
              </w:rPr>
              <w:t>清晰，有规章制度、保障措施，有台账资料建立体系的得5分；</w:t>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安全生产保障措施描述简单，人员配置简单，规章制度不完善，保障措施不到</w:t>
            </w:r>
            <w:r>
              <w:rPr>
                <w:rFonts w:ascii="宋体" w:hAnsi="宋体"/>
                <w:color w:val="000000" w:themeColor="text1"/>
                <w:spacing w:val="-6"/>
                <w:sz w:val="24"/>
                <w:szCs w:val="24"/>
                <w:highlight w:val="none"/>
                <w14:textFill>
                  <w14:solidFill>
                    <w14:schemeClr w14:val="tx1"/>
                  </w14:solidFill>
                </w14:textFill>
              </w:rPr>
              <w:t>位，台账资料建立简单的得2分</w:t>
            </w:r>
            <w:r>
              <w:rPr>
                <w:rFonts w:hint="eastAsia" w:ascii="宋体" w:hAnsi="宋体"/>
                <w:color w:val="000000" w:themeColor="text1"/>
                <w:spacing w:val="-6"/>
                <w:sz w:val="24"/>
                <w:szCs w:val="24"/>
                <w:highlight w:val="none"/>
                <w14:textFill>
                  <w14:solidFill>
                    <w14:schemeClr w14:val="tx1"/>
                  </w14:solidFill>
                </w14:textFill>
              </w:rPr>
              <w:t>；</w:t>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pacing w:val="-4"/>
                <w:sz w:val="24"/>
                <w:szCs w:val="24"/>
                <w:highlight w:val="none"/>
                <w14:textFill>
                  <w14:solidFill>
                    <w14:schemeClr w14:val="tx1"/>
                  </w14:solidFill>
                </w14:textFill>
              </w:rPr>
              <w:t>（4）</w:t>
            </w:r>
            <w:r>
              <w:rPr>
                <w:rFonts w:ascii="宋体" w:hAnsi="宋体"/>
                <w:color w:val="000000" w:themeColor="text1"/>
                <w:spacing w:val="-4"/>
                <w:sz w:val="24"/>
                <w:szCs w:val="24"/>
                <w:highlight w:val="none"/>
                <w14:textFill>
                  <w14:solidFill>
                    <w14:schemeClr w14:val="tx1"/>
                  </w14:solidFill>
                </w14:textFill>
              </w:rPr>
              <w:t>未提供不得分</w:t>
            </w:r>
            <w:r>
              <w:rPr>
                <w:rFonts w:hint="eastAsia" w:ascii="宋体" w:hAnsi="宋体"/>
                <w:color w:val="000000" w:themeColor="text1"/>
                <w:spacing w:val="-4"/>
                <w:sz w:val="24"/>
                <w:szCs w:val="24"/>
                <w:highlight w:val="none"/>
                <w14:textFill>
                  <w14:solidFill>
                    <w14:schemeClr w14:val="tx1"/>
                  </w14:solidFill>
                </w14:textFill>
              </w:rPr>
              <w:t>。</w:t>
            </w:r>
          </w:p>
        </w:tc>
        <w:tc>
          <w:tcPr>
            <w:tcW w:w="500" w:type="dxa"/>
            <w:vAlign w:val="center"/>
          </w:tcPr>
          <w:p>
            <w:pPr>
              <w:spacing w:line="360" w:lineRule="exact"/>
              <w:jc w:val="center"/>
              <w:rPr>
                <w:rFonts w:ascii="宋体"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8</w:t>
            </w:r>
            <w:r>
              <w:rPr>
                <w:rFonts w:hint="eastAsia" w:ascii="宋体" w:hAnsi="宋体"/>
                <w:color w:val="000000" w:themeColor="text1"/>
                <w:sz w:val="24"/>
                <w:szCs w:val="24"/>
                <w:highlight w:val="none"/>
                <w14:textFill>
                  <w14:solidFill>
                    <w14:schemeClr w14:val="tx1"/>
                  </w14:solidFill>
                </w14:textFill>
              </w:rPr>
              <w:t>.0</w:t>
            </w:r>
          </w:p>
        </w:tc>
      </w:tr>
    </w:tbl>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bookmarkEnd w:id="143"/>
    </w:p>
    <w:p>
      <w:pPr>
        <w:widowControl/>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（三）价格评估</w:t>
      </w:r>
    </w:p>
    <w:tbl>
      <w:tblPr>
        <w:tblStyle w:val="39"/>
        <w:tblW w:w="4987" w:type="pct"/>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610"/>
        <w:gridCol w:w="820"/>
        <w:gridCol w:w="6324"/>
        <w:gridCol w:w="74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06" w:type="dxa"/>
            <w:tcMar>
              <w:top w:w="100" w:type="dxa"/>
              <w:bottom w:w="100" w:type="dxa"/>
            </w:tcMar>
            <w:vAlign w:val="center"/>
          </w:tcPr>
          <w:p>
            <w:pPr>
              <w:pStyle w:val="1586"/>
              <w:jc w:val="center"/>
              <w:rPr>
                <w:rFonts w:ascii="宋体" w:hAnsi="宋体" w:eastAsia="宋体" w:cs="宋体"/>
                <w:color w:val="000000" w:themeColor="text1"/>
                <w:highlight w:val="none"/>
                <w14:textFill>
                  <w14:solidFill>
                    <w14:schemeClr w14:val="tx1"/>
                  </w14:solidFill>
                </w14:textFill>
              </w:rPr>
            </w:pPr>
            <w:bookmarkStart w:id="144" w:name="EB106c42a64f014223a8cdd057d1897c82"/>
            <w:r>
              <w:rPr>
                <w:rFonts w:ascii="宋体" w:hAnsi="宋体" w:eastAsia="宋体" w:cs="宋体"/>
                <w:color w:val="000000" w:themeColor="text1"/>
                <w:highlight w:val="none"/>
                <w14:textFill>
                  <w14:solidFill>
                    <w14:schemeClr w14:val="tx1"/>
                  </w14:solidFill>
                </w14:textFill>
              </w:rPr>
              <w:t>序号</w:t>
            </w:r>
          </w:p>
        </w:tc>
        <w:tc>
          <w:tcPr>
            <w:tcW w:w="815" w:type="dxa"/>
            <w:tcMar>
              <w:top w:w="100" w:type="dxa"/>
              <w:bottom w:w="100" w:type="dxa"/>
            </w:tcMar>
            <w:vAlign w:val="center"/>
          </w:tcPr>
          <w:p>
            <w:pPr>
              <w:pStyle w:val="1586"/>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评审因素</w:t>
            </w:r>
          </w:p>
        </w:tc>
        <w:tc>
          <w:tcPr>
            <w:tcW w:w="6338" w:type="dxa"/>
            <w:tcMar>
              <w:top w:w="100" w:type="dxa"/>
              <w:bottom w:w="100" w:type="dxa"/>
            </w:tcMar>
            <w:vAlign w:val="center"/>
          </w:tcPr>
          <w:p>
            <w:pPr>
              <w:pStyle w:val="1586"/>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评审细则</w:t>
            </w:r>
          </w:p>
        </w:tc>
        <w:tc>
          <w:tcPr>
            <w:tcW w:w="742" w:type="dxa"/>
            <w:tcMar>
              <w:top w:w="100" w:type="dxa"/>
              <w:bottom w:w="100" w:type="dxa"/>
            </w:tcMar>
            <w:vAlign w:val="center"/>
          </w:tcPr>
          <w:p>
            <w:pPr>
              <w:pStyle w:val="1586"/>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759" w:type="dxa"/>
            <w:gridSpan w:val="3"/>
            <w:tcMar>
              <w:top w:w="100" w:type="dxa"/>
              <w:bottom w:w="100" w:type="dxa"/>
            </w:tcMar>
            <w:vAlign w:val="center"/>
          </w:tcPr>
          <w:p>
            <w:pPr>
              <w:pStyle w:val="1586"/>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投标报价得分</w:t>
            </w:r>
          </w:p>
        </w:tc>
        <w:tc>
          <w:tcPr>
            <w:tcW w:w="742" w:type="dxa"/>
            <w:tcMar>
              <w:top w:w="100" w:type="dxa"/>
              <w:bottom w:w="100" w:type="dxa"/>
            </w:tcMar>
            <w:vAlign w:val="center"/>
          </w:tcPr>
          <w:p>
            <w:pPr>
              <w:pStyle w:val="1586"/>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ascii="宋体" w:hAnsi="宋体" w:eastAsia="宋体" w:cs="宋体"/>
                <w:color w:val="000000" w:themeColor="text1"/>
                <w:highlight w:val="none"/>
                <w14:textFill>
                  <w14:solidFill>
                    <w14:schemeClr w14:val="tx1"/>
                  </w14:solidFill>
                </w14:textFill>
              </w:rPr>
              <w:t>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06" w:type="dxa"/>
            <w:tcMar>
              <w:top w:w="100" w:type="dxa"/>
              <w:bottom w:w="100" w:type="dxa"/>
            </w:tcMar>
            <w:vAlign w:val="center"/>
          </w:tcPr>
          <w:p>
            <w:pPr>
              <w:pStyle w:val="1586"/>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w:t>
            </w:r>
            <w:r>
              <w:rPr>
                <w:rFonts w:ascii="宋体" w:hAnsi="宋体" w:eastAsia="宋体" w:cs="宋体"/>
                <w:color w:val="000000" w:themeColor="text1"/>
                <w:highlight w:val="none"/>
                <w14:textFill>
                  <w14:solidFill>
                    <w14:schemeClr w14:val="tx1"/>
                  </w14:solidFill>
                </w14:textFill>
              </w:rPr>
              <w:t>.1</w:t>
            </w:r>
          </w:p>
        </w:tc>
        <w:tc>
          <w:tcPr>
            <w:tcW w:w="815" w:type="dxa"/>
            <w:tcMar>
              <w:top w:w="100" w:type="dxa"/>
              <w:bottom w:w="100" w:type="dxa"/>
            </w:tcMar>
            <w:vAlign w:val="center"/>
          </w:tcPr>
          <w:p>
            <w:pPr>
              <w:pStyle w:val="1586"/>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投标报价</w:t>
            </w:r>
          </w:p>
        </w:tc>
        <w:tc>
          <w:tcPr>
            <w:tcW w:w="6338" w:type="dxa"/>
            <w:tcMar>
              <w:top w:w="100" w:type="dxa"/>
              <w:bottom w:w="100" w:type="dxa"/>
            </w:tcMar>
            <w:vAlign w:val="center"/>
          </w:tcPr>
          <w:p>
            <w:pPr>
              <w:pStyle w:val="1586"/>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价格得分采用低价优先法计算，即通过评审且投标价格最低的投标报价为评标基准价，其价格评估得分为10分；其他投标人的价格分按照下列公式计算（小数点保留两位）：投标报价得分＝（评标基准价/投标报价）×10分。</w:t>
            </w:r>
          </w:p>
        </w:tc>
        <w:tc>
          <w:tcPr>
            <w:tcW w:w="742" w:type="dxa"/>
            <w:tcMar>
              <w:top w:w="100" w:type="dxa"/>
              <w:bottom w:w="100" w:type="dxa"/>
            </w:tcMar>
            <w:vAlign w:val="center"/>
          </w:tcPr>
          <w:p>
            <w:pPr>
              <w:pStyle w:val="1586"/>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ascii="宋体" w:hAnsi="宋体" w:eastAsia="宋体" w:cs="宋体"/>
                <w:color w:val="000000" w:themeColor="text1"/>
                <w:highlight w:val="none"/>
                <w14:textFill>
                  <w14:solidFill>
                    <w14:schemeClr w14:val="tx1"/>
                  </w14:solidFill>
                </w14:textFill>
              </w:rPr>
              <w:t>0.0</w:t>
            </w:r>
          </w:p>
        </w:tc>
      </w:tr>
      <w:bookmarkEnd w:id="141"/>
      <w:bookmarkEnd w:id="144"/>
    </w:tbl>
    <w:p>
      <w:pPr>
        <w:pStyle w:val="206"/>
        <w:keepNext w:val="0"/>
        <w:keepLines w:val="0"/>
        <w:spacing w:before="200" w:after="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9.相同品牌产品的处理原则</w:t>
      </w:r>
    </w:p>
    <w:p>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9.1 非单一产品采购项目，招标人应当根据采购项目技术构成、产品价格比重等合理确定核心产品。本项目核心产品见采购需求。</w:t>
      </w:r>
    </w:p>
    <w:p>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9.2 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招标人委托评标委员会按照技术指标优劣顺序确定一个投标人获得中标投标人推荐资格，其他同品牌投标人不作为中标候选人。采用最低评标价法的采购项目，提供相同品牌产品的不同投标人参加同一合同项下投标的，以其中通过资格审查、符合性审查且报价最低的参加评标；报价相同的，由招标人或者招标人委托评标委员会按照招标文件规定的方式确定一个参加评标的投标人，招标文件未规定的采取随机抽取方式确定，其他投标无效。</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10.允许修改评标结果的情形</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10.1 评标结果汇总完成后，除下列情形外，任何人不得修改评标结果：</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（1）分值汇总计算错误的；</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（2）分项评分超出评分标准范围的；</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（3）评标委员会成员对客观评审因素评分不一致的；</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（4）经评标委员会认定评分畸高、畸低的。</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评标报告签署前，经复核发现存在以上情形之一的，评标委员会应当当场修改评标结果，并在评标报告中记载；评标报告签署后，招标人或者招标代理机构发现存在以上情形之一的，应当组织原评标委员会进行重新评审，重新评审改变评标结果的，书面报告本级财政部门。</w:t>
      </w:r>
    </w:p>
    <w:p>
      <w:pPr>
        <w:pStyle w:val="206"/>
        <w:keepNext w:val="0"/>
        <w:keepLines w:val="0"/>
        <w:spacing w:before="200" w:after="200" w:line="360" w:lineRule="auto"/>
        <w:ind w:firstLine="446"/>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11.推荐中标候选人</w:t>
      </w:r>
    </w:p>
    <w:p>
      <w:pPr>
        <w:widowControl/>
        <w:spacing w:line="360" w:lineRule="auto"/>
        <w:ind w:firstLine="420"/>
        <w:jc w:val="left"/>
        <w:rPr>
          <w:rFonts w:ascii="宋体" w:hAnsi="宋体"/>
          <w:color w:val="000000" w:themeColor="text1"/>
          <w:highlight w:val="none"/>
          <w14:textFill>
            <w14:solidFill>
              <w14:schemeClr w14:val="tx1"/>
            </w14:solidFill>
          </w14:textFill>
        </w:rPr>
      </w:pPr>
      <w:bookmarkStart w:id="145" w:name="EBe3d073c7a09944299975a333a1fea417"/>
      <w:r>
        <w:rPr>
          <w:rFonts w:hint="eastAsia" w:ascii="宋体" w:hAnsi="宋体"/>
          <w:color w:val="000000" w:themeColor="text1"/>
          <w:sz w:val="24"/>
          <w:highlight w:val="none"/>
          <w14:textFill>
            <w14:solidFill>
              <w14:schemeClr w14:val="tx1"/>
            </w14:solidFill>
          </w14:textFill>
        </w:rPr>
        <w:t>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145"/>
    </w:p>
    <w:p>
      <w:pPr>
        <w:pStyle w:val="1301"/>
        <w:keepNext/>
        <w:keepLines/>
        <w:pageBreakBefore/>
        <w:widowControl w:val="0"/>
        <w:spacing w:after="240"/>
        <w:ind w:left="889" w:hanging="889"/>
        <w:jc w:val="center"/>
        <w:rPr>
          <w:rFonts w:ascii="宋体" w:eastAsia="宋体"/>
          <w:color w:val="000000" w:themeColor="text1"/>
          <w:highlight w:val="none"/>
          <w14:textFill>
            <w14:solidFill>
              <w14:schemeClr w14:val="tx1"/>
            </w14:solidFill>
          </w14:textFill>
        </w:rPr>
      </w:pPr>
      <w:bookmarkStart w:id="146" w:name="_Toc152531547"/>
      <w:r>
        <w:rPr>
          <w:rFonts w:hint="eastAsia" w:ascii="宋体" w:eastAsia="宋体"/>
          <w:color w:val="000000" w:themeColor="text1"/>
          <w:highlight w:val="none"/>
          <w14:textFill>
            <w14:solidFill>
              <w14:schemeClr w14:val="tx1"/>
            </w14:solidFill>
          </w14:textFill>
        </w:rPr>
        <w:t>第六部分  投标文件（格式）</w:t>
      </w:r>
      <w:bookmarkEnd w:id="146"/>
    </w:p>
    <w:p>
      <w:pPr>
        <w:rPr>
          <w:rFonts w:ascii="宋体" w:hAnsi="宋体"/>
          <w:color w:val="000000" w:themeColor="text1"/>
          <w:highlight w:val="none"/>
          <w14:textFill>
            <w14:solidFill>
              <w14:schemeClr w14:val="tx1"/>
            </w14:solidFill>
          </w14:textFill>
        </w:rPr>
      </w:pPr>
    </w:p>
    <w:p>
      <w:pPr>
        <w:rPr>
          <w:rFonts w:ascii="宋体" w:hAnsi="宋体"/>
          <w:color w:val="000000" w:themeColor="text1"/>
          <w:highlight w:val="none"/>
          <w14:textFill>
            <w14:solidFill>
              <w14:schemeClr w14:val="tx1"/>
            </w14:solidFill>
          </w14:textFill>
        </w:rPr>
      </w:pPr>
    </w:p>
    <w:p>
      <w:pPr>
        <w:rPr>
          <w:rFonts w:ascii="宋体" w:hAnsi="宋体"/>
          <w:color w:val="000000" w:themeColor="text1"/>
          <w:highlight w:val="none"/>
          <w14:textFill>
            <w14:solidFill>
              <w14:schemeClr w14:val="tx1"/>
            </w14:solidFill>
          </w14:textFill>
        </w:rPr>
      </w:pPr>
    </w:p>
    <w:p>
      <w:pPr>
        <w:rPr>
          <w:rFonts w:ascii="宋体" w:hAnsi="宋体"/>
          <w:color w:val="000000" w:themeColor="text1"/>
          <w:highlight w:val="none"/>
          <w14:textFill>
            <w14:solidFill>
              <w14:schemeClr w14:val="tx1"/>
            </w14:solidFill>
          </w14:textFill>
        </w:rPr>
      </w:pPr>
    </w:p>
    <w:p>
      <w:pPr>
        <w:rPr>
          <w:rFonts w:ascii="宋体" w:hAnsi="宋体"/>
          <w:color w:val="000000" w:themeColor="text1"/>
          <w:highlight w:val="none"/>
          <w14:textFill>
            <w14:solidFill>
              <w14:schemeClr w14:val="tx1"/>
            </w14:solidFill>
          </w14:textFill>
        </w:rPr>
      </w:pPr>
    </w:p>
    <w:p>
      <w:pPr>
        <w:rPr>
          <w:rFonts w:ascii="宋体" w:hAnsi="宋体"/>
          <w:color w:val="000000" w:themeColor="text1"/>
          <w:highlight w:val="none"/>
          <w14:textFill>
            <w14:solidFill>
              <w14:schemeClr w14:val="tx1"/>
            </w14:solidFill>
          </w14:textFill>
        </w:rPr>
      </w:pPr>
    </w:p>
    <w:p>
      <w:pPr>
        <w:rPr>
          <w:rFonts w:ascii="宋体" w:hAnsi="宋体"/>
          <w:color w:val="000000" w:themeColor="text1"/>
          <w:highlight w:val="none"/>
          <w14:textFill>
            <w14:solidFill>
              <w14:schemeClr w14:val="tx1"/>
            </w14:solidFill>
          </w14:textFill>
        </w:rPr>
      </w:pPr>
    </w:p>
    <w:p>
      <w:pPr>
        <w:rPr>
          <w:rFonts w:ascii="宋体" w:hAnsi="宋体"/>
          <w:color w:val="000000" w:themeColor="text1"/>
          <w:highlight w:val="none"/>
          <w14:textFill>
            <w14:solidFill>
              <w14:schemeClr w14:val="tx1"/>
            </w14:solidFill>
          </w14:textFill>
        </w:rPr>
      </w:pPr>
    </w:p>
    <w:p>
      <w:pPr>
        <w:rPr>
          <w:rFonts w:ascii="宋体" w:hAnsi="宋体"/>
          <w:color w:val="000000" w:themeColor="text1"/>
          <w:highlight w:val="none"/>
          <w14:textFill>
            <w14:solidFill>
              <w14:schemeClr w14:val="tx1"/>
            </w14:solidFill>
          </w14:textFill>
        </w:rPr>
      </w:pPr>
    </w:p>
    <w:p>
      <w:pPr>
        <w:rPr>
          <w:rFonts w:ascii="宋体" w:hAnsi="宋体"/>
          <w:color w:val="000000" w:themeColor="text1"/>
          <w:highlight w:val="none"/>
          <w14:textFill>
            <w14:solidFill>
              <w14:schemeClr w14:val="tx1"/>
            </w14:solidFill>
          </w14:textFill>
        </w:rPr>
      </w:pPr>
    </w:p>
    <w:p>
      <w:pPr>
        <w:rPr>
          <w:rFonts w:ascii="宋体" w:hAnsi="宋体"/>
          <w:color w:val="000000" w:themeColor="text1"/>
          <w:highlight w:val="none"/>
          <w14:textFill>
            <w14:solidFill>
              <w14:schemeClr w14:val="tx1"/>
            </w14:solidFill>
          </w14:textFill>
        </w:rPr>
      </w:pPr>
    </w:p>
    <w:p>
      <w:pPr>
        <w:rPr>
          <w:rFonts w:ascii="宋体" w:hAnsi="宋体"/>
          <w:color w:val="000000" w:themeColor="text1"/>
          <w:highlight w:val="none"/>
          <w14:textFill>
            <w14:solidFill>
              <w14:schemeClr w14:val="tx1"/>
            </w14:solidFill>
          </w14:textFill>
        </w:rPr>
      </w:pPr>
    </w:p>
    <w:p>
      <w:pPr>
        <w:rPr>
          <w:rFonts w:ascii="宋体" w:hAnsi="宋体"/>
          <w:color w:val="000000" w:themeColor="text1"/>
          <w:highlight w:val="none"/>
          <w14:textFill>
            <w14:solidFill>
              <w14:schemeClr w14:val="tx1"/>
            </w14:solidFill>
          </w14:textFill>
        </w:rPr>
      </w:pPr>
    </w:p>
    <w:p>
      <w:pPr>
        <w:pStyle w:val="1591"/>
        <w:spacing w:before="540" w:after="540"/>
        <w:jc w:val="center"/>
        <w:rPr>
          <w:rFonts w:ascii="宋体" w:hAnsi="宋体" w:eastAsia="宋体" w:cs="宋体"/>
          <w:color w:val="000000" w:themeColor="text1"/>
          <w:sz w:val="54"/>
          <w:szCs w:val="54"/>
          <w:highlight w:val="none"/>
          <w14:textFill>
            <w14:solidFill>
              <w14:schemeClr w14:val="tx1"/>
            </w14:solidFill>
          </w14:textFill>
        </w:rPr>
      </w:pPr>
      <w:r>
        <w:rPr>
          <w:rFonts w:ascii="宋体" w:hAnsi="宋体" w:eastAsia="宋体" w:cs="宋体"/>
          <w:color w:val="000000" w:themeColor="text1"/>
          <w:sz w:val="54"/>
          <w:szCs w:val="54"/>
          <w:highlight w:val="none"/>
          <w14:textFill>
            <w14:solidFill>
              <w14:schemeClr w14:val="tx1"/>
            </w14:solidFill>
          </w14:textFill>
        </w:rPr>
        <w:t>投  标</w:t>
      </w:r>
      <w:r>
        <w:rPr>
          <w:rFonts w:hint="eastAsia" w:ascii="宋体" w:hAnsi="宋体" w:eastAsia="宋体" w:cs="宋体"/>
          <w:color w:val="000000" w:themeColor="text1"/>
          <w:sz w:val="54"/>
          <w:szCs w:val="54"/>
          <w:highlight w:val="none"/>
          <w14:textFill>
            <w14:solidFill>
              <w14:schemeClr w14:val="tx1"/>
            </w14:solidFill>
          </w14:textFill>
        </w:rPr>
        <w:t xml:space="preserve"> </w:t>
      </w:r>
      <w:r>
        <w:rPr>
          <w:rFonts w:ascii="宋体" w:hAnsi="宋体" w:eastAsia="宋体" w:cs="宋体"/>
          <w:color w:val="000000" w:themeColor="text1"/>
          <w:sz w:val="54"/>
          <w:szCs w:val="54"/>
          <w:highlight w:val="none"/>
          <w14:textFill>
            <w14:solidFill>
              <w14:schemeClr w14:val="tx1"/>
            </w14:solidFill>
          </w14:textFill>
        </w:rPr>
        <w:t>文 件</w:t>
      </w:r>
    </w:p>
    <w:p>
      <w:pPr>
        <w:pStyle w:val="1591"/>
        <w:spacing w:before="320" w:after="320"/>
        <w:jc w:val="center"/>
        <w:rPr>
          <w:rFonts w:ascii="宋体" w:hAnsi="宋体" w:eastAsia="宋体" w:cs="宋体"/>
          <w:color w:val="000000" w:themeColor="text1"/>
          <w:sz w:val="32"/>
          <w:szCs w:val="32"/>
          <w:highlight w:val="none"/>
          <w14:textFill>
            <w14:solidFill>
              <w14:schemeClr w14:val="tx1"/>
            </w14:solidFill>
          </w14:textFill>
        </w:rPr>
      </w:pPr>
    </w:p>
    <w:p>
      <w:pPr>
        <w:pStyle w:val="1591"/>
        <w:spacing w:before="320" w:after="320"/>
        <w:jc w:val="center"/>
        <w:rPr>
          <w:rFonts w:ascii="宋体" w:hAnsi="宋体" w:eastAsia="宋体" w:cs="宋体"/>
          <w:color w:val="000000" w:themeColor="text1"/>
          <w:sz w:val="32"/>
          <w:szCs w:val="32"/>
          <w:highlight w:val="none"/>
          <w14:textFill>
            <w14:solidFill>
              <w14:schemeClr w14:val="tx1"/>
            </w14:solidFill>
          </w14:textFill>
        </w:rPr>
      </w:pPr>
      <w:r>
        <w:rPr>
          <w:rFonts w:ascii="宋体" w:hAnsi="宋体" w:eastAsia="宋体" w:cs="宋体"/>
          <w:color w:val="000000" w:themeColor="text1"/>
          <w:sz w:val="32"/>
          <w:szCs w:val="32"/>
          <w:highlight w:val="none"/>
          <w14:textFill>
            <w14:solidFill>
              <w14:schemeClr w14:val="tx1"/>
            </w14:solidFill>
          </w14:textFill>
        </w:rPr>
        <w:t>项目编号：</w:t>
      </w:r>
    </w:p>
    <w:p>
      <w:pPr>
        <w:pStyle w:val="1591"/>
        <w:spacing w:before="320" w:after="320"/>
        <w:jc w:val="center"/>
        <w:rPr>
          <w:rFonts w:ascii="宋体" w:hAnsi="宋体" w:eastAsia="宋体" w:cs="宋体"/>
          <w:color w:val="000000" w:themeColor="text1"/>
          <w:sz w:val="32"/>
          <w:szCs w:val="32"/>
          <w:highlight w:val="none"/>
          <w14:textFill>
            <w14:solidFill>
              <w14:schemeClr w14:val="tx1"/>
            </w14:solidFill>
          </w14:textFill>
        </w:rPr>
      </w:pPr>
      <w:r>
        <w:rPr>
          <w:rFonts w:ascii="宋体" w:hAnsi="宋体" w:eastAsia="宋体" w:cs="宋体"/>
          <w:color w:val="000000" w:themeColor="text1"/>
          <w:sz w:val="32"/>
          <w:szCs w:val="32"/>
          <w:highlight w:val="none"/>
          <w14:textFill>
            <w14:solidFill>
              <w14:schemeClr w14:val="tx1"/>
            </w14:solidFill>
          </w14:textFill>
        </w:rPr>
        <w:t>项目名称：</w:t>
      </w:r>
    </w:p>
    <w:p>
      <w:pPr>
        <w:pStyle w:val="1591"/>
        <w:spacing w:before="320" w:after="320"/>
        <w:jc w:val="center"/>
        <w:rPr>
          <w:rFonts w:ascii="宋体" w:hAnsi="宋体" w:eastAsia="宋体" w:cs="宋体"/>
          <w:color w:val="000000" w:themeColor="text1"/>
          <w:sz w:val="32"/>
          <w:szCs w:val="32"/>
          <w:highlight w:val="none"/>
          <w14:textFill>
            <w14:solidFill>
              <w14:schemeClr w14:val="tx1"/>
            </w14:solidFill>
          </w14:textFill>
        </w:rPr>
      </w:pPr>
      <w:r>
        <w:rPr>
          <w:rFonts w:ascii="宋体" w:hAnsi="宋体" w:eastAsia="宋体" w:cs="宋体"/>
          <w:color w:val="000000" w:themeColor="text1"/>
          <w:sz w:val="32"/>
          <w:szCs w:val="32"/>
          <w:highlight w:val="none"/>
          <w14:textFill>
            <w14:solidFill>
              <w14:schemeClr w14:val="tx1"/>
            </w14:solidFill>
          </w14:textFill>
        </w:rPr>
        <w:t>投 标 人（公章）：</w:t>
      </w:r>
    </w:p>
    <w:p>
      <w:pPr>
        <w:pStyle w:val="1591"/>
        <w:spacing w:before="320" w:after="320"/>
        <w:jc w:val="center"/>
        <w:rPr>
          <w:rFonts w:ascii="宋体" w:hAnsi="宋体" w:eastAsia="宋体" w:cs="宋体"/>
          <w:color w:val="000000" w:themeColor="text1"/>
          <w:sz w:val="32"/>
          <w:szCs w:val="32"/>
          <w:highlight w:val="none"/>
          <w14:textFill>
            <w14:solidFill>
              <w14:schemeClr w14:val="tx1"/>
            </w14:solidFill>
          </w14:textFill>
        </w:rPr>
      </w:pPr>
      <w:r>
        <w:rPr>
          <w:rFonts w:ascii="宋体" w:hAnsi="宋体" w:eastAsia="宋体" w:cs="宋体"/>
          <w:color w:val="000000" w:themeColor="text1"/>
          <w:sz w:val="32"/>
          <w:szCs w:val="32"/>
          <w:highlight w:val="none"/>
          <w14:textFill>
            <w14:solidFill>
              <w14:schemeClr w14:val="tx1"/>
            </w14:solidFill>
          </w14:textFill>
        </w:rPr>
        <w:t>日  期：</w:t>
      </w:r>
    </w:p>
    <w:p>
      <w:pPr>
        <w:pStyle w:val="1592"/>
        <w:jc w:val="center"/>
        <w:outlineLvl w:val="1"/>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clear="all"/>
      </w:r>
      <w:bookmarkStart w:id="147" w:name="_Toc152531548"/>
      <w:bookmarkStart w:id="148" w:name="_Toc151931405"/>
      <w:bookmarkStart w:id="149" w:name="_Toc256000022"/>
      <w:bookmarkStart w:id="150" w:name="_Toc148961834"/>
      <w:r>
        <w:rPr>
          <w:rFonts w:ascii="宋体" w:hAnsi="宋体" w:eastAsia="宋体" w:cs="宋体"/>
          <w:color w:val="000000" w:themeColor="text1"/>
          <w:sz w:val="32"/>
          <w:highlight w:val="none"/>
          <w14:textFill>
            <w14:solidFill>
              <w14:schemeClr w14:val="tx1"/>
            </w14:solidFill>
          </w14:textFill>
        </w:rPr>
        <w:t>一、资格部分</w:t>
      </w:r>
      <w:bookmarkEnd w:id="147"/>
      <w:bookmarkEnd w:id="148"/>
      <w:bookmarkEnd w:id="149"/>
      <w:bookmarkEnd w:id="150"/>
    </w:p>
    <w:p>
      <w:pPr>
        <w:pStyle w:val="1593"/>
        <w:jc w:val="center"/>
        <w:outlineLvl w:val="2"/>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clear="all"/>
      </w:r>
      <w:r>
        <w:rPr>
          <w:rFonts w:ascii="宋体" w:hAnsi="宋体" w:eastAsia="宋体" w:cs="宋体"/>
          <w:color w:val="000000" w:themeColor="text1"/>
          <w:sz w:val="28"/>
          <w:highlight w:val="none"/>
          <w14:textFill>
            <w14:solidFill>
              <w14:schemeClr w14:val="tx1"/>
            </w14:solidFill>
          </w14:textFill>
        </w:rPr>
        <w:t>(一)投标函</w:t>
      </w:r>
    </w:p>
    <w:p>
      <w:pPr>
        <w:pStyle w:val="1594"/>
        <w:spacing w:before="240" w:after="240"/>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u w:val="single"/>
          <w14:textFill>
            <w14:solidFill>
              <w14:schemeClr w14:val="tx1"/>
            </w14:solidFill>
          </w14:textFill>
        </w:rPr>
        <w:t>（采购代理）</w:t>
      </w:r>
      <w:r>
        <w:rPr>
          <w:rFonts w:ascii="宋体" w:hAnsi="宋体" w:eastAsia="宋体" w:cs="宋体"/>
          <w:color w:val="000000" w:themeColor="text1"/>
          <w:highlight w:val="none"/>
          <w:u w:val="single"/>
          <w14:textFill>
            <w14:solidFill>
              <w14:schemeClr w14:val="tx1"/>
            </w14:solidFill>
          </w14:textFill>
        </w:rPr>
        <w:t>：</w:t>
      </w:r>
    </w:p>
    <w:p>
      <w:pPr>
        <w:pStyle w:val="1594"/>
        <w:spacing w:before="240" w:after="240"/>
        <w:ind w:firstLine="48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根据贵方关于</w:t>
      </w:r>
      <w:r>
        <w:rPr>
          <w:rFonts w:hint="eastAsia" w:ascii="宋体" w:hAnsi="宋体" w:eastAsia="宋体" w:cs="宋体"/>
          <w:color w:val="000000" w:themeColor="text1"/>
          <w:highlight w:val="none"/>
          <w:u w:val="single"/>
          <w14:textFill>
            <w14:solidFill>
              <w14:schemeClr w14:val="tx1"/>
            </w14:solidFill>
          </w14:textFill>
        </w:rPr>
        <w:t>（项目名称）、</w:t>
      </w:r>
      <w:r>
        <w:rPr>
          <w:rFonts w:ascii="宋体" w:hAnsi="宋体" w:eastAsia="宋体" w:cs="宋体"/>
          <w:color w:val="000000" w:themeColor="text1"/>
          <w:highlight w:val="none"/>
          <w:u w:val="single"/>
          <w14:textFill>
            <w14:solidFill>
              <w14:schemeClr w14:val="tx1"/>
            </w14:solidFill>
          </w14:textFill>
        </w:rPr>
        <w:t>（项目编号）</w:t>
      </w:r>
      <w:r>
        <w:rPr>
          <w:rFonts w:ascii="宋体" w:hAnsi="宋体" w:eastAsia="宋体" w:cs="宋体"/>
          <w:color w:val="000000" w:themeColor="text1"/>
          <w:highlight w:val="none"/>
          <w14:textFill>
            <w14:solidFill>
              <w14:schemeClr w14:val="tx1"/>
            </w14:solidFill>
          </w14:textFill>
        </w:rPr>
        <w:t>的投标邀请，我方已完全理解招标文件的所有内容。</w:t>
      </w:r>
    </w:p>
    <w:p>
      <w:pPr>
        <w:pStyle w:val="1594"/>
        <w:spacing w:before="240" w:after="240"/>
        <w:ind w:firstLine="48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据此函，我方兹宣布同意如下：</w:t>
      </w:r>
    </w:p>
    <w:p>
      <w:pPr>
        <w:pStyle w:val="1594"/>
        <w:spacing w:before="240" w:after="240"/>
        <w:ind w:firstLine="48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1．按招标文件规定提供货物（服务）的唯一投标报价见开标一览表。</w:t>
      </w:r>
    </w:p>
    <w:p>
      <w:pPr>
        <w:pStyle w:val="1594"/>
        <w:spacing w:before="240" w:after="240"/>
        <w:ind w:firstLine="48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2．我方承诺根据招标文件的规定，完成合同义务，并承担责任（如有偏离，在投标文件中另作说明）。</w:t>
      </w:r>
    </w:p>
    <w:p>
      <w:pPr>
        <w:pStyle w:val="1594"/>
        <w:spacing w:before="240" w:after="240"/>
        <w:ind w:firstLine="48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3．我方已详读全部招标文件，包括招标文件书面修改通知（如果有的话），我方完全理解并同意放弃对这方面不明及误解的权利。</w:t>
      </w:r>
    </w:p>
    <w:p>
      <w:pPr>
        <w:pStyle w:val="1594"/>
        <w:spacing w:before="240" w:after="240"/>
        <w:ind w:firstLine="48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4．我方已详读全部投标文件，保证提供的投标文件及所有材料的完整、真实、合法、有效性并对其负责，承诺在评审期间，如评标委员会对我方提出澄清要求，将及时作出响应，否则自行承担后果。</w:t>
      </w:r>
    </w:p>
    <w:p>
      <w:pPr>
        <w:pStyle w:val="1594"/>
        <w:spacing w:before="240" w:after="240"/>
        <w:ind w:firstLine="48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5．我方同意从规定的招标日期起遵循本招标文件，并在规定的投标有效期期满之前均具有约束力。</w:t>
      </w:r>
    </w:p>
    <w:p>
      <w:pPr>
        <w:pStyle w:val="1594"/>
        <w:spacing w:before="240" w:after="240"/>
        <w:ind w:firstLine="48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6．我方同意向贵方提供贵方可能要求的与本投标有关的任何证据或资料。</w:t>
      </w:r>
    </w:p>
    <w:p>
      <w:pPr>
        <w:pStyle w:val="1594"/>
        <w:spacing w:before="240" w:after="240"/>
        <w:ind w:firstLine="48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7．我方知道如用虚假材料或恶意方式向贵方提出质疑，将承担相应的法律责任。同时承诺：我方如果有上述行为，将无条件承担贵方相关的调查论证费用。</w:t>
      </w:r>
    </w:p>
    <w:p>
      <w:pPr>
        <w:pStyle w:val="1594"/>
        <w:spacing w:before="240" w:after="240"/>
        <w:ind w:firstLine="48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8．我方承诺：参加政府采购活动前三年内，在经营活动中没有重大违法记录。</w:t>
      </w:r>
    </w:p>
    <w:p>
      <w:pPr>
        <w:pStyle w:val="1594"/>
        <w:spacing w:before="240" w:after="240"/>
        <w:ind w:firstLine="48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9．本次投标文件内容与招标文件内容偏离情况见偏离说明（如果有）。</w:t>
      </w:r>
    </w:p>
    <w:p>
      <w:pPr>
        <w:pStyle w:val="1594"/>
        <w:spacing w:before="240" w:after="240"/>
        <w:ind w:firstLine="48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10．遵守招标文件中要求的收费项目和标准。</w:t>
      </w:r>
    </w:p>
    <w:p>
      <w:pPr>
        <w:pStyle w:val="1594"/>
        <w:spacing w:before="240" w:after="240"/>
        <w:ind w:firstLine="48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11．与本投标有关的一切正式往来通讯请寄：</w:t>
      </w:r>
    </w:p>
    <w:p>
      <w:pPr>
        <w:pStyle w:val="1594"/>
        <w:spacing w:before="240" w:after="240"/>
        <w:ind w:firstLine="960" w:firstLineChars="40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地址：           电话：</w:t>
      </w:r>
    </w:p>
    <w:p>
      <w:pPr>
        <w:pStyle w:val="1594"/>
        <w:spacing w:before="240" w:after="240"/>
        <w:ind w:firstLine="960" w:firstLineChars="40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传真：           邮政编码：</w:t>
      </w:r>
    </w:p>
    <w:p>
      <w:pPr>
        <w:pStyle w:val="1594"/>
        <w:spacing w:before="240" w:after="240"/>
        <w:ind w:firstLine="5280" w:firstLineChars="220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投标人</w:t>
      </w:r>
      <w:r>
        <w:rPr>
          <w:rFonts w:ascii="宋体" w:hAnsi="宋体" w:eastAsia="宋体" w:cs="宋体"/>
          <w:color w:val="000000" w:themeColor="text1"/>
          <w:highlight w:val="none"/>
          <w14:textFill>
            <w14:solidFill>
              <w14:schemeClr w14:val="tx1"/>
            </w14:solidFill>
          </w14:textFill>
        </w:rPr>
        <w:t>（公章）：</w:t>
      </w:r>
    </w:p>
    <w:p>
      <w:pPr>
        <w:pStyle w:val="1594"/>
        <w:spacing w:before="240" w:after="240"/>
        <w:ind w:firstLine="4080" w:firstLineChars="170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法定代表人</w:t>
      </w:r>
      <w:r>
        <w:rPr>
          <w:rFonts w:hint="eastAsia" w:ascii="宋体" w:hAnsi="宋体" w:eastAsia="宋体" w:cs="宋体"/>
          <w:color w:val="000000" w:themeColor="text1"/>
          <w:highlight w:val="none"/>
          <w14:textFill>
            <w14:solidFill>
              <w14:schemeClr w14:val="tx1"/>
            </w14:solidFill>
          </w14:textFill>
        </w:rPr>
        <w:t>或授权代表</w:t>
      </w:r>
      <w:r>
        <w:rPr>
          <w:rFonts w:ascii="宋体" w:hAnsi="宋体" w:eastAsia="宋体" w:cs="宋体"/>
          <w:color w:val="000000" w:themeColor="text1"/>
          <w:highlight w:val="none"/>
          <w14:textFill>
            <w14:solidFill>
              <w14:schemeClr w14:val="tx1"/>
            </w14:solidFill>
          </w14:textFill>
        </w:rPr>
        <w:t>签章：</w:t>
      </w:r>
    </w:p>
    <w:p>
      <w:pPr>
        <w:pStyle w:val="1594"/>
        <w:spacing w:before="240" w:after="240"/>
        <w:ind w:firstLine="6480" w:firstLineChars="270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日 期：</w:t>
      </w:r>
    </w:p>
    <w:p>
      <w:pPr>
        <w:pStyle w:val="1595"/>
        <w:jc w:val="center"/>
        <w:outlineLvl w:val="2"/>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clear="all"/>
      </w:r>
      <w:r>
        <w:rPr>
          <w:rFonts w:ascii="宋体" w:hAnsi="宋体" w:eastAsia="宋体" w:cs="宋体"/>
          <w:color w:val="000000" w:themeColor="text1"/>
          <w:sz w:val="28"/>
          <w:highlight w:val="none"/>
          <w14:textFill>
            <w14:solidFill>
              <w14:schemeClr w14:val="tx1"/>
            </w14:solidFill>
          </w14:textFill>
        </w:rPr>
        <w:t>(二)独立承担民事责任的能力</w:t>
      </w:r>
    </w:p>
    <w:p>
      <w:pPr>
        <w:pStyle w:val="1596"/>
        <w:jc w:val="center"/>
        <w:outlineLvl w:val="2"/>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clear="all"/>
      </w:r>
      <w:r>
        <w:rPr>
          <w:rFonts w:ascii="宋体" w:hAnsi="宋体" w:eastAsia="宋体" w:cs="宋体"/>
          <w:color w:val="000000" w:themeColor="text1"/>
          <w:sz w:val="28"/>
          <w:highlight w:val="none"/>
          <w14:textFill>
            <w14:solidFill>
              <w14:schemeClr w14:val="tx1"/>
            </w14:solidFill>
          </w14:textFill>
        </w:rPr>
        <w:t>(三)良好的商业信誉和健全的财务会计制度</w:t>
      </w:r>
    </w:p>
    <w:p>
      <w:pPr>
        <w:pStyle w:val="1597"/>
        <w:jc w:val="center"/>
        <w:outlineLvl w:val="2"/>
        <w:rPr>
          <w:rFonts w:ascii="宋体" w:hAnsi="宋体" w:eastAsia="宋体" w:cs="宋体"/>
          <w:color w:val="000000" w:themeColor="text1"/>
          <w:sz w:val="28"/>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clear="all"/>
      </w:r>
      <w:r>
        <w:rPr>
          <w:rFonts w:ascii="宋体" w:hAnsi="宋体" w:eastAsia="宋体" w:cs="宋体"/>
          <w:color w:val="000000" w:themeColor="text1"/>
          <w:sz w:val="28"/>
          <w:highlight w:val="none"/>
          <w14:textFill>
            <w14:solidFill>
              <w14:schemeClr w14:val="tx1"/>
            </w14:solidFill>
          </w14:textFill>
        </w:rPr>
        <w:t>(四)履行合同所必需的设备和专业技术能力</w:t>
      </w:r>
    </w:p>
    <w:tbl>
      <w:tblPr>
        <w:tblStyle w:val="3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9"/>
        <w:gridCol w:w="1954"/>
        <w:gridCol w:w="1109"/>
        <w:gridCol w:w="208"/>
        <w:gridCol w:w="630"/>
        <w:gridCol w:w="545"/>
        <w:gridCol w:w="857"/>
        <w:gridCol w:w="562"/>
        <w:gridCol w:w="517"/>
        <w:gridCol w:w="120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jc w:val="center"/>
        </w:trPr>
        <w:tc>
          <w:tcPr>
            <w:tcW w:w="819" w:type="dxa"/>
            <w:shd w:val="clear" w:color="auto" w:fill="D9D9D9"/>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br w:type="page" w:clear="all"/>
            </w:r>
            <w:r>
              <w:rPr>
                <w:rFonts w:hint="eastAsia" w:ascii="宋体" w:hAnsi="宋体"/>
                <w:b/>
                <w:color w:val="000000" w:themeColor="text1"/>
                <w:highlight w:val="none"/>
                <w14:textFill>
                  <w14:solidFill>
                    <w14:schemeClr w14:val="tx1"/>
                  </w14:solidFill>
                </w14:textFill>
              </w:rPr>
              <w:t>一</w:t>
            </w:r>
          </w:p>
        </w:tc>
        <w:tc>
          <w:tcPr>
            <w:tcW w:w="7704" w:type="dxa"/>
            <w:gridSpan w:val="9"/>
            <w:shd w:val="clear" w:color="auto" w:fill="D9D9D9"/>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公司基本信息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jc w:val="center"/>
        </w:trPr>
        <w:tc>
          <w:tcPr>
            <w:tcW w:w="819" w:type="dxa"/>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w:t>
            </w:r>
          </w:p>
        </w:tc>
        <w:tc>
          <w:tcPr>
            <w:tcW w:w="1983" w:type="dxa"/>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公司名称</w:t>
            </w:r>
          </w:p>
        </w:tc>
        <w:tc>
          <w:tcPr>
            <w:tcW w:w="5721" w:type="dxa"/>
            <w:gridSpan w:val="8"/>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jc w:val="center"/>
        </w:trPr>
        <w:tc>
          <w:tcPr>
            <w:tcW w:w="819" w:type="dxa"/>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w:t>
            </w:r>
          </w:p>
        </w:tc>
        <w:tc>
          <w:tcPr>
            <w:tcW w:w="1983" w:type="dxa"/>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注册资金</w:t>
            </w:r>
          </w:p>
        </w:tc>
        <w:tc>
          <w:tcPr>
            <w:tcW w:w="1134" w:type="dxa"/>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p>
        </w:tc>
        <w:tc>
          <w:tcPr>
            <w:tcW w:w="850" w:type="dxa"/>
            <w:gridSpan w:val="2"/>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w:t>
            </w:r>
          </w:p>
        </w:tc>
        <w:tc>
          <w:tcPr>
            <w:tcW w:w="1985" w:type="dxa"/>
            <w:gridSpan w:val="3"/>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公司地址</w:t>
            </w:r>
          </w:p>
        </w:tc>
        <w:tc>
          <w:tcPr>
            <w:tcW w:w="1752" w:type="dxa"/>
            <w:gridSpan w:val="2"/>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819" w:type="dxa"/>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w:t>
            </w:r>
          </w:p>
        </w:tc>
        <w:tc>
          <w:tcPr>
            <w:tcW w:w="1983" w:type="dxa"/>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从业人数</w:t>
            </w:r>
          </w:p>
        </w:tc>
        <w:tc>
          <w:tcPr>
            <w:tcW w:w="1134" w:type="dxa"/>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p>
        </w:tc>
        <w:tc>
          <w:tcPr>
            <w:tcW w:w="850" w:type="dxa"/>
            <w:gridSpan w:val="2"/>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5</w:t>
            </w:r>
          </w:p>
        </w:tc>
        <w:tc>
          <w:tcPr>
            <w:tcW w:w="1985" w:type="dxa"/>
            <w:gridSpan w:val="3"/>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法定代表人</w:t>
            </w:r>
          </w:p>
        </w:tc>
        <w:tc>
          <w:tcPr>
            <w:tcW w:w="1752" w:type="dxa"/>
            <w:gridSpan w:val="2"/>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819" w:type="dxa"/>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6</w:t>
            </w:r>
          </w:p>
        </w:tc>
        <w:tc>
          <w:tcPr>
            <w:tcW w:w="1983" w:type="dxa"/>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开户银行</w:t>
            </w:r>
          </w:p>
        </w:tc>
        <w:tc>
          <w:tcPr>
            <w:tcW w:w="1134" w:type="dxa"/>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p>
        </w:tc>
        <w:tc>
          <w:tcPr>
            <w:tcW w:w="850" w:type="dxa"/>
            <w:gridSpan w:val="2"/>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7</w:t>
            </w:r>
          </w:p>
        </w:tc>
        <w:tc>
          <w:tcPr>
            <w:tcW w:w="1985" w:type="dxa"/>
            <w:gridSpan w:val="3"/>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账号</w:t>
            </w:r>
          </w:p>
        </w:tc>
        <w:tc>
          <w:tcPr>
            <w:tcW w:w="1752" w:type="dxa"/>
            <w:gridSpan w:val="2"/>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819" w:type="dxa"/>
            <w:tcBorders>
              <w:bottom w:val="single" w:color="000000" w:sz="4" w:space="0"/>
            </w:tcBorders>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8</w:t>
            </w:r>
          </w:p>
        </w:tc>
        <w:tc>
          <w:tcPr>
            <w:tcW w:w="1983" w:type="dxa"/>
            <w:tcBorders>
              <w:bottom w:val="single" w:color="000000" w:sz="4" w:space="0"/>
            </w:tcBorders>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项目联系人</w:t>
            </w:r>
          </w:p>
        </w:tc>
        <w:tc>
          <w:tcPr>
            <w:tcW w:w="1134" w:type="dxa"/>
            <w:tcBorders>
              <w:bottom w:val="single" w:color="000000" w:sz="4" w:space="0"/>
            </w:tcBorders>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p>
        </w:tc>
        <w:tc>
          <w:tcPr>
            <w:tcW w:w="850" w:type="dxa"/>
            <w:gridSpan w:val="2"/>
            <w:tcBorders>
              <w:bottom w:val="single" w:color="000000" w:sz="4" w:space="0"/>
            </w:tcBorders>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9</w:t>
            </w:r>
          </w:p>
        </w:tc>
        <w:tc>
          <w:tcPr>
            <w:tcW w:w="1985" w:type="dxa"/>
            <w:gridSpan w:val="3"/>
            <w:tcBorders>
              <w:bottom w:val="single" w:color="000000" w:sz="4" w:space="0"/>
            </w:tcBorders>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联系电话</w:t>
            </w:r>
          </w:p>
        </w:tc>
        <w:tc>
          <w:tcPr>
            <w:tcW w:w="1752" w:type="dxa"/>
            <w:gridSpan w:val="2"/>
            <w:tcBorders>
              <w:bottom w:val="single" w:color="000000" w:sz="4" w:space="0"/>
            </w:tcBorders>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819" w:type="dxa"/>
            <w:shd w:val="clear" w:color="auto" w:fill="D9D9D9"/>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二</w:t>
            </w:r>
          </w:p>
        </w:tc>
        <w:tc>
          <w:tcPr>
            <w:tcW w:w="7704" w:type="dxa"/>
            <w:gridSpan w:val="9"/>
            <w:shd w:val="clear" w:color="auto" w:fill="D9D9D9"/>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公司财务状况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819" w:type="dxa"/>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（一）</w:t>
            </w:r>
          </w:p>
        </w:tc>
        <w:tc>
          <w:tcPr>
            <w:tcW w:w="7704" w:type="dxa"/>
            <w:gridSpan w:val="9"/>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u w:val="single"/>
                <w14:textFill>
                  <w14:solidFill>
                    <w14:schemeClr w14:val="tx1"/>
                  </w14:solidFill>
                </w14:textFill>
              </w:rPr>
              <w:t>2</w:t>
            </w:r>
            <w:r>
              <w:rPr>
                <w:rFonts w:ascii="宋体" w:hAnsi="宋体"/>
                <w:b/>
                <w:color w:val="000000" w:themeColor="text1"/>
                <w:highlight w:val="none"/>
                <w:u w:val="single"/>
                <w14:textFill>
                  <w14:solidFill>
                    <w14:schemeClr w14:val="tx1"/>
                  </w14:solidFill>
                </w14:textFill>
              </w:rPr>
              <w:t>02</w:t>
            </w:r>
            <w:r>
              <w:rPr>
                <w:rFonts w:hint="eastAsia" w:ascii="宋体" w:hAnsi="宋体"/>
                <w:b/>
                <w:color w:val="000000" w:themeColor="text1"/>
                <w:highlight w:val="none"/>
                <w:u w:val="single"/>
                <w14:textFill>
                  <w14:solidFill>
                    <w14:schemeClr w14:val="tx1"/>
                  </w14:solidFill>
                </w14:textFill>
              </w:rPr>
              <w:t>2</w:t>
            </w:r>
            <w:r>
              <w:rPr>
                <w:rFonts w:hint="eastAsia" w:ascii="宋体" w:hAnsi="宋体"/>
                <w:b/>
                <w:color w:val="000000" w:themeColor="text1"/>
                <w:highlight w:val="none"/>
                <w14:textFill>
                  <w14:solidFill>
                    <w14:schemeClr w14:val="tx1"/>
                  </w14:solidFill>
                </w14:textFill>
              </w:rPr>
              <w:t>年度财务状况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jc w:val="center"/>
        </w:trPr>
        <w:tc>
          <w:tcPr>
            <w:tcW w:w="819" w:type="dxa"/>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w:t>
            </w:r>
          </w:p>
        </w:tc>
        <w:tc>
          <w:tcPr>
            <w:tcW w:w="1983" w:type="dxa"/>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营业收入（万）</w:t>
            </w:r>
          </w:p>
        </w:tc>
        <w:tc>
          <w:tcPr>
            <w:tcW w:w="1134" w:type="dxa"/>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p>
        </w:tc>
        <w:tc>
          <w:tcPr>
            <w:tcW w:w="850" w:type="dxa"/>
            <w:gridSpan w:val="2"/>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w:t>
            </w:r>
          </w:p>
        </w:tc>
        <w:tc>
          <w:tcPr>
            <w:tcW w:w="1985" w:type="dxa"/>
            <w:gridSpan w:val="3"/>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利润总额（万）</w:t>
            </w:r>
          </w:p>
        </w:tc>
        <w:tc>
          <w:tcPr>
            <w:tcW w:w="1752" w:type="dxa"/>
            <w:gridSpan w:val="2"/>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3" w:hRule="atLeast"/>
          <w:jc w:val="center"/>
        </w:trPr>
        <w:tc>
          <w:tcPr>
            <w:tcW w:w="819" w:type="dxa"/>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w:t>
            </w:r>
          </w:p>
        </w:tc>
        <w:tc>
          <w:tcPr>
            <w:tcW w:w="1983" w:type="dxa"/>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年末“固定资产合计”（万）</w:t>
            </w:r>
          </w:p>
        </w:tc>
        <w:tc>
          <w:tcPr>
            <w:tcW w:w="1134" w:type="dxa"/>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p>
        </w:tc>
        <w:tc>
          <w:tcPr>
            <w:tcW w:w="850" w:type="dxa"/>
            <w:gridSpan w:val="2"/>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w:t>
            </w:r>
          </w:p>
        </w:tc>
        <w:tc>
          <w:tcPr>
            <w:tcW w:w="1985" w:type="dxa"/>
            <w:gridSpan w:val="3"/>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年末“流动资产”余额（万）</w:t>
            </w:r>
          </w:p>
        </w:tc>
        <w:tc>
          <w:tcPr>
            <w:tcW w:w="1752" w:type="dxa"/>
            <w:gridSpan w:val="2"/>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jc w:val="center"/>
        </w:trPr>
        <w:tc>
          <w:tcPr>
            <w:tcW w:w="819" w:type="dxa"/>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5</w:t>
            </w:r>
          </w:p>
        </w:tc>
        <w:tc>
          <w:tcPr>
            <w:tcW w:w="1983" w:type="dxa"/>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年末“短期负债”余额（万）</w:t>
            </w:r>
          </w:p>
        </w:tc>
        <w:tc>
          <w:tcPr>
            <w:tcW w:w="1134" w:type="dxa"/>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p>
        </w:tc>
        <w:tc>
          <w:tcPr>
            <w:tcW w:w="850" w:type="dxa"/>
            <w:gridSpan w:val="2"/>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6</w:t>
            </w:r>
          </w:p>
        </w:tc>
        <w:tc>
          <w:tcPr>
            <w:tcW w:w="1985" w:type="dxa"/>
            <w:gridSpan w:val="3"/>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年末“长期负债”余额（万）</w:t>
            </w:r>
          </w:p>
        </w:tc>
        <w:tc>
          <w:tcPr>
            <w:tcW w:w="1752" w:type="dxa"/>
            <w:gridSpan w:val="2"/>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jc w:val="center"/>
        </w:trPr>
        <w:tc>
          <w:tcPr>
            <w:tcW w:w="819" w:type="dxa"/>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7</w:t>
            </w:r>
          </w:p>
        </w:tc>
        <w:tc>
          <w:tcPr>
            <w:tcW w:w="1983" w:type="dxa"/>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年末“资产总计”余额（万）</w:t>
            </w:r>
          </w:p>
        </w:tc>
        <w:tc>
          <w:tcPr>
            <w:tcW w:w="1134" w:type="dxa"/>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p>
        </w:tc>
        <w:tc>
          <w:tcPr>
            <w:tcW w:w="850" w:type="dxa"/>
            <w:gridSpan w:val="2"/>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8</w:t>
            </w:r>
          </w:p>
        </w:tc>
        <w:tc>
          <w:tcPr>
            <w:tcW w:w="1985" w:type="dxa"/>
            <w:gridSpan w:val="3"/>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年末“货币资金”余额（万）</w:t>
            </w:r>
          </w:p>
        </w:tc>
        <w:tc>
          <w:tcPr>
            <w:tcW w:w="1752" w:type="dxa"/>
            <w:gridSpan w:val="2"/>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819" w:type="dxa"/>
            <w:shd w:val="clear" w:color="auto" w:fill="D9D9D9"/>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三</w:t>
            </w:r>
          </w:p>
        </w:tc>
        <w:tc>
          <w:tcPr>
            <w:tcW w:w="7704" w:type="dxa"/>
            <w:gridSpan w:val="9"/>
            <w:shd w:val="clear" w:color="auto" w:fill="D9D9D9"/>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投标人其他信息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jc w:val="center"/>
        </w:trPr>
        <w:tc>
          <w:tcPr>
            <w:tcW w:w="819" w:type="dxa"/>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（一）</w:t>
            </w:r>
          </w:p>
        </w:tc>
        <w:tc>
          <w:tcPr>
            <w:tcW w:w="1983" w:type="dxa"/>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公司取得的相关资质及等级</w:t>
            </w:r>
          </w:p>
        </w:tc>
        <w:tc>
          <w:tcPr>
            <w:tcW w:w="5721" w:type="dxa"/>
            <w:gridSpan w:val="8"/>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jc w:val="center"/>
        </w:trPr>
        <w:tc>
          <w:tcPr>
            <w:tcW w:w="819" w:type="dxa"/>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（二）</w:t>
            </w:r>
          </w:p>
        </w:tc>
        <w:tc>
          <w:tcPr>
            <w:tcW w:w="1983" w:type="dxa"/>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公司获得的荣誉及表彰情况</w:t>
            </w:r>
          </w:p>
        </w:tc>
        <w:tc>
          <w:tcPr>
            <w:tcW w:w="5721" w:type="dxa"/>
            <w:gridSpan w:val="8"/>
            <w:vAlign w:val="center"/>
          </w:tcPr>
          <w:p>
            <w:pPr>
              <w:pStyle w:val="1599"/>
              <w:spacing w:line="240" w:lineRule="auto"/>
              <w:ind w:firstLine="0"/>
              <w:jc w:val="center"/>
              <w:rPr>
                <w:rFonts w:ascii="宋体" w:hAnsi="宋体"/>
                <w:color w:val="000000" w:themeColor="text1"/>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819" w:type="dxa"/>
            <w:shd w:val="clear" w:color="auto" w:fill="BFBFB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四</w:t>
            </w:r>
          </w:p>
        </w:tc>
        <w:tc>
          <w:tcPr>
            <w:tcW w:w="7704" w:type="dxa"/>
            <w:gridSpan w:val="9"/>
            <w:shd w:val="clear" w:color="auto" w:fill="BFBFB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提供本项目服务所必须的专业设备一览表（必填）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jc w:val="center"/>
        </w:trPr>
        <w:tc>
          <w:tcPr>
            <w:tcW w:w="819" w:type="dxa"/>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序号</w:t>
            </w:r>
          </w:p>
        </w:tc>
        <w:tc>
          <w:tcPr>
            <w:tcW w:w="3328" w:type="dxa"/>
            <w:gridSpan w:val="3"/>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品牌、型号及主要参数配置简述</w:t>
            </w:r>
          </w:p>
        </w:tc>
        <w:tc>
          <w:tcPr>
            <w:tcW w:w="1195" w:type="dxa"/>
            <w:gridSpan w:val="2"/>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购置年份</w:t>
            </w:r>
          </w:p>
        </w:tc>
        <w:tc>
          <w:tcPr>
            <w:tcW w:w="861" w:type="dxa"/>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价格</w:t>
            </w:r>
          </w:p>
        </w:tc>
        <w:tc>
          <w:tcPr>
            <w:tcW w:w="1097" w:type="dxa"/>
            <w:gridSpan w:val="2"/>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数量</w:t>
            </w:r>
          </w:p>
        </w:tc>
        <w:tc>
          <w:tcPr>
            <w:tcW w:w="1223" w:type="dxa"/>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用途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jc w:val="center"/>
        </w:trPr>
        <w:tc>
          <w:tcPr>
            <w:tcW w:w="819" w:type="dxa"/>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1</w:t>
            </w:r>
          </w:p>
        </w:tc>
        <w:tc>
          <w:tcPr>
            <w:tcW w:w="3328" w:type="dxa"/>
            <w:gridSpan w:val="3"/>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p>
        </w:tc>
        <w:tc>
          <w:tcPr>
            <w:tcW w:w="1195" w:type="dxa"/>
            <w:gridSpan w:val="2"/>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p>
        </w:tc>
        <w:tc>
          <w:tcPr>
            <w:tcW w:w="861" w:type="dxa"/>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p>
        </w:tc>
        <w:tc>
          <w:tcPr>
            <w:tcW w:w="1097" w:type="dxa"/>
            <w:gridSpan w:val="2"/>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p>
        </w:tc>
        <w:tc>
          <w:tcPr>
            <w:tcW w:w="1223" w:type="dxa"/>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jc w:val="center"/>
        </w:trPr>
        <w:tc>
          <w:tcPr>
            <w:tcW w:w="819" w:type="dxa"/>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2</w:t>
            </w:r>
          </w:p>
        </w:tc>
        <w:tc>
          <w:tcPr>
            <w:tcW w:w="3328" w:type="dxa"/>
            <w:gridSpan w:val="3"/>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p>
        </w:tc>
        <w:tc>
          <w:tcPr>
            <w:tcW w:w="1195" w:type="dxa"/>
            <w:gridSpan w:val="2"/>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p>
        </w:tc>
        <w:tc>
          <w:tcPr>
            <w:tcW w:w="861" w:type="dxa"/>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p>
        </w:tc>
        <w:tc>
          <w:tcPr>
            <w:tcW w:w="1097" w:type="dxa"/>
            <w:gridSpan w:val="2"/>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p>
        </w:tc>
        <w:tc>
          <w:tcPr>
            <w:tcW w:w="1223" w:type="dxa"/>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jc w:val="center"/>
        </w:trPr>
        <w:tc>
          <w:tcPr>
            <w:tcW w:w="819" w:type="dxa"/>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3</w:t>
            </w:r>
          </w:p>
        </w:tc>
        <w:tc>
          <w:tcPr>
            <w:tcW w:w="3328" w:type="dxa"/>
            <w:gridSpan w:val="3"/>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p>
        </w:tc>
        <w:tc>
          <w:tcPr>
            <w:tcW w:w="1195" w:type="dxa"/>
            <w:gridSpan w:val="2"/>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p>
        </w:tc>
        <w:tc>
          <w:tcPr>
            <w:tcW w:w="861" w:type="dxa"/>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p>
        </w:tc>
        <w:tc>
          <w:tcPr>
            <w:tcW w:w="1097" w:type="dxa"/>
            <w:gridSpan w:val="2"/>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p>
        </w:tc>
        <w:tc>
          <w:tcPr>
            <w:tcW w:w="1223" w:type="dxa"/>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819" w:type="dxa"/>
            <w:tcBorders>
              <w:bottom w:val="single" w:color="000000" w:sz="4" w:space="0"/>
            </w:tcBorders>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t>…</w:t>
            </w:r>
          </w:p>
        </w:tc>
        <w:tc>
          <w:tcPr>
            <w:tcW w:w="3328" w:type="dxa"/>
            <w:gridSpan w:val="3"/>
            <w:tcBorders>
              <w:bottom w:val="single" w:color="000000" w:sz="4" w:space="0"/>
            </w:tcBorders>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p>
        </w:tc>
        <w:tc>
          <w:tcPr>
            <w:tcW w:w="1195" w:type="dxa"/>
            <w:gridSpan w:val="2"/>
            <w:tcBorders>
              <w:bottom w:val="single" w:color="000000" w:sz="4" w:space="0"/>
            </w:tcBorders>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p>
        </w:tc>
        <w:tc>
          <w:tcPr>
            <w:tcW w:w="861" w:type="dxa"/>
            <w:tcBorders>
              <w:bottom w:val="single" w:color="000000" w:sz="4" w:space="0"/>
            </w:tcBorders>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p>
        </w:tc>
        <w:tc>
          <w:tcPr>
            <w:tcW w:w="1097" w:type="dxa"/>
            <w:gridSpan w:val="2"/>
            <w:tcBorders>
              <w:bottom w:val="single" w:color="000000" w:sz="4" w:space="0"/>
            </w:tcBorders>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p>
        </w:tc>
        <w:tc>
          <w:tcPr>
            <w:tcW w:w="1223" w:type="dxa"/>
            <w:tcBorders>
              <w:bottom w:val="single" w:color="000000" w:sz="4" w:space="0"/>
            </w:tcBorders>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jc w:val="center"/>
        </w:trPr>
        <w:tc>
          <w:tcPr>
            <w:tcW w:w="819" w:type="dxa"/>
            <w:shd w:val="clear" w:color="auto" w:fill="BFBFB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五</w:t>
            </w:r>
          </w:p>
        </w:tc>
        <w:tc>
          <w:tcPr>
            <w:tcW w:w="7704" w:type="dxa"/>
            <w:gridSpan w:val="9"/>
            <w:shd w:val="clear" w:color="auto" w:fill="BFBFB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提供本项目服务所必须的专业技术能力（必填）</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0" w:hRule="atLeast"/>
          <w:jc w:val="center"/>
        </w:trPr>
        <w:tc>
          <w:tcPr>
            <w:tcW w:w="8523" w:type="dxa"/>
            <w:gridSpan w:val="10"/>
            <w:shd w:val="clear" w:color="auto" w:fill="FFFFFF"/>
            <w:vAlign w:val="center"/>
          </w:tcPr>
          <w:p>
            <w:pPr>
              <w:pStyle w:val="1599"/>
              <w:spacing w:line="240" w:lineRule="auto"/>
              <w:ind w:firstLine="0"/>
              <w:jc w:val="center"/>
              <w:rPr>
                <w:rFonts w:ascii="宋体" w:hAnsi="宋体"/>
                <w:b/>
                <w:color w:val="000000" w:themeColor="text1"/>
                <w:highlight w:val="none"/>
                <w14:textFill>
                  <w14:solidFill>
                    <w14:schemeClr w14:val="tx1"/>
                  </w14:solidFill>
                </w14:textFill>
              </w:rPr>
            </w:pPr>
          </w:p>
        </w:tc>
      </w:tr>
    </w:tbl>
    <w:p>
      <w:pPr>
        <w:pStyle w:val="1598"/>
        <w:spacing w:before="240"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注：1、</w:t>
      </w:r>
      <w:r>
        <w:rPr>
          <w:rFonts w:hint="eastAsia" w:ascii="宋体" w:hAnsi="宋体"/>
          <w:color w:val="000000" w:themeColor="text1"/>
          <w:sz w:val="24"/>
          <w:highlight w:val="none"/>
          <w:u w:val="single"/>
          <w14:textFill>
            <w14:solidFill>
              <w14:schemeClr w14:val="tx1"/>
            </w14:solidFill>
          </w14:textFill>
        </w:rPr>
        <w:t>如行数不够请自行添加。</w:t>
      </w:r>
    </w:p>
    <w:p>
      <w:pPr>
        <w:pStyle w:val="1638"/>
        <w:spacing w:line="360" w:lineRule="auto"/>
        <w:ind w:firstLine="48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u w:val="single"/>
          <w14:textFill>
            <w14:solidFill>
              <w14:schemeClr w14:val="tx1"/>
            </w14:solidFill>
          </w14:textFill>
        </w:rPr>
        <w:t>根据需要进行填写。</w:t>
      </w:r>
    </w:p>
    <w:p>
      <w:pPr>
        <w:pStyle w:val="1601"/>
        <w:jc w:val="center"/>
        <w:outlineLvl w:val="2"/>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clear="all"/>
      </w:r>
      <w:r>
        <w:rPr>
          <w:rFonts w:ascii="宋体" w:hAnsi="宋体" w:eastAsia="宋体" w:cs="宋体"/>
          <w:color w:val="000000" w:themeColor="text1"/>
          <w:sz w:val="28"/>
          <w:highlight w:val="none"/>
          <w14:textFill>
            <w14:solidFill>
              <w14:schemeClr w14:val="tx1"/>
            </w14:solidFill>
          </w14:textFill>
        </w:rPr>
        <w:t>(五)依法缴纳税收和社会保障资金的良好记录</w:t>
      </w:r>
    </w:p>
    <w:p>
      <w:pPr>
        <w:pStyle w:val="1602"/>
        <w:jc w:val="center"/>
        <w:outlineLvl w:val="2"/>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clear="all"/>
      </w:r>
      <w:r>
        <w:rPr>
          <w:rFonts w:ascii="宋体" w:hAnsi="宋体" w:eastAsia="宋体" w:cs="宋体"/>
          <w:color w:val="000000" w:themeColor="text1"/>
          <w:sz w:val="28"/>
          <w:highlight w:val="none"/>
          <w14:textFill>
            <w14:solidFill>
              <w14:schemeClr w14:val="tx1"/>
            </w14:solidFill>
          </w14:textFill>
        </w:rPr>
        <w:t>(六)资格承诺函</w:t>
      </w:r>
    </w:p>
    <w:p>
      <w:pPr>
        <w:pStyle w:val="1603"/>
        <w:widowControl/>
        <w:shd w:val="clear" w:color="auto" w:fill="FFFFFF"/>
        <w:spacing w:line="560" w:lineRule="exact"/>
        <w:jc w:val="lef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致：</w:t>
      </w:r>
      <w:r>
        <w:rPr>
          <w:rFonts w:hint="eastAsia" w:ascii="宋体" w:hAnsi="宋体" w:cs="宋体"/>
          <w:color w:val="000000" w:themeColor="text1"/>
          <w:sz w:val="28"/>
          <w:szCs w:val="28"/>
          <w:highlight w:val="none"/>
          <w:u w:val="single"/>
          <w14:textFill>
            <w14:solidFill>
              <w14:schemeClr w14:val="tx1"/>
            </w14:solidFill>
          </w14:textFill>
        </w:rPr>
        <w:t>（招标人、招标代理机构）</w:t>
      </w:r>
    </w:p>
    <w:p>
      <w:pPr>
        <w:pStyle w:val="1603"/>
        <w:widowControl/>
        <w:shd w:val="clear" w:color="auto" w:fill="FFFFFF"/>
        <w:spacing w:line="560" w:lineRule="exact"/>
        <w:ind w:firstLine="640"/>
        <w:jc w:val="lef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我单位参与</w:t>
      </w:r>
      <w:r>
        <w:rPr>
          <w:rFonts w:hint="eastAsia" w:ascii="宋体" w:hAnsi="宋体" w:cs="宋体"/>
          <w:color w:val="000000" w:themeColor="text1"/>
          <w:sz w:val="28"/>
          <w:szCs w:val="28"/>
          <w:highlight w:val="none"/>
          <w:u w:val="single"/>
          <w14:textFill>
            <w14:solidFill>
              <w14:schemeClr w14:val="tx1"/>
            </w14:solidFill>
          </w14:textFill>
        </w:rPr>
        <w:t>（项目名称）、（项目编号）</w:t>
      </w:r>
      <w:r>
        <w:rPr>
          <w:rFonts w:hint="eastAsia" w:ascii="宋体" w:hAnsi="宋体" w:cs="宋体"/>
          <w:color w:val="000000" w:themeColor="text1"/>
          <w:sz w:val="28"/>
          <w:szCs w:val="28"/>
          <w:highlight w:val="none"/>
          <w14:textFill>
            <w14:solidFill>
              <w14:schemeClr w14:val="tx1"/>
            </w14:solidFill>
          </w14:textFill>
        </w:rPr>
        <w:t>项目的政府采购活动，现承诺如下：</w:t>
      </w:r>
    </w:p>
    <w:p>
      <w:pPr>
        <w:pStyle w:val="1603"/>
        <w:widowControl/>
        <w:shd w:val="clear" w:color="auto" w:fill="FFFFFF"/>
        <w:spacing w:line="560" w:lineRule="exact"/>
        <w:ind w:firstLine="640"/>
        <w:jc w:val="lef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1</w:t>
      </w:r>
      <w:r>
        <w:rPr>
          <w:rFonts w:hint="eastAsia" w:ascii="宋体" w:hAnsi="宋体" w:cs="宋体"/>
          <w:color w:val="000000" w:themeColor="text1"/>
          <w:sz w:val="28"/>
          <w:szCs w:val="28"/>
          <w:highlight w:val="none"/>
          <w14:textFill>
            <w14:solidFill>
              <w14:schemeClr w14:val="tx1"/>
            </w14:solidFill>
          </w14:textFill>
        </w:rPr>
        <w:t>.我方具有良好的商业信誉和健全的财务会计制度。</w:t>
      </w:r>
    </w:p>
    <w:p>
      <w:pPr>
        <w:pStyle w:val="1603"/>
        <w:widowControl/>
        <w:shd w:val="clear" w:color="auto" w:fill="FFFFFF"/>
        <w:spacing w:line="560" w:lineRule="exact"/>
        <w:ind w:firstLine="640"/>
        <w:jc w:val="lef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2</w:t>
      </w:r>
      <w:r>
        <w:rPr>
          <w:rFonts w:hint="eastAsia" w:ascii="宋体" w:hAnsi="宋体" w:cs="宋体"/>
          <w:color w:val="000000" w:themeColor="text1"/>
          <w:sz w:val="28"/>
          <w:szCs w:val="28"/>
          <w:highlight w:val="none"/>
          <w14:textFill>
            <w14:solidFill>
              <w14:schemeClr w14:val="tx1"/>
            </w14:solidFill>
          </w14:textFill>
        </w:rPr>
        <w:t>.我方具有履行合同所必需的设备和专业技术能力。</w:t>
      </w:r>
    </w:p>
    <w:p>
      <w:pPr>
        <w:pStyle w:val="1603"/>
        <w:widowControl/>
        <w:shd w:val="clear" w:color="auto" w:fill="FFFFFF"/>
        <w:spacing w:line="560" w:lineRule="exact"/>
        <w:ind w:firstLine="640"/>
        <w:jc w:val="lef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3</w:t>
      </w:r>
      <w:r>
        <w:rPr>
          <w:rFonts w:hint="eastAsia" w:ascii="宋体" w:hAnsi="宋体" w:cs="宋体"/>
          <w:color w:val="000000" w:themeColor="text1"/>
          <w:sz w:val="28"/>
          <w:szCs w:val="28"/>
          <w:highlight w:val="none"/>
          <w14:textFill>
            <w14:solidFill>
              <w14:schemeClr w14:val="tx1"/>
            </w14:solidFill>
          </w14:textFill>
        </w:rPr>
        <w:t>.我方具有依法缴纳税收和社会保障资金的良好记录。</w:t>
      </w:r>
    </w:p>
    <w:p>
      <w:pPr>
        <w:pStyle w:val="1603"/>
        <w:widowControl/>
        <w:shd w:val="clear" w:color="auto" w:fill="FFFFFF"/>
        <w:spacing w:line="560" w:lineRule="exact"/>
        <w:ind w:firstLine="640"/>
        <w:jc w:val="lef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4.</w:t>
      </w:r>
      <w:r>
        <w:rPr>
          <w:rFonts w:hint="eastAsia" w:ascii="宋体" w:hAnsi="宋体"/>
          <w:color w:val="000000" w:themeColor="text1"/>
          <w:sz w:val="28"/>
          <w:szCs w:val="28"/>
          <w:highlight w:val="none"/>
          <w14:textFill>
            <w14:solidFill>
              <w14:schemeClr w14:val="tx1"/>
            </w14:solidFill>
          </w14:textFill>
        </w:rPr>
        <w:t>我方参加本项目采购活动前三年内，在经营活动中没有重大违法记录。</w:t>
      </w:r>
    </w:p>
    <w:p>
      <w:pPr>
        <w:pStyle w:val="1603"/>
        <w:widowControl/>
        <w:shd w:val="clear" w:color="auto" w:fill="FFFFFF"/>
        <w:spacing w:line="560" w:lineRule="exact"/>
        <w:ind w:firstLine="640"/>
        <w:jc w:val="lef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若我单位承诺不实，自愿承担提供虚假材料谋取中标、成交的法律责任。</w:t>
      </w:r>
    </w:p>
    <w:p>
      <w:pPr>
        <w:pStyle w:val="1603"/>
        <w:widowControl/>
        <w:shd w:val="clear" w:color="auto" w:fill="FFFFFF"/>
        <w:spacing w:line="560" w:lineRule="exact"/>
        <w:ind w:firstLine="640"/>
        <w:jc w:val="left"/>
        <w:rPr>
          <w:rFonts w:ascii="宋体" w:hAnsi="宋体" w:cs="宋体"/>
          <w:color w:val="000000" w:themeColor="text1"/>
          <w:sz w:val="28"/>
          <w:szCs w:val="28"/>
          <w:highlight w:val="none"/>
          <w14:textFill>
            <w14:solidFill>
              <w14:schemeClr w14:val="tx1"/>
            </w14:solidFill>
          </w14:textFill>
        </w:rPr>
      </w:pPr>
    </w:p>
    <w:p>
      <w:pPr>
        <w:pStyle w:val="1603"/>
        <w:widowControl/>
        <w:shd w:val="clear" w:color="auto" w:fill="FFFFFF"/>
        <w:spacing w:line="560" w:lineRule="exact"/>
        <w:ind w:firstLine="640"/>
        <w:jc w:val="lef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投标（响应）供应商（全称并盖章）：</w:t>
      </w:r>
    </w:p>
    <w:p>
      <w:pPr>
        <w:pStyle w:val="1603"/>
        <w:widowControl/>
        <w:shd w:val="clear" w:color="auto" w:fill="FFFFFF"/>
        <w:spacing w:line="560" w:lineRule="exact"/>
        <w:ind w:firstLine="640"/>
        <w:jc w:val="lef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投标人法定代表人或授权代表（签字或签章）：</w:t>
      </w:r>
    </w:p>
    <w:p>
      <w:pPr>
        <w:pStyle w:val="1603"/>
        <w:widowControl/>
        <w:shd w:val="clear" w:color="auto" w:fill="FFFFFF"/>
        <w:spacing w:line="560" w:lineRule="exact"/>
        <w:ind w:firstLine="640"/>
        <w:jc w:val="lef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日期：</w:t>
      </w:r>
    </w:p>
    <w:p>
      <w:pPr>
        <w:pStyle w:val="1639"/>
        <w:rPr>
          <w:rFonts w:ascii="宋体" w:hAnsi="宋体"/>
          <w:color w:val="000000" w:themeColor="text1"/>
          <w:sz w:val="28"/>
          <w:szCs w:val="28"/>
          <w:highlight w:val="none"/>
          <w14:textFill>
            <w14:solidFill>
              <w14:schemeClr w14:val="tx1"/>
            </w14:solidFill>
          </w14:textFill>
        </w:rPr>
      </w:pPr>
    </w:p>
    <w:p>
      <w:pPr>
        <w:pStyle w:val="1639"/>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w:t>
      </w:r>
    </w:p>
    <w:p>
      <w:pPr>
        <w:pStyle w:val="1603"/>
        <w:widowControl/>
        <w:shd w:val="clear" w:color="auto" w:fill="FFFFFF"/>
        <w:spacing w:line="560" w:lineRule="exact"/>
        <w:jc w:val="lef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说明：</w:t>
      </w:r>
    </w:p>
    <w:p>
      <w:pPr>
        <w:pStyle w:val="1603"/>
        <w:widowControl/>
        <w:shd w:val="clear" w:color="auto" w:fill="FFFFFF"/>
        <w:spacing w:line="560" w:lineRule="exact"/>
        <w:ind w:firstLine="560" w:firstLineChars="200"/>
        <w:jc w:val="lef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1.投标人可自行选择是否提供本承诺函，若不提供本承诺函的，应按招标文件要求提供相应的证明材料。</w:t>
      </w:r>
    </w:p>
    <w:p>
      <w:pPr>
        <w:pStyle w:val="1603"/>
        <w:widowControl/>
        <w:shd w:val="clear" w:color="auto" w:fill="FFFFFF"/>
        <w:spacing w:line="560" w:lineRule="exact"/>
        <w:ind w:firstLine="560" w:firstLineChars="200"/>
        <w:jc w:val="lef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2.投标人可删减承诺事项，删减的承诺事项须按招标文件要求提供相应的证明材料。比如删去本承诺函第</w:t>
      </w:r>
      <w:r>
        <w:rPr>
          <w:rFonts w:ascii="宋体" w:hAnsi="宋体" w:cs="宋体"/>
          <w:color w:val="000000" w:themeColor="text1"/>
          <w:sz w:val="28"/>
          <w:szCs w:val="28"/>
          <w:highlight w:val="none"/>
          <w14:textFill>
            <w14:solidFill>
              <w14:schemeClr w14:val="tx1"/>
            </w14:solidFill>
          </w14:textFill>
        </w:rPr>
        <w:t>3</w:t>
      </w:r>
      <w:r>
        <w:rPr>
          <w:rFonts w:hint="eastAsia" w:ascii="宋体" w:hAnsi="宋体" w:cs="宋体"/>
          <w:color w:val="000000" w:themeColor="text1"/>
          <w:sz w:val="28"/>
          <w:szCs w:val="28"/>
          <w:highlight w:val="none"/>
          <w14:textFill>
            <w14:solidFill>
              <w14:schemeClr w14:val="tx1"/>
            </w14:solidFill>
          </w14:textFill>
        </w:rPr>
        <w:t>项的，则应按招标文件要求提供依法缴纳税收和社会保障资金的良好记录。</w:t>
      </w:r>
    </w:p>
    <w:p>
      <w:pPr>
        <w:pStyle w:val="1604"/>
        <w:jc w:val="center"/>
        <w:outlineLvl w:val="2"/>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clear="all"/>
      </w:r>
      <w:r>
        <w:rPr>
          <w:rFonts w:ascii="宋体" w:hAnsi="宋体" w:eastAsia="宋体" w:cs="宋体"/>
          <w:color w:val="000000" w:themeColor="text1"/>
          <w:sz w:val="28"/>
          <w:highlight w:val="none"/>
          <w14:textFill>
            <w14:solidFill>
              <w14:schemeClr w14:val="tx1"/>
            </w14:solidFill>
          </w14:textFill>
        </w:rPr>
        <w:t>(七)法律、行政法规规定的其他条件</w:t>
      </w:r>
    </w:p>
    <w:p>
      <w:pPr>
        <w:pStyle w:val="1605"/>
        <w:spacing w:line="360" w:lineRule="auto"/>
        <w:jc w:val="center"/>
        <w:outlineLvl w:val="2"/>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clear="all"/>
      </w:r>
      <w:r>
        <w:rPr>
          <w:rFonts w:ascii="宋体" w:hAnsi="宋体" w:eastAsia="宋体" w:cs="宋体"/>
          <w:color w:val="000000" w:themeColor="text1"/>
          <w:sz w:val="28"/>
          <w:highlight w:val="none"/>
          <w14:textFill>
            <w14:solidFill>
              <w14:schemeClr w14:val="tx1"/>
            </w14:solidFill>
          </w14:textFill>
        </w:rPr>
        <w:t>(八)法定代表人（负责人）身份证明书</w:t>
      </w:r>
    </w:p>
    <w:p>
      <w:pPr>
        <w:pStyle w:val="1606"/>
        <w:rPr>
          <w:rFonts w:ascii="宋体" w:hAnsi="宋体"/>
          <w:color w:val="000000" w:themeColor="text1"/>
          <w:highlight w:val="none"/>
          <w14:textFill>
            <w14:solidFill>
              <w14:schemeClr w14:val="tx1"/>
            </w14:solidFill>
          </w14:textFill>
        </w:rPr>
      </w:pPr>
    </w:p>
    <w:p>
      <w:pPr>
        <w:pStyle w:val="1606"/>
        <w:spacing w:line="360" w:lineRule="auto"/>
        <w:ind w:firstLine="560" w:firstLineChars="20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兹证明</w:t>
      </w:r>
      <w:r>
        <w:rPr>
          <w:rFonts w:hint="eastAsia" w:ascii="宋体" w:hAnsi="宋体"/>
          <w:b/>
          <w:color w:val="000000" w:themeColor="text1"/>
          <w:sz w:val="28"/>
          <w:szCs w:val="24"/>
          <w:highlight w:val="none"/>
          <w:u w:val="single"/>
          <w14:textFill>
            <w14:solidFill>
              <w14:schemeClr w14:val="tx1"/>
            </w14:solidFill>
          </w14:textFill>
        </w:rPr>
        <w:t>（姓名）</w:t>
      </w:r>
      <w:r>
        <w:rPr>
          <w:rFonts w:hint="eastAsia" w:ascii="宋体" w:hAnsi="宋体"/>
          <w:color w:val="000000" w:themeColor="text1"/>
          <w:sz w:val="28"/>
          <w:szCs w:val="28"/>
          <w:highlight w:val="none"/>
          <w14:textFill>
            <w14:solidFill>
              <w14:schemeClr w14:val="tx1"/>
            </w14:solidFill>
          </w14:textFill>
        </w:rPr>
        <w:t>同志，性别，</w:t>
      </w:r>
      <w:r>
        <w:rPr>
          <w:rFonts w:hint="eastAsia" w:ascii="宋体" w:hAnsi="宋体"/>
          <w:color w:val="000000" w:themeColor="text1"/>
          <w:sz w:val="28"/>
          <w:highlight w:val="none"/>
          <w14:textFill>
            <w14:solidFill>
              <w14:schemeClr w14:val="tx1"/>
            </w14:solidFill>
          </w14:textFill>
        </w:rPr>
        <w:t>居民身份证号</w:t>
      </w:r>
      <w:r>
        <w:rPr>
          <w:rFonts w:hint="eastAsia" w:ascii="宋体" w:hAnsi="宋体"/>
          <w:color w:val="000000" w:themeColor="text1"/>
          <w:sz w:val="28"/>
          <w:szCs w:val="28"/>
          <w:highlight w:val="none"/>
          <w14:textFill>
            <w14:solidFill>
              <w14:schemeClr w14:val="tx1"/>
            </w14:solidFill>
          </w14:textFill>
        </w:rPr>
        <w:t>，在我单位任职务，系我单位主要负责人即法定代表人。</w:t>
      </w:r>
    </w:p>
    <w:p>
      <w:pPr>
        <w:pStyle w:val="1606"/>
        <w:spacing w:line="360" w:lineRule="auto"/>
        <w:ind w:firstLine="560"/>
        <w:rPr>
          <w:rFonts w:ascii="宋体" w:hAnsi="宋体"/>
          <w:color w:val="000000" w:themeColor="text1"/>
          <w:sz w:val="28"/>
          <w:szCs w:val="28"/>
          <w:highlight w:val="none"/>
          <w14:textFill>
            <w14:solidFill>
              <w14:schemeClr w14:val="tx1"/>
            </w14:solidFill>
          </w14:textFill>
        </w:rPr>
      </w:pPr>
    </w:p>
    <w:p>
      <w:pPr>
        <w:pStyle w:val="1606"/>
        <w:spacing w:line="360" w:lineRule="auto"/>
        <w:ind w:firstLine="56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单位地址：</w:t>
      </w:r>
    </w:p>
    <w:p>
      <w:pPr>
        <w:pStyle w:val="1606"/>
        <w:spacing w:line="360" w:lineRule="auto"/>
        <w:ind w:firstLine="560"/>
        <w:rPr>
          <w:rFonts w:ascii="宋体" w:hAnsi="宋体"/>
          <w:color w:val="000000" w:themeColor="text1"/>
          <w:sz w:val="28"/>
          <w:szCs w:val="28"/>
          <w:highlight w:val="none"/>
          <w14:textFill>
            <w14:solidFill>
              <w14:schemeClr w14:val="tx1"/>
            </w14:solidFill>
          </w14:textFill>
        </w:rPr>
      </w:pPr>
    </w:p>
    <w:p>
      <w:pPr>
        <w:pStyle w:val="1606"/>
        <w:spacing w:line="360" w:lineRule="auto"/>
        <w:ind w:firstLine="56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电    话：</w:t>
      </w:r>
    </w:p>
    <w:p>
      <w:pPr>
        <w:pStyle w:val="1606"/>
        <w:spacing w:line="360" w:lineRule="auto"/>
        <w:ind w:firstLine="560"/>
        <w:rPr>
          <w:rFonts w:ascii="宋体" w:hAnsi="宋体"/>
          <w:color w:val="000000" w:themeColor="text1"/>
          <w:sz w:val="28"/>
          <w:szCs w:val="28"/>
          <w:highlight w:val="none"/>
          <w14:textFill>
            <w14:solidFill>
              <w14:schemeClr w14:val="tx1"/>
            </w14:solidFill>
          </w14:textFill>
        </w:rPr>
      </w:pPr>
    </w:p>
    <w:p>
      <w:pPr>
        <w:pStyle w:val="1606"/>
        <w:spacing w:line="360" w:lineRule="auto"/>
        <w:ind w:firstLine="56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单位全称： </w:t>
      </w:r>
    </w:p>
    <w:p>
      <w:pPr>
        <w:pStyle w:val="1606"/>
        <w:spacing w:line="360" w:lineRule="auto"/>
        <w:ind w:firstLine="560"/>
        <w:rPr>
          <w:rFonts w:ascii="宋体" w:hAnsi="宋体"/>
          <w:color w:val="000000" w:themeColor="text1"/>
          <w:sz w:val="28"/>
          <w:szCs w:val="28"/>
          <w:highlight w:val="none"/>
          <w14:textFill>
            <w14:solidFill>
              <w14:schemeClr w14:val="tx1"/>
            </w14:solidFill>
          </w14:textFill>
        </w:rPr>
      </w:pPr>
    </w:p>
    <w:p>
      <w:pPr>
        <w:pStyle w:val="1606"/>
        <w:spacing w:line="360" w:lineRule="auto"/>
        <w:ind w:firstLine="56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公    章： </w:t>
      </w:r>
    </w:p>
    <w:p>
      <w:pPr>
        <w:pStyle w:val="1606"/>
        <w:tabs>
          <w:tab w:val="left" w:pos="7290"/>
        </w:tabs>
        <w:spacing w:line="360" w:lineRule="auto"/>
        <w:ind w:firstLine="560"/>
        <w:rPr>
          <w:rFonts w:ascii="宋体" w:hAnsi="宋体"/>
          <w:color w:val="000000" w:themeColor="text1"/>
          <w:sz w:val="28"/>
          <w:szCs w:val="28"/>
          <w:highlight w:val="none"/>
          <w14:textFill>
            <w14:solidFill>
              <w14:schemeClr w14:val="tx1"/>
            </w14:solidFill>
          </w14:textFill>
        </w:rPr>
      </w:pPr>
    </w:p>
    <w:p>
      <w:pPr>
        <w:pStyle w:val="1606"/>
        <w:tabs>
          <w:tab w:val="left" w:pos="7290"/>
        </w:tabs>
        <w:spacing w:line="360" w:lineRule="auto"/>
        <w:ind w:firstLine="560"/>
        <w:jc w:val="righ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年     月    日</w:t>
      </w:r>
    </w:p>
    <w:p>
      <w:pPr>
        <w:pStyle w:val="1606"/>
        <w:spacing w:line="360" w:lineRule="auto"/>
        <w:ind w:firstLine="643"/>
        <w:jc w:val="left"/>
        <w:rPr>
          <w:rFonts w:ascii="宋体" w:hAnsi="宋体"/>
          <w:b/>
          <w:color w:val="000000" w:themeColor="text1"/>
          <w:sz w:val="32"/>
          <w:szCs w:val="32"/>
          <w:highlight w:val="none"/>
          <w14:textFill>
            <w14:solidFill>
              <w14:schemeClr w14:val="tx1"/>
            </w14:solidFill>
          </w14:textFill>
        </w:rPr>
      </w:pPr>
    </w:p>
    <w:p>
      <w:pPr>
        <w:pStyle w:val="1606"/>
        <w:spacing w:line="360" w:lineRule="auto"/>
        <w:ind w:firstLine="643"/>
        <w:jc w:val="left"/>
        <w:rPr>
          <w:rFonts w:ascii="宋体" w:hAnsi="宋体"/>
          <w:b/>
          <w:color w:val="000000" w:themeColor="text1"/>
          <w:sz w:val="32"/>
          <w:szCs w:val="32"/>
          <w:highlight w:val="none"/>
          <w14:textFill>
            <w14:solidFill>
              <w14:schemeClr w14:val="tx1"/>
            </w14:solidFill>
          </w14:textFill>
        </w:rPr>
      </w:pPr>
    </w:p>
    <w:p>
      <w:pPr>
        <w:pStyle w:val="1606"/>
        <w:spacing w:line="360" w:lineRule="auto"/>
        <w:ind w:firstLine="643"/>
        <w:jc w:val="left"/>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附：法定代表人居民身份证扫描件</w:t>
      </w:r>
    </w:p>
    <w:p>
      <w:pPr>
        <w:pStyle w:val="1606"/>
        <w:tabs>
          <w:tab w:val="left" w:pos="7290"/>
        </w:tabs>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u w:val="single"/>
          <w14:textFill>
            <w14:solidFill>
              <w14:schemeClr w14:val="tx1"/>
            </w14:solidFill>
          </w14:textFill>
        </w:rPr>
        <w:t>注：1.“法定代表人”直接参加投标响应活动的仅需填写本身份证明</w:t>
      </w:r>
      <w:r>
        <w:rPr>
          <w:rFonts w:hint="eastAsia" w:ascii="宋体" w:hAnsi="宋体"/>
          <w:color w:val="000000" w:themeColor="text1"/>
          <w:sz w:val="28"/>
          <w:highlight w:val="none"/>
          <w14:textFill>
            <w14:solidFill>
              <w14:schemeClr w14:val="tx1"/>
            </w14:solidFill>
          </w14:textFill>
        </w:rPr>
        <w:t>。</w:t>
      </w:r>
    </w:p>
    <w:p>
      <w:pPr>
        <w:pStyle w:val="1606"/>
        <w:tabs>
          <w:tab w:val="left" w:pos="7290"/>
        </w:tabs>
        <w:spacing w:line="360" w:lineRule="auto"/>
        <w:ind w:firstLine="562"/>
        <w:rPr>
          <w:rFonts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u w:val="single"/>
          <w14:textFill>
            <w14:solidFill>
              <w14:schemeClr w14:val="tx1"/>
            </w14:solidFill>
          </w14:textFill>
        </w:rPr>
        <w:t>2.投标人</w:t>
      </w:r>
      <w:r>
        <w:rPr>
          <w:rFonts w:ascii="宋体" w:hAnsi="宋体"/>
          <w:b/>
          <w:color w:val="000000" w:themeColor="text1"/>
          <w:sz w:val="28"/>
          <w:szCs w:val="28"/>
          <w:highlight w:val="none"/>
          <w:u w:val="single"/>
          <w14:textFill>
            <w14:solidFill>
              <w14:schemeClr w14:val="tx1"/>
            </w14:solidFill>
          </w14:textFill>
        </w:rPr>
        <w:t>属于非法人组织的，按照法律、行政法规规定能够对外代表其从事民事活动的主要负责人，如个人独资企业的投资人，代表合伙企业执行合伙企业事务的合伙人等，视同法定代表人。</w:t>
      </w:r>
    </w:p>
    <w:p>
      <w:pPr>
        <w:pStyle w:val="1607"/>
        <w:spacing w:line="360" w:lineRule="auto"/>
        <w:jc w:val="center"/>
        <w:outlineLvl w:val="2"/>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clear="all"/>
      </w:r>
      <w:r>
        <w:rPr>
          <w:rFonts w:ascii="宋体" w:hAnsi="宋体" w:eastAsia="宋体" w:cs="宋体"/>
          <w:color w:val="000000" w:themeColor="text1"/>
          <w:sz w:val="28"/>
          <w:highlight w:val="none"/>
          <w14:textFill>
            <w14:solidFill>
              <w14:schemeClr w14:val="tx1"/>
            </w14:solidFill>
          </w14:textFill>
        </w:rPr>
        <w:t>(九)法定代表人（负责人）授权委托书</w:t>
      </w:r>
    </w:p>
    <w:p>
      <w:pPr>
        <w:pStyle w:val="1608"/>
        <w:spacing w:line="360" w:lineRule="auto"/>
        <w:ind w:right="420"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本</w:t>
      </w:r>
      <w:r>
        <w:rPr>
          <w:rFonts w:hint="eastAsia" w:ascii="宋体" w:hAnsi="宋体"/>
          <w:color w:val="000000" w:themeColor="text1"/>
          <w:sz w:val="28"/>
          <w:szCs w:val="28"/>
          <w:highlight w:val="none"/>
          <w14:textFill>
            <w14:solidFill>
              <w14:schemeClr w14:val="tx1"/>
            </w14:solidFill>
          </w14:textFill>
        </w:rPr>
        <w:t>授权书声明：</w:t>
      </w:r>
      <w:r>
        <w:rPr>
          <w:rFonts w:hint="eastAsia" w:ascii="宋体" w:hAnsi="宋体"/>
          <w:b/>
          <w:color w:val="000000" w:themeColor="text1"/>
          <w:sz w:val="28"/>
          <w:szCs w:val="28"/>
          <w:highlight w:val="none"/>
          <w:u w:val="single"/>
          <w14:textFill>
            <w14:solidFill>
              <w14:schemeClr w14:val="tx1"/>
            </w14:solidFill>
          </w14:textFill>
        </w:rPr>
        <w:t>（投标人名称）</w:t>
      </w:r>
      <w:r>
        <w:rPr>
          <w:rFonts w:hint="eastAsia" w:ascii="宋体" w:hAnsi="宋体"/>
          <w:color w:val="000000" w:themeColor="text1"/>
          <w:sz w:val="28"/>
          <w:szCs w:val="28"/>
          <w:highlight w:val="none"/>
          <w14:textFill>
            <w14:solidFill>
              <w14:schemeClr w14:val="tx1"/>
            </w14:solidFill>
          </w14:textFill>
        </w:rPr>
        <w:t>法定代表人</w:t>
      </w:r>
      <w:r>
        <w:rPr>
          <w:rFonts w:hint="eastAsia" w:ascii="宋体" w:hAnsi="宋体"/>
          <w:b/>
          <w:color w:val="000000" w:themeColor="text1"/>
          <w:sz w:val="28"/>
          <w:szCs w:val="28"/>
          <w:highlight w:val="none"/>
          <w:u w:val="single"/>
          <w14:textFill>
            <w14:solidFill>
              <w14:schemeClr w14:val="tx1"/>
            </w14:solidFill>
          </w14:textFill>
        </w:rPr>
        <w:t>（姓名）</w:t>
      </w:r>
      <w:r>
        <w:rPr>
          <w:rFonts w:hint="eastAsia" w:ascii="宋体" w:hAnsi="宋体"/>
          <w:color w:val="000000" w:themeColor="text1"/>
          <w:sz w:val="28"/>
          <w:szCs w:val="28"/>
          <w:highlight w:val="none"/>
          <w14:textFill>
            <w14:solidFill>
              <w14:schemeClr w14:val="tx1"/>
            </w14:solidFill>
          </w14:textFill>
        </w:rPr>
        <w:t>授权</w:t>
      </w:r>
      <w:r>
        <w:rPr>
          <w:rFonts w:hint="eastAsia" w:ascii="宋体" w:hAnsi="宋体"/>
          <w:b/>
          <w:color w:val="000000" w:themeColor="text1"/>
          <w:sz w:val="28"/>
          <w:szCs w:val="28"/>
          <w:highlight w:val="none"/>
          <w:u w:val="single"/>
          <w14:textFill>
            <w14:solidFill>
              <w14:schemeClr w14:val="tx1"/>
            </w14:solidFill>
          </w14:textFill>
        </w:rPr>
        <w:t>（委托代理人的姓名、身份证号）</w:t>
      </w:r>
      <w:r>
        <w:rPr>
          <w:rFonts w:hint="eastAsia" w:ascii="宋体" w:hAnsi="宋体"/>
          <w:color w:val="000000" w:themeColor="text1"/>
          <w:sz w:val="28"/>
          <w:szCs w:val="28"/>
          <w:highlight w:val="none"/>
          <w14:textFill>
            <w14:solidFill>
              <w14:schemeClr w14:val="tx1"/>
            </w14:solidFill>
          </w14:textFill>
        </w:rPr>
        <w:t>为我方就</w:t>
      </w:r>
      <w:r>
        <w:rPr>
          <w:rFonts w:hint="eastAsia" w:ascii="宋体" w:hAnsi="宋体"/>
          <w:b/>
          <w:color w:val="000000" w:themeColor="text1"/>
          <w:sz w:val="28"/>
          <w:szCs w:val="28"/>
          <w:highlight w:val="none"/>
          <w:u w:val="single"/>
          <w14:textFill>
            <w14:solidFill>
              <w14:schemeClr w14:val="tx1"/>
            </w14:solidFill>
          </w14:textFill>
        </w:rPr>
        <w:t>（代理机构）代理的（项目编号）</w:t>
      </w:r>
      <w:r>
        <w:rPr>
          <w:rFonts w:hint="eastAsia" w:ascii="宋体" w:hAnsi="宋体"/>
          <w:bCs/>
          <w:color w:val="000000" w:themeColor="text1"/>
          <w:sz w:val="28"/>
          <w:szCs w:val="28"/>
          <w:highlight w:val="none"/>
          <w14:textFill>
            <w14:solidFill>
              <w14:schemeClr w14:val="tx1"/>
            </w14:solidFill>
          </w14:textFill>
        </w:rPr>
        <w:t>项目</w:t>
      </w:r>
      <w:r>
        <w:rPr>
          <w:rFonts w:hint="eastAsia" w:ascii="宋体" w:hAnsi="宋体"/>
          <w:color w:val="000000" w:themeColor="text1"/>
          <w:sz w:val="28"/>
          <w:szCs w:val="28"/>
          <w:highlight w:val="none"/>
          <w14:textFill>
            <w14:solidFill>
              <w14:schemeClr w14:val="tx1"/>
            </w14:solidFill>
          </w14:textFill>
        </w:rPr>
        <w:t>的投标活动的合法代理人，以本公司</w:t>
      </w:r>
      <w:r>
        <w:rPr>
          <w:rFonts w:hint="eastAsia" w:ascii="宋体" w:hAnsi="宋体"/>
          <w:color w:val="000000" w:themeColor="text1"/>
          <w:sz w:val="28"/>
          <w:highlight w:val="none"/>
          <w14:textFill>
            <w14:solidFill>
              <w14:schemeClr w14:val="tx1"/>
            </w14:solidFill>
          </w14:textFill>
        </w:rPr>
        <w:t>名义全权处理一切与该项目投标有关的事务（含合同签订）。</w:t>
      </w:r>
    </w:p>
    <w:p>
      <w:pPr>
        <w:pStyle w:val="1608"/>
        <w:spacing w:line="360" w:lineRule="auto"/>
        <w:ind w:right="420" w:firstLine="560"/>
        <w:rPr>
          <w:rFonts w:hint="eastAsia"/>
          <w:highlight w:val="none"/>
        </w:rPr>
      </w:pPr>
    </w:p>
    <w:p>
      <w:pPr>
        <w:pStyle w:val="1609"/>
        <w:spacing w:line="360" w:lineRule="auto"/>
        <w:ind w:firstLine="560"/>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t>本授权书于</w:t>
      </w:r>
      <w:r>
        <w:rPr>
          <w:rFonts w:hint="eastAsia" w:ascii="宋体" w:hAnsi="宋体"/>
          <w:color w:val="000000" w:themeColor="text1"/>
          <w:sz w:val="28"/>
          <w:highlight w:val="none"/>
          <w:u w:val="single"/>
          <w14:textFill>
            <w14:solidFill>
              <w14:schemeClr w14:val="tx1"/>
            </w14:solidFill>
          </w14:textFill>
        </w:rPr>
        <w:t xml:space="preserve"> </w:t>
      </w:r>
      <w:r>
        <w:rPr>
          <w:rFonts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年</w:t>
      </w:r>
      <w:r>
        <w:rPr>
          <w:rFonts w:hint="eastAsia" w:ascii="宋体" w:hAnsi="宋体"/>
          <w:color w:val="000000" w:themeColor="text1"/>
          <w:sz w:val="28"/>
          <w:highlight w:val="none"/>
          <w:u w:val="single"/>
          <w14:textFill>
            <w14:solidFill>
              <w14:schemeClr w14:val="tx1"/>
            </w14:solidFill>
          </w14:textFill>
        </w:rPr>
        <w:t xml:space="preserve"> </w:t>
      </w:r>
      <w:r>
        <w:rPr>
          <w:rFonts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月</w:t>
      </w:r>
      <w:r>
        <w:rPr>
          <w:rFonts w:hint="eastAsia" w:ascii="宋体" w:hAnsi="宋体"/>
          <w:color w:val="000000" w:themeColor="text1"/>
          <w:sz w:val="28"/>
          <w:highlight w:val="none"/>
          <w:u w:val="single"/>
          <w14:textFill>
            <w14:solidFill>
              <w14:schemeClr w14:val="tx1"/>
            </w14:solidFill>
          </w14:textFill>
        </w:rPr>
        <w:t xml:space="preserve"> </w:t>
      </w:r>
      <w:r>
        <w:rPr>
          <w:rFonts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日</w:t>
      </w:r>
      <w:r>
        <w:rPr>
          <w:rFonts w:ascii="宋体" w:hAnsi="宋体"/>
          <w:color w:val="000000" w:themeColor="text1"/>
          <w:sz w:val="28"/>
          <w:highlight w:val="none"/>
          <w14:textFill>
            <w14:solidFill>
              <w14:schemeClr w14:val="tx1"/>
            </w14:solidFill>
          </w14:textFill>
        </w:rPr>
        <w:t>在相应位置签字或盖章后生效</w:t>
      </w:r>
      <w:r>
        <w:rPr>
          <w:rFonts w:hint="eastAsia" w:ascii="宋体" w:hAnsi="宋体"/>
          <w:color w:val="000000" w:themeColor="text1"/>
          <w:sz w:val="28"/>
          <w:highlight w:val="none"/>
          <w14:textFill>
            <w14:solidFill>
              <w14:schemeClr w14:val="tx1"/>
            </w14:solidFill>
          </w14:textFill>
        </w:rPr>
        <w:t>，特此声明。</w:t>
      </w:r>
    </w:p>
    <w:p>
      <w:pPr>
        <w:pStyle w:val="1608"/>
        <w:spacing w:line="360" w:lineRule="auto"/>
        <w:ind w:firstLine="560"/>
        <w:rPr>
          <w:rFonts w:ascii="宋体" w:hAnsi="宋体"/>
          <w:color w:val="000000" w:themeColor="text1"/>
          <w:sz w:val="28"/>
          <w:highlight w:val="none"/>
          <w:u w:val="singl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委托代理人身份证号码：</w:t>
      </w:r>
      <w:r>
        <w:rPr>
          <w:rFonts w:hint="eastAsia" w:ascii="宋体" w:hAnsi="宋体"/>
          <w:color w:val="000000" w:themeColor="text1"/>
          <w:sz w:val="28"/>
          <w:highlight w:val="none"/>
          <w:u w:val="single"/>
          <w14:textFill>
            <w14:solidFill>
              <w14:schemeClr w14:val="tx1"/>
            </w14:solidFill>
          </w14:textFill>
        </w:rPr>
        <w:t xml:space="preserve"> </w:t>
      </w:r>
      <w:r>
        <w:rPr>
          <w:rFonts w:ascii="宋体" w:hAnsi="宋体"/>
          <w:color w:val="000000" w:themeColor="text1"/>
          <w:sz w:val="28"/>
          <w:highlight w:val="none"/>
          <w:u w:val="single"/>
          <w14:textFill>
            <w14:solidFill>
              <w14:schemeClr w14:val="tx1"/>
            </w14:solidFill>
          </w14:textFill>
        </w:rPr>
        <w:t xml:space="preserve">          </w:t>
      </w:r>
    </w:p>
    <w:p>
      <w:pPr>
        <w:pStyle w:val="1608"/>
        <w:spacing w:line="360" w:lineRule="auto"/>
        <w:ind w:firstLine="560"/>
        <w:rPr>
          <w:rFonts w:ascii="宋体" w:hAnsi="宋体"/>
          <w:color w:val="000000" w:themeColor="text1"/>
          <w:sz w:val="28"/>
          <w:highlight w:val="none"/>
          <w:u w:val="singl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委托代理人联系电话：</w:t>
      </w:r>
      <w:r>
        <w:rPr>
          <w:rFonts w:hint="eastAsia" w:ascii="宋体" w:hAnsi="宋体"/>
          <w:color w:val="000000" w:themeColor="text1"/>
          <w:sz w:val="28"/>
          <w:highlight w:val="none"/>
          <w:u w:val="single"/>
          <w14:textFill>
            <w14:solidFill>
              <w14:schemeClr w14:val="tx1"/>
            </w14:solidFill>
          </w14:textFill>
        </w:rPr>
        <w:t xml:space="preserve"> </w:t>
      </w:r>
      <w:r>
        <w:rPr>
          <w:rFonts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u w:val="single"/>
          <w14:textFill>
            <w14:solidFill>
              <w14:schemeClr w14:val="tx1"/>
            </w14:solidFill>
          </w14:textFill>
        </w:rPr>
        <w:t xml:space="preserve">（手机）  </w:t>
      </w:r>
    </w:p>
    <w:p>
      <w:pPr>
        <w:pStyle w:val="1608"/>
        <w:spacing w:line="360" w:lineRule="auto"/>
        <w:ind w:firstLine="560"/>
        <w:rPr>
          <w:rFonts w:ascii="宋体" w:hAnsi="宋体"/>
          <w:color w:val="000000" w:themeColor="text1"/>
          <w:sz w:val="28"/>
          <w:highlight w:val="none"/>
          <w:u w:val="singl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法定代表人签章：</w:t>
      </w:r>
    </w:p>
    <w:p>
      <w:pPr>
        <w:pStyle w:val="1608"/>
        <w:spacing w:line="360" w:lineRule="auto"/>
        <w:ind w:firstLine="560"/>
        <w:rPr>
          <w:rFonts w:ascii="宋体" w:hAnsi="宋体"/>
          <w:color w:val="000000" w:themeColor="text1"/>
          <w:sz w:val="28"/>
          <w:highlight w:val="none"/>
          <w:u w:val="single"/>
          <w14:textFill>
            <w14:solidFill>
              <w14:schemeClr w14:val="tx1"/>
            </w14:solidFill>
          </w14:textFill>
        </w:rPr>
      </w:pPr>
    </w:p>
    <w:p>
      <w:pPr>
        <w:pStyle w:val="1608"/>
        <w:spacing w:line="360" w:lineRule="auto"/>
        <w:ind w:firstLine="560"/>
        <w:rPr>
          <w:rFonts w:ascii="宋体" w:hAnsi="宋体"/>
          <w:color w:val="000000" w:themeColor="text1"/>
          <w:sz w:val="28"/>
          <w:highlight w:val="none"/>
          <w14:textFill>
            <w14:solidFill>
              <w14:schemeClr w14:val="tx1"/>
            </w14:solidFill>
          </w14:textFill>
        </w:rPr>
      </w:pPr>
    </w:p>
    <w:p>
      <w:pPr>
        <w:pStyle w:val="1608"/>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投标人名称（公章）：</w:t>
      </w:r>
    </w:p>
    <w:p>
      <w:pPr>
        <w:pStyle w:val="1608"/>
        <w:spacing w:line="360" w:lineRule="auto"/>
        <w:ind w:firstLine="560"/>
        <w:rPr>
          <w:rFonts w:ascii="宋体" w:hAnsi="宋体"/>
          <w:color w:val="000000" w:themeColor="text1"/>
          <w:sz w:val="28"/>
          <w:highlight w:val="none"/>
          <w:u w:val="singl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日     期：</w:t>
      </w:r>
    </w:p>
    <w:p>
      <w:pPr>
        <w:pStyle w:val="1608"/>
        <w:spacing w:line="360" w:lineRule="auto"/>
        <w:ind w:firstLine="560"/>
        <w:rPr>
          <w:rFonts w:ascii="宋体" w:hAnsi="宋体"/>
          <w:color w:val="000000" w:themeColor="text1"/>
          <w:sz w:val="28"/>
          <w:highlight w:val="none"/>
          <w14:textFill>
            <w14:solidFill>
              <w14:schemeClr w14:val="tx1"/>
            </w14:solidFill>
          </w14:textFill>
        </w:rPr>
      </w:pPr>
    </w:p>
    <w:p>
      <w:pPr>
        <w:pStyle w:val="1608"/>
        <w:spacing w:line="360" w:lineRule="auto"/>
        <w:ind w:firstLine="643"/>
        <w:rPr>
          <w:rFonts w:ascii="宋体" w:hAnsi="宋体"/>
          <w:color w:val="000000" w:themeColor="text1"/>
          <w:sz w:val="28"/>
          <w:highlight w:val="none"/>
          <w:u w:val="singl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附：委托代理人居民身份证扫描件</w:t>
      </w:r>
    </w:p>
    <w:p>
      <w:pPr>
        <w:pStyle w:val="1608"/>
        <w:spacing w:line="360" w:lineRule="auto"/>
        <w:rPr>
          <w:rFonts w:ascii="宋体" w:hAnsi="宋体"/>
          <w:color w:val="000000" w:themeColor="text1"/>
          <w:sz w:val="28"/>
          <w:highlight w:val="none"/>
          <w:u w:val="single"/>
          <w14:textFill>
            <w14:solidFill>
              <w14:schemeClr w14:val="tx1"/>
            </w14:solidFill>
          </w14:textFill>
        </w:rPr>
      </w:pPr>
      <w:r>
        <w:rPr>
          <w:rFonts w:hint="eastAsia" w:ascii="宋体" w:hAnsi="宋体"/>
          <w:color w:val="000000" w:themeColor="text1"/>
          <w:sz w:val="28"/>
          <w:highlight w:val="none"/>
          <w:u w:val="single"/>
          <w14:textFill>
            <w14:solidFill>
              <w14:schemeClr w14:val="tx1"/>
            </w14:solidFill>
          </w14:textFill>
        </w:rPr>
        <w:t>注：“法定代表人”授权其他人投标的，须填写法定代表人身份证明书和本委托书。</w:t>
      </w:r>
    </w:p>
    <w:p>
      <w:pPr>
        <w:pStyle w:val="1611"/>
        <w:jc w:val="center"/>
        <w:outlineLvl w:val="1"/>
        <w:rPr>
          <w:rFonts w:ascii="宋体" w:hAnsi="宋体" w:eastAsia="宋体" w:cs="宋体"/>
          <w:color w:val="000000" w:themeColor="text1"/>
          <w:sz w:val="32"/>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clear="all"/>
      </w:r>
      <w:bookmarkStart w:id="151" w:name="_Toc152531549"/>
      <w:bookmarkStart w:id="152" w:name="_Toc148961835"/>
      <w:bookmarkStart w:id="153" w:name="_Toc151931406"/>
      <w:bookmarkStart w:id="154" w:name="_Toc256000023"/>
      <w:r>
        <w:rPr>
          <w:rFonts w:ascii="宋体" w:hAnsi="宋体" w:eastAsia="宋体" w:cs="宋体"/>
          <w:color w:val="000000" w:themeColor="text1"/>
          <w:sz w:val="32"/>
          <w:highlight w:val="none"/>
          <w14:textFill>
            <w14:solidFill>
              <w14:schemeClr w14:val="tx1"/>
            </w14:solidFill>
          </w14:textFill>
        </w:rPr>
        <w:t>二、技术部分</w:t>
      </w:r>
      <w:bookmarkEnd w:id="151"/>
      <w:bookmarkEnd w:id="152"/>
      <w:bookmarkEnd w:id="153"/>
      <w:bookmarkEnd w:id="154"/>
      <w:bookmarkStart w:id="155" w:name="_Toc256000024"/>
      <w:r>
        <w:rPr>
          <w:rFonts w:ascii="宋体" w:hAnsi="宋体" w:eastAsia="宋体" w:cs="宋体"/>
          <w:color w:val="000000" w:themeColor="text1"/>
          <w:sz w:val="32"/>
          <w:highlight w:val="none"/>
          <w14:textFill>
            <w14:solidFill>
              <w14:schemeClr w14:val="tx1"/>
            </w14:solidFill>
          </w14:textFill>
        </w:rPr>
        <w:t xml:space="preserve"> </w:t>
      </w:r>
      <w:r>
        <w:rPr>
          <w:rFonts w:ascii="宋体" w:hAnsi="宋体" w:eastAsia="宋体" w:cs="宋体"/>
          <w:color w:val="000000" w:themeColor="text1"/>
          <w:sz w:val="32"/>
          <w:highlight w:val="none"/>
          <w14:textFill>
            <w14:solidFill>
              <w14:schemeClr w14:val="tx1"/>
            </w14:solidFill>
          </w14:textFill>
        </w:rPr>
        <w:br w:type="page"/>
      </w:r>
      <w:bookmarkStart w:id="156" w:name="_Toc152531550"/>
      <w:bookmarkStart w:id="157" w:name="_Toc148961836"/>
      <w:bookmarkStart w:id="158" w:name="_Toc151931407"/>
      <w:r>
        <w:rPr>
          <w:rFonts w:ascii="宋体" w:hAnsi="宋体" w:eastAsia="宋体" w:cs="宋体"/>
          <w:color w:val="000000" w:themeColor="text1"/>
          <w:sz w:val="32"/>
          <w:highlight w:val="none"/>
          <w14:textFill>
            <w14:solidFill>
              <w14:schemeClr w14:val="tx1"/>
            </w14:solidFill>
          </w14:textFill>
        </w:rPr>
        <w:t>三、商务部分</w:t>
      </w:r>
      <w:bookmarkEnd w:id="155"/>
      <w:bookmarkEnd w:id="156"/>
      <w:bookmarkEnd w:id="157"/>
      <w:bookmarkEnd w:id="158"/>
    </w:p>
    <w:p>
      <w:pPr>
        <w:pStyle w:val="1622"/>
        <w:spacing w:before="240"/>
        <w:jc w:val="center"/>
        <w:outlineLvl w:val="2"/>
        <w:rPr>
          <w:rFonts w:ascii="宋体" w:hAnsi="宋体" w:eastAsia="宋体" w:cs="宋体"/>
          <w:b/>
          <w:bCs/>
          <w:color w:val="000000" w:themeColor="text1"/>
          <w:sz w:val="28"/>
          <w:highlight w:val="none"/>
          <w14:textFill>
            <w14:solidFill>
              <w14:schemeClr w14:val="tx1"/>
            </w14:solidFill>
          </w14:textFill>
        </w:rPr>
      </w:pPr>
      <w:r>
        <w:rPr>
          <w:rFonts w:ascii="宋体" w:hAnsi="宋体" w:eastAsia="宋体" w:cs="宋体"/>
          <w:b/>
          <w:bCs/>
          <w:color w:val="000000" w:themeColor="text1"/>
          <w:sz w:val="28"/>
          <w:highlight w:val="none"/>
          <w14:textFill>
            <w14:solidFill>
              <w14:schemeClr w14:val="tx1"/>
            </w14:solidFill>
          </w14:textFill>
        </w:rPr>
        <w:t>(一)</w:t>
      </w:r>
      <w:r>
        <w:rPr>
          <w:rFonts w:hint="eastAsia" w:ascii="宋体" w:hAnsi="宋体" w:eastAsia="宋体" w:cs="宋体"/>
          <w:b/>
          <w:bCs/>
          <w:color w:val="000000" w:themeColor="text1"/>
          <w:sz w:val="28"/>
          <w:highlight w:val="none"/>
          <w14:textFill>
            <w14:solidFill>
              <w14:schemeClr w14:val="tx1"/>
            </w14:solidFill>
          </w14:textFill>
        </w:rPr>
        <w:t>投标人</w:t>
      </w:r>
      <w:r>
        <w:rPr>
          <w:rFonts w:ascii="宋体" w:hAnsi="宋体" w:eastAsia="宋体" w:cs="宋体"/>
          <w:b/>
          <w:bCs/>
          <w:color w:val="000000" w:themeColor="text1"/>
          <w:sz w:val="28"/>
          <w:highlight w:val="none"/>
          <w14:textFill>
            <w14:solidFill>
              <w14:schemeClr w14:val="tx1"/>
            </w14:solidFill>
          </w14:textFill>
        </w:rPr>
        <w:t>资质荣誉</w:t>
      </w:r>
    </w:p>
    <w:p>
      <w:pPr>
        <w:pStyle w:val="1619"/>
        <w:rPr>
          <w:rFonts w:ascii="宋体" w:hAnsi="宋体"/>
          <w:color w:val="000000" w:themeColor="text1"/>
          <w:highlight w:val="none"/>
          <w14:textFill>
            <w14:solidFill>
              <w14:schemeClr w14:val="tx1"/>
            </w14:solidFill>
          </w14:textFill>
        </w:rPr>
      </w:pPr>
    </w:p>
    <w:p>
      <w:pPr>
        <w:pStyle w:val="1620"/>
        <w:ind w:firstLine="56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 投标人能力</w:t>
      </w:r>
    </w:p>
    <w:p>
      <w:pPr>
        <w:pStyle w:val="1622"/>
        <w:jc w:val="center"/>
        <w:outlineLvl w:val="2"/>
        <w:rPr>
          <w:rFonts w:ascii="宋体" w:hAnsi="宋体" w:eastAsia="宋体"/>
          <w:b/>
          <w:bCs/>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clear="all"/>
      </w:r>
      <w:r>
        <w:rPr>
          <w:rFonts w:ascii="宋体" w:hAnsi="宋体" w:eastAsia="宋体" w:cs="宋体"/>
          <w:b/>
          <w:bCs/>
          <w:color w:val="000000" w:themeColor="text1"/>
          <w:sz w:val="28"/>
          <w:highlight w:val="none"/>
          <w14:textFill>
            <w14:solidFill>
              <w14:schemeClr w14:val="tx1"/>
            </w14:solidFill>
          </w14:textFill>
        </w:rPr>
        <w:t>(二)</w:t>
      </w:r>
      <w:r>
        <w:rPr>
          <w:rFonts w:hint="eastAsia" w:ascii="宋体" w:hAnsi="宋体" w:eastAsia="宋体" w:cs="宋体"/>
          <w:b/>
          <w:bCs/>
          <w:color w:val="000000" w:themeColor="text1"/>
          <w:sz w:val="28"/>
          <w:highlight w:val="none"/>
          <w14:textFill>
            <w14:solidFill>
              <w14:schemeClr w14:val="tx1"/>
            </w14:solidFill>
          </w14:textFill>
        </w:rPr>
        <w:t>业绩</w:t>
      </w:r>
    </w:p>
    <w:p>
      <w:pPr>
        <w:pStyle w:val="1623"/>
        <w:jc w:val="center"/>
        <w:outlineLvl w:val="2"/>
        <w:rPr>
          <w:rFonts w:ascii="宋体" w:hAnsi="宋体" w:eastAsia="宋体"/>
          <w:b/>
          <w:bCs/>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clear="all"/>
      </w:r>
      <w:r>
        <w:rPr>
          <w:rFonts w:ascii="宋体" w:hAnsi="宋体" w:eastAsia="宋体" w:cs="宋体"/>
          <w:b/>
          <w:bCs/>
          <w:color w:val="000000" w:themeColor="text1"/>
          <w:sz w:val="28"/>
          <w:highlight w:val="none"/>
          <w14:textFill>
            <w14:solidFill>
              <w14:schemeClr w14:val="tx1"/>
            </w14:solidFill>
          </w14:textFill>
        </w:rPr>
        <w:t>(</w:t>
      </w:r>
      <w:r>
        <w:rPr>
          <w:rFonts w:hint="eastAsia" w:ascii="宋体" w:hAnsi="宋体" w:eastAsia="宋体" w:cs="宋体"/>
          <w:b/>
          <w:bCs/>
          <w:color w:val="000000" w:themeColor="text1"/>
          <w:sz w:val="28"/>
          <w:highlight w:val="none"/>
          <w14:textFill>
            <w14:solidFill>
              <w14:schemeClr w14:val="tx1"/>
            </w14:solidFill>
          </w14:textFill>
        </w:rPr>
        <w:t>三</w:t>
      </w:r>
      <w:r>
        <w:rPr>
          <w:rFonts w:ascii="宋体" w:hAnsi="宋体" w:eastAsia="宋体" w:cs="宋体"/>
          <w:b/>
          <w:bCs/>
          <w:color w:val="000000" w:themeColor="text1"/>
          <w:sz w:val="28"/>
          <w:highlight w:val="none"/>
          <w14:textFill>
            <w14:solidFill>
              <w14:schemeClr w14:val="tx1"/>
            </w14:solidFill>
          </w14:textFill>
        </w:rPr>
        <w:t>)</w:t>
      </w:r>
      <w:r>
        <w:rPr>
          <w:rFonts w:hint="eastAsia" w:ascii="宋体" w:hAnsi="宋体" w:eastAsia="宋体" w:cs="宋体"/>
          <w:b/>
          <w:bCs/>
          <w:color w:val="000000" w:themeColor="text1"/>
          <w:sz w:val="28"/>
          <w:highlight w:val="none"/>
          <w14:textFill>
            <w14:solidFill>
              <w14:schemeClr w14:val="tx1"/>
            </w14:solidFill>
          </w14:textFill>
        </w:rPr>
        <w:t>拟派</w:t>
      </w:r>
      <w:r>
        <w:rPr>
          <w:rFonts w:ascii="宋体" w:hAnsi="宋体" w:eastAsia="宋体" w:cs="宋体"/>
          <w:b/>
          <w:bCs/>
          <w:color w:val="000000" w:themeColor="text1"/>
          <w:sz w:val="28"/>
          <w:highlight w:val="none"/>
          <w14:textFill>
            <w14:solidFill>
              <w14:schemeClr w14:val="tx1"/>
            </w14:solidFill>
          </w14:textFill>
        </w:rPr>
        <w:t>项目经理能力</w:t>
      </w:r>
    </w:p>
    <w:p>
      <w:pPr>
        <w:rPr>
          <w:rFonts w:ascii="宋体" w:hAnsi="宋体"/>
          <w:color w:val="000000" w:themeColor="text1"/>
          <w:highlight w:val="none"/>
          <w14:textFill>
            <w14:solidFill>
              <w14:schemeClr w14:val="tx1"/>
            </w14:solidFill>
          </w14:textFill>
        </w:rPr>
      </w:pPr>
    </w:p>
    <w:tbl>
      <w:tblPr>
        <w:tblStyle w:val="3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54"/>
        <w:gridCol w:w="1540"/>
        <w:gridCol w:w="47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2480" w:type="dxa"/>
            <w:tcBorders>
              <w:top w:val="single" w:color="000000" w:sz="12" w:space="0"/>
              <w:left w:val="single" w:color="000000" w:sz="12" w:space="0"/>
              <w:bottom w:val="single" w:color="000000" w:sz="4" w:space="0"/>
              <w:right w:val="single" w:color="000000" w:sz="4" w:space="0"/>
            </w:tcBorders>
            <w:vAlign w:val="center"/>
          </w:tcPr>
          <w:p>
            <w:pPr>
              <w:spacing w:line="360" w:lineRule="auto"/>
              <w:ind w:firstLine="482"/>
              <w:rPr>
                <w:rFonts w:ascii="宋体" w:hAnsi="宋体"/>
                <w:bCs/>
                <w:color w:val="000000" w:themeColor="text1"/>
                <w:sz w:val="24"/>
                <w:szCs w:val="20"/>
                <w:highlight w:val="none"/>
                <w14:textFill>
                  <w14:solidFill>
                    <w14:schemeClr w14:val="tx1"/>
                  </w14:solidFill>
                </w14:textFill>
              </w:rPr>
            </w:pPr>
            <w:r>
              <w:rPr>
                <w:rFonts w:ascii="宋体" w:hAnsi="宋体"/>
                <w:b/>
                <w:color w:val="000000" w:themeColor="text1"/>
                <w:sz w:val="24"/>
                <w:szCs w:val="20"/>
                <w:highlight w:val="none"/>
                <w14:textFill>
                  <w14:solidFill>
                    <w14:schemeClr w14:val="tx1"/>
                  </w14:solidFill>
                </w14:textFill>
              </w:rPr>
              <w:br w:type="page" w:clear="all"/>
            </w:r>
            <w:r>
              <w:rPr>
                <w:rFonts w:hint="eastAsia" w:ascii="宋体" w:hAnsi="宋体"/>
                <w:bCs/>
                <w:color w:val="000000" w:themeColor="text1"/>
                <w:sz w:val="24"/>
                <w:szCs w:val="20"/>
                <w:highlight w:val="none"/>
                <w14:textFill>
                  <w14:solidFill>
                    <w14:schemeClr w14:val="tx1"/>
                  </w14:solidFill>
                </w14:textFill>
              </w:rPr>
              <w:t>姓名</w:t>
            </w:r>
          </w:p>
        </w:tc>
        <w:tc>
          <w:tcPr>
            <w:tcW w:w="1766" w:type="dxa"/>
            <w:tcBorders>
              <w:top w:val="single" w:color="000000" w:sz="12" w:space="0"/>
              <w:left w:val="single" w:color="000000" w:sz="4" w:space="0"/>
              <w:bottom w:val="single" w:color="000000" w:sz="4" w:space="0"/>
              <w:right w:val="single" w:color="000000" w:sz="4" w:space="0"/>
            </w:tcBorders>
            <w:vAlign w:val="center"/>
          </w:tcPr>
          <w:p>
            <w:pPr>
              <w:spacing w:line="360" w:lineRule="auto"/>
              <w:ind w:left="-15" w:firstLine="480"/>
              <w:rPr>
                <w:rFonts w:ascii="宋体" w:hAnsi="宋体"/>
                <w:bCs/>
                <w:color w:val="000000" w:themeColor="text1"/>
                <w:sz w:val="24"/>
                <w:szCs w:val="20"/>
                <w:highlight w:val="none"/>
                <w14:textFill>
                  <w14:solidFill>
                    <w14:schemeClr w14:val="tx1"/>
                  </w14:solidFill>
                </w14:textFill>
              </w:rPr>
            </w:pPr>
          </w:p>
        </w:tc>
        <w:tc>
          <w:tcPr>
            <w:tcW w:w="5383" w:type="dxa"/>
            <w:tcBorders>
              <w:top w:val="single" w:color="000000" w:sz="12" w:space="0"/>
              <w:left w:val="single" w:color="000000" w:sz="4" w:space="0"/>
              <w:bottom w:val="single" w:color="000000" w:sz="4" w:space="0"/>
              <w:right w:val="single" w:color="000000" w:sz="12" w:space="0"/>
            </w:tcBorders>
            <w:vAlign w:val="center"/>
          </w:tcPr>
          <w:p>
            <w:pPr>
              <w:spacing w:line="360" w:lineRule="auto"/>
              <w:ind w:left="-15" w:firstLine="480"/>
              <w:rPr>
                <w:rFonts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近3年工作业绩及承担的主要工作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2480" w:type="dxa"/>
            <w:tcBorders>
              <w:top w:val="single" w:color="000000" w:sz="4" w:space="0"/>
              <w:left w:val="single" w:color="000000" w:sz="12" w:space="0"/>
              <w:bottom w:val="single" w:color="000000" w:sz="4" w:space="0"/>
              <w:right w:val="single" w:color="000000" w:sz="4" w:space="0"/>
            </w:tcBorders>
            <w:vAlign w:val="center"/>
          </w:tcPr>
          <w:p>
            <w:pPr>
              <w:spacing w:line="360" w:lineRule="auto"/>
              <w:ind w:firstLine="480"/>
              <w:rPr>
                <w:rFonts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性别</w:t>
            </w:r>
          </w:p>
        </w:tc>
        <w:tc>
          <w:tcPr>
            <w:tcW w:w="1766" w:type="dxa"/>
            <w:tcBorders>
              <w:top w:val="single" w:color="000000" w:sz="4" w:space="0"/>
              <w:left w:val="single" w:color="000000" w:sz="4" w:space="0"/>
              <w:bottom w:val="single" w:color="000000" w:sz="4" w:space="0"/>
              <w:right w:val="single" w:color="000000" w:sz="4" w:space="0"/>
            </w:tcBorders>
            <w:vAlign w:val="center"/>
          </w:tcPr>
          <w:p>
            <w:pPr>
              <w:spacing w:line="360" w:lineRule="auto"/>
              <w:ind w:left="-15" w:firstLine="480"/>
              <w:rPr>
                <w:rFonts w:ascii="宋体" w:hAnsi="宋体"/>
                <w:bCs/>
                <w:color w:val="000000" w:themeColor="text1"/>
                <w:sz w:val="24"/>
                <w:szCs w:val="20"/>
                <w:highlight w:val="none"/>
                <w14:textFill>
                  <w14:solidFill>
                    <w14:schemeClr w14:val="tx1"/>
                  </w14:solidFill>
                </w14:textFill>
              </w:rPr>
            </w:pPr>
          </w:p>
        </w:tc>
        <w:tc>
          <w:tcPr>
            <w:tcW w:w="5383" w:type="dxa"/>
            <w:vMerge w:val="restart"/>
            <w:tcBorders>
              <w:top w:val="single" w:color="000000" w:sz="4" w:space="0"/>
              <w:left w:val="single" w:color="000000" w:sz="4" w:space="0"/>
              <w:bottom w:val="single" w:color="000000" w:sz="4" w:space="0"/>
              <w:right w:val="single" w:color="000000" w:sz="12" w:space="0"/>
            </w:tcBorders>
            <w:vAlign w:val="center"/>
          </w:tcPr>
          <w:p>
            <w:pPr>
              <w:spacing w:line="360" w:lineRule="auto"/>
              <w:ind w:left="-15" w:firstLine="480"/>
              <w:rPr>
                <w:rFonts w:ascii="宋体" w:hAnsi="宋体"/>
                <w:bCs/>
                <w:color w:val="000000" w:themeColor="text1"/>
                <w:sz w:val="24"/>
                <w:szCs w:val="20"/>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2480" w:type="dxa"/>
            <w:tcBorders>
              <w:top w:val="single" w:color="000000" w:sz="4" w:space="0"/>
              <w:left w:val="single" w:color="000000" w:sz="12" w:space="0"/>
              <w:bottom w:val="single" w:color="000000" w:sz="4" w:space="0"/>
              <w:right w:val="single" w:color="000000" w:sz="4" w:space="0"/>
            </w:tcBorders>
            <w:vAlign w:val="center"/>
          </w:tcPr>
          <w:p>
            <w:pPr>
              <w:spacing w:line="360" w:lineRule="auto"/>
              <w:ind w:firstLine="480"/>
              <w:rPr>
                <w:rFonts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年龄</w:t>
            </w:r>
          </w:p>
        </w:tc>
        <w:tc>
          <w:tcPr>
            <w:tcW w:w="1766" w:type="dxa"/>
            <w:tcBorders>
              <w:top w:val="single" w:color="000000" w:sz="4" w:space="0"/>
              <w:left w:val="single" w:color="000000" w:sz="4" w:space="0"/>
              <w:bottom w:val="single" w:color="000000" w:sz="4" w:space="0"/>
              <w:right w:val="single" w:color="000000" w:sz="4" w:space="0"/>
            </w:tcBorders>
            <w:vAlign w:val="center"/>
          </w:tcPr>
          <w:p>
            <w:pPr>
              <w:spacing w:line="360" w:lineRule="auto"/>
              <w:ind w:left="-15" w:firstLine="480"/>
              <w:rPr>
                <w:rFonts w:ascii="宋体" w:hAnsi="宋体"/>
                <w:bCs/>
                <w:color w:val="000000" w:themeColor="text1"/>
                <w:sz w:val="24"/>
                <w:szCs w:val="20"/>
                <w:highlight w:val="none"/>
                <w14:textFill>
                  <w14:solidFill>
                    <w14:schemeClr w14:val="tx1"/>
                  </w14:solidFill>
                </w14:textFill>
              </w:rPr>
            </w:pPr>
          </w:p>
        </w:tc>
        <w:tc>
          <w:tcPr>
            <w:tcW w:w="5383" w:type="dxa"/>
            <w:vMerge w:val="continue"/>
            <w:tcBorders>
              <w:top w:val="single" w:color="000000" w:sz="4" w:space="0"/>
              <w:left w:val="single" w:color="000000" w:sz="4" w:space="0"/>
              <w:bottom w:val="single" w:color="000000" w:sz="4" w:space="0"/>
              <w:right w:val="single" w:color="000000" w:sz="12" w:space="0"/>
            </w:tcBorders>
            <w:vAlign w:val="center"/>
          </w:tcPr>
          <w:p>
            <w:pPr>
              <w:spacing w:line="360" w:lineRule="auto"/>
              <w:ind w:left="-15" w:firstLine="480"/>
              <w:rPr>
                <w:rFonts w:ascii="宋体" w:hAnsi="宋体"/>
                <w:bCs/>
                <w:color w:val="000000" w:themeColor="text1"/>
                <w:sz w:val="24"/>
                <w:szCs w:val="20"/>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2480" w:type="dxa"/>
            <w:tcBorders>
              <w:top w:val="single" w:color="000000" w:sz="4" w:space="0"/>
              <w:left w:val="single" w:color="000000" w:sz="12" w:space="0"/>
              <w:bottom w:val="single" w:color="000000" w:sz="4" w:space="0"/>
              <w:right w:val="single" w:color="000000" w:sz="4" w:space="0"/>
            </w:tcBorders>
            <w:vAlign w:val="center"/>
          </w:tcPr>
          <w:p>
            <w:pPr>
              <w:spacing w:line="360" w:lineRule="auto"/>
              <w:ind w:firstLine="480"/>
              <w:rPr>
                <w:rFonts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职称</w:t>
            </w:r>
          </w:p>
        </w:tc>
        <w:tc>
          <w:tcPr>
            <w:tcW w:w="1766" w:type="dxa"/>
            <w:tcBorders>
              <w:top w:val="single" w:color="000000" w:sz="4" w:space="0"/>
              <w:left w:val="single" w:color="000000" w:sz="4" w:space="0"/>
              <w:bottom w:val="single" w:color="000000" w:sz="4" w:space="0"/>
              <w:right w:val="single" w:color="000000" w:sz="4" w:space="0"/>
            </w:tcBorders>
            <w:vAlign w:val="center"/>
          </w:tcPr>
          <w:p>
            <w:pPr>
              <w:spacing w:line="360" w:lineRule="auto"/>
              <w:ind w:left="-15" w:firstLine="480"/>
              <w:rPr>
                <w:rFonts w:ascii="宋体" w:hAnsi="宋体"/>
                <w:bCs/>
                <w:color w:val="000000" w:themeColor="text1"/>
                <w:sz w:val="24"/>
                <w:szCs w:val="20"/>
                <w:highlight w:val="none"/>
                <w14:textFill>
                  <w14:solidFill>
                    <w14:schemeClr w14:val="tx1"/>
                  </w14:solidFill>
                </w14:textFill>
              </w:rPr>
            </w:pPr>
          </w:p>
        </w:tc>
        <w:tc>
          <w:tcPr>
            <w:tcW w:w="5383" w:type="dxa"/>
            <w:vMerge w:val="continue"/>
            <w:tcBorders>
              <w:top w:val="single" w:color="000000" w:sz="4" w:space="0"/>
              <w:left w:val="single" w:color="000000" w:sz="4" w:space="0"/>
              <w:bottom w:val="single" w:color="000000" w:sz="4" w:space="0"/>
              <w:right w:val="single" w:color="000000" w:sz="12" w:space="0"/>
            </w:tcBorders>
            <w:vAlign w:val="center"/>
          </w:tcPr>
          <w:p>
            <w:pPr>
              <w:spacing w:line="360" w:lineRule="auto"/>
              <w:ind w:left="-15" w:firstLine="480"/>
              <w:rPr>
                <w:rFonts w:ascii="宋体" w:hAnsi="宋体"/>
                <w:bCs/>
                <w:color w:val="000000" w:themeColor="text1"/>
                <w:sz w:val="24"/>
                <w:szCs w:val="20"/>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2480" w:type="dxa"/>
            <w:tcBorders>
              <w:top w:val="single" w:color="000000" w:sz="4" w:space="0"/>
              <w:left w:val="single" w:color="000000" w:sz="12" w:space="0"/>
              <w:bottom w:val="single" w:color="000000" w:sz="4" w:space="0"/>
              <w:right w:val="single" w:color="000000" w:sz="4" w:space="0"/>
            </w:tcBorders>
            <w:vAlign w:val="center"/>
          </w:tcPr>
          <w:p>
            <w:pPr>
              <w:spacing w:line="360" w:lineRule="auto"/>
              <w:ind w:left="-15" w:firstLine="480"/>
              <w:rPr>
                <w:rFonts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毕业时间</w:t>
            </w:r>
          </w:p>
        </w:tc>
        <w:tc>
          <w:tcPr>
            <w:tcW w:w="1766" w:type="dxa"/>
            <w:tcBorders>
              <w:top w:val="single" w:color="000000" w:sz="4" w:space="0"/>
              <w:left w:val="single" w:color="000000" w:sz="4" w:space="0"/>
              <w:bottom w:val="single" w:color="000000" w:sz="4" w:space="0"/>
              <w:right w:val="single" w:color="000000" w:sz="4" w:space="0"/>
            </w:tcBorders>
            <w:vAlign w:val="center"/>
          </w:tcPr>
          <w:p>
            <w:pPr>
              <w:spacing w:line="360" w:lineRule="auto"/>
              <w:ind w:left="-15" w:firstLine="480"/>
              <w:rPr>
                <w:rFonts w:ascii="宋体" w:hAnsi="宋体"/>
                <w:bCs/>
                <w:color w:val="000000" w:themeColor="text1"/>
                <w:sz w:val="24"/>
                <w:szCs w:val="20"/>
                <w:highlight w:val="none"/>
                <w14:textFill>
                  <w14:solidFill>
                    <w14:schemeClr w14:val="tx1"/>
                  </w14:solidFill>
                </w14:textFill>
              </w:rPr>
            </w:pPr>
          </w:p>
        </w:tc>
        <w:tc>
          <w:tcPr>
            <w:tcW w:w="5383" w:type="dxa"/>
            <w:vMerge w:val="continue"/>
            <w:tcBorders>
              <w:top w:val="single" w:color="000000" w:sz="4" w:space="0"/>
              <w:left w:val="single" w:color="000000" w:sz="4" w:space="0"/>
              <w:bottom w:val="single" w:color="000000" w:sz="4" w:space="0"/>
              <w:right w:val="single" w:color="000000" w:sz="12" w:space="0"/>
            </w:tcBorders>
            <w:vAlign w:val="center"/>
          </w:tcPr>
          <w:p>
            <w:pPr>
              <w:spacing w:line="360" w:lineRule="auto"/>
              <w:ind w:left="-15" w:firstLine="480"/>
              <w:rPr>
                <w:rFonts w:ascii="宋体" w:hAnsi="宋体"/>
                <w:bCs/>
                <w:color w:val="000000" w:themeColor="text1"/>
                <w:sz w:val="24"/>
                <w:szCs w:val="20"/>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2480" w:type="dxa"/>
            <w:tcBorders>
              <w:top w:val="single" w:color="000000" w:sz="4" w:space="0"/>
              <w:left w:val="single" w:color="000000" w:sz="12" w:space="0"/>
              <w:bottom w:val="single" w:color="000000" w:sz="4" w:space="0"/>
              <w:right w:val="single" w:color="000000" w:sz="4" w:space="0"/>
            </w:tcBorders>
            <w:vAlign w:val="center"/>
          </w:tcPr>
          <w:p>
            <w:pPr>
              <w:spacing w:line="360" w:lineRule="auto"/>
              <w:ind w:left="-15" w:firstLine="480"/>
              <w:rPr>
                <w:rFonts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所学专业</w:t>
            </w:r>
          </w:p>
        </w:tc>
        <w:tc>
          <w:tcPr>
            <w:tcW w:w="1766" w:type="dxa"/>
            <w:tcBorders>
              <w:top w:val="single" w:color="000000" w:sz="4" w:space="0"/>
              <w:left w:val="single" w:color="000000" w:sz="4" w:space="0"/>
              <w:bottom w:val="single" w:color="000000" w:sz="4" w:space="0"/>
              <w:right w:val="single" w:color="000000" w:sz="4" w:space="0"/>
            </w:tcBorders>
            <w:vAlign w:val="center"/>
          </w:tcPr>
          <w:p>
            <w:pPr>
              <w:spacing w:line="360" w:lineRule="auto"/>
              <w:ind w:left="-15" w:firstLine="480"/>
              <w:rPr>
                <w:rFonts w:ascii="宋体" w:hAnsi="宋体"/>
                <w:bCs/>
                <w:color w:val="000000" w:themeColor="text1"/>
                <w:sz w:val="24"/>
                <w:szCs w:val="20"/>
                <w:highlight w:val="none"/>
                <w14:textFill>
                  <w14:solidFill>
                    <w14:schemeClr w14:val="tx1"/>
                  </w14:solidFill>
                </w14:textFill>
              </w:rPr>
            </w:pPr>
          </w:p>
        </w:tc>
        <w:tc>
          <w:tcPr>
            <w:tcW w:w="5383" w:type="dxa"/>
            <w:vMerge w:val="continue"/>
            <w:tcBorders>
              <w:top w:val="single" w:color="000000" w:sz="4" w:space="0"/>
              <w:left w:val="single" w:color="000000" w:sz="4" w:space="0"/>
              <w:bottom w:val="single" w:color="000000" w:sz="4" w:space="0"/>
              <w:right w:val="single" w:color="000000" w:sz="12" w:space="0"/>
            </w:tcBorders>
            <w:vAlign w:val="center"/>
          </w:tcPr>
          <w:p>
            <w:pPr>
              <w:spacing w:line="360" w:lineRule="auto"/>
              <w:ind w:left="-15" w:firstLine="480"/>
              <w:rPr>
                <w:rFonts w:ascii="宋体" w:hAnsi="宋体"/>
                <w:bCs/>
                <w:color w:val="000000" w:themeColor="text1"/>
                <w:sz w:val="24"/>
                <w:szCs w:val="20"/>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2480" w:type="dxa"/>
            <w:tcBorders>
              <w:top w:val="single" w:color="000000" w:sz="4" w:space="0"/>
              <w:left w:val="single" w:color="000000" w:sz="12" w:space="0"/>
              <w:bottom w:val="single" w:color="000000" w:sz="4" w:space="0"/>
              <w:right w:val="single" w:color="000000" w:sz="4" w:space="0"/>
            </w:tcBorders>
            <w:vAlign w:val="center"/>
          </w:tcPr>
          <w:p>
            <w:pPr>
              <w:spacing w:line="360" w:lineRule="auto"/>
              <w:ind w:firstLine="480"/>
              <w:rPr>
                <w:rFonts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学历</w:t>
            </w:r>
          </w:p>
        </w:tc>
        <w:tc>
          <w:tcPr>
            <w:tcW w:w="1766" w:type="dxa"/>
            <w:tcBorders>
              <w:top w:val="single" w:color="000000" w:sz="4" w:space="0"/>
              <w:left w:val="single" w:color="000000" w:sz="4" w:space="0"/>
              <w:bottom w:val="single" w:color="000000" w:sz="4" w:space="0"/>
              <w:right w:val="single" w:color="000000" w:sz="4" w:space="0"/>
            </w:tcBorders>
            <w:vAlign w:val="center"/>
          </w:tcPr>
          <w:p>
            <w:pPr>
              <w:spacing w:line="360" w:lineRule="auto"/>
              <w:ind w:left="-15" w:firstLine="480"/>
              <w:rPr>
                <w:rFonts w:ascii="宋体" w:hAnsi="宋体"/>
                <w:bCs/>
                <w:color w:val="000000" w:themeColor="text1"/>
                <w:sz w:val="24"/>
                <w:szCs w:val="20"/>
                <w:highlight w:val="none"/>
                <w14:textFill>
                  <w14:solidFill>
                    <w14:schemeClr w14:val="tx1"/>
                  </w14:solidFill>
                </w14:textFill>
              </w:rPr>
            </w:pPr>
          </w:p>
        </w:tc>
        <w:tc>
          <w:tcPr>
            <w:tcW w:w="5383" w:type="dxa"/>
            <w:vMerge w:val="continue"/>
            <w:tcBorders>
              <w:top w:val="single" w:color="000000" w:sz="4" w:space="0"/>
              <w:left w:val="single" w:color="000000" w:sz="4" w:space="0"/>
              <w:bottom w:val="single" w:color="000000" w:sz="4" w:space="0"/>
              <w:right w:val="single" w:color="000000" w:sz="12" w:space="0"/>
            </w:tcBorders>
            <w:vAlign w:val="center"/>
          </w:tcPr>
          <w:p>
            <w:pPr>
              <w:spacing w:line="360" w:lineRule="auto"/>
              <w:ind w:left="-15" w:firstLine="480"/>
              <w:rPr>
                <w:rFonts w:ascii="宋体" w:hAnsi="宋体"/>
                <w:bCs/>
                <w:color w:val="000000" w:themeColor="text1"/>
                <w:sz w:val="24"/>
                <w:szCs w:val="20"/>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2480" w:type="dxa"/>
            <w:tcBorders>
              <w:top w:val="single" w:color="000000" w:sz="4" w:space="0"/>
              <w:left w:val="single" w:color="000000" w:sz="12" w:space="0"/>
              <w:bottom w:val="single" w:color="000000" w:sz="4" w:space="0"/>
              <w:right w:val="single" w:color="000000" w:sz="4" w:space="0"/>
            </w:tcBorders>
            <w:vAlign w:val="center"/>
          </w:tcPr>
          <w:p>
            <w:pPr>
              <w:spacing w:line="360" w:lineRule="auto"/>
              <w:ind w:left="-15" w:firstLine="480"/>
              <w:rPr>
                <w:rFonts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证书名称</w:t>
            </w:r>
          </w:p>
        </w:tc>
        <w:tc>
          <w:tcPr>
            <w:tcW w:w="1766" w:type="dxa"/>
            <w:tcBorders>
              <w:top w:val="single" w:color="000000" w:sz="4" w:space="0"/>
              <w:left w:val="single" w:color="000000" w:sz="4" w:space="0"/>
              <w:bottom w:val="single" w:color="000000" w:sz="4" w:space="0"/>
              <w:right w:val="single" w:color="000000" w:sz="4" w:space="0"/>
            </w:tcBorders>
            <w:vAlign w:val="center"/>
          </w:tcPr>
          <w:p>
            <w:pPr>
              <w:spacing w:line="360" w:lineRule="auto"/>
              <w:ind w:left="-15" w:firstLine="480"/>
              <w:rPr>
                <w:rFonts w:ascii="宋体" w:hAnsi="宋体"/>
                <w:bCs/>
                <w:color w:val="000000" w:themeColor="text1"/>
                <w:sz w:val="24"/>
                <w:szCs w:val="20"/>
                <w:highlight w:val="none"/>
                <w14:textFill>
                  <w14:solidFill>
                    <w14:schemeClr w14:val="tx1"/>
                  </w14:solidFill>
                </w14:textFill>
              </w:rPr>
            </w:pPr>
          </w:p>
        </w:tc>
        <w:tc>
          <w:tcPr>
            <w:tcW w:w="5383" w:type="dxa"/>
            <w:vMerge w:val="continue"/>
            <w:tcBorders>
              <w:top w:val="single" w:color="000000" w:sz="4" w:space="0"/>
              <w:left w:val="single" w:color="000000" w:sz="4" w:space="0"/>
              <w:bottom w:val="single" w:color="000000" w:sz="4" w:space="0"/>
              <w:right w:val="single" w:color="000000" w:sz="12" w:space="0"/>
            </w:tcBorders>
            <w:vAlign w:val="center"/>
          </w:tcPr>
          <w:p>
            <w:pPr>
              <w:spacing w:line="360" w:lineRule="auto"/>
              <w:ind w:left="-15" w:firstLine="480"/>
              <w:rPr>
                <w:rFonts w:ascii="宋体" w:hAnsi="宋体"/>
                <w:bCs/>
                <w:color w:val="000000" w:themeColor="text1"/>
                <w:sz w:val="24"/>
                <w:szCs w:val="20"/>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2480" w:type="dxa"/>
            <w:tcBorders>
              <w:top w:val="single" w:color="000000" w:sz="4" w:space="0"/>
              <w:left w:val="single" w:color="000000" w:sz="12" w:space="0"/>
              <w:bottom w:val="single" w:color="000000" w:sz="4" w:space="0"/>
              <w:right w:val="single" w:color="000000" w:sz="4" w:space="0"/>
            </w:tcBorders>
            <w:vAlign w:val="center"/>
          </w:tcPr>
          <w:p>
            <w:pPr>
              <w:spacing w:line="360" w:lineRule="auto"/>
              <w:ind w:left="-15" w:firstLine="480"/>
              <w:rPr>
                <w:rFonts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专业资格</w:t>
            </w:r>
          </w:p>
        </w:tc>
        <w:tc>
          <w:tcPr>
            <w:tcW w:w="1766" w:type="dxa"/>
            <w:tcBorders>
              <w:top w:val="single" w:color="000000" w:sz="4" w:space="0"/>
              <w:left w:val="single" w:color="000000" w:sz="4" w:space="0"/>
              <w:bottom w:val="single" w:color="000000" w:sz="4" w:space="0"/>
              <w:right w:val="single" w:color="000000" w:sz="4" w:space="0"/>
            </w:tcBorders>
            <w:vAlign w:val="center"/>
          </w:tcPr>
          <w:p>
            <w:pPr>
              <w:spacing w:line="360" w:lineRule="auto"/>
              <w:ind w:left="-15" w:firstLine="480"/>
              <w:rPr>
                <w:rFonts w:ascii="宋体" w:hAnsi="宋体"/>
                <w:bCs/>
                <w:color w:val="000000" w:themeColor="text1"/>
                <w:sz w:val="24"/>
                <w:szCs w:val="20"/>
                <w:highlight w:val="none"/>
                <w14:textFill>
                  <w14:solidFill>
                    <w14:schemeClr w14:val="tx1"/>
                  </w14:solidFill>
                </w14:textFill>
              </w:rPr>
            </w:pPr>
          </w:p>
        </w:tc>
        <w:tc>
          <w:tcPr>
            <w:tcW w:w="5383" w:type="dxa"/>
            <w:vMerge w:val="continue"/>
            <w:tcBorders>
              <w:top w:val="single" w:color="000000" w:sz="4" w:space="0"/>
              <w:left w:val="single" w:color="000000" w:sz="4" w:space="0"/>
              <w:bottom w:val="single" w:color="000000" w:sz="4" w:space="0"/>
              <w:right w:val="single" w:color="000000" w:sz="12" w:space="0"/>
            </w:tcBorders>
            <w:vAlign w:val="center"/>
          </w:tcPr>
          <w:p>
            <w:pPr>
              <w:spacing w:line="360" w:lineRule="auto"/>
              <w:ind w:left="-15" w:firstLine="480"/>
              <w:rPr>
                <w:rFonts w:ascii="宋体" w:hAnsi="宋体"/>
                <w:bCs/>
                <w:color w:val="000000" w:themeColor="text1"/>
                <w:sz w:val="24"/>
                <w:szCs w:val="20"/>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2480" w:type="dxa"/>
            <w:tcBorders>
              <w:top w:val="single" w:color="000000" w:sz="4" w:space="0"/>
              <w:left w:val="single" w:color="000000" w:sz="12" w:space="0"/>
              <w:bottom w:val="single" w:color="000000" w:sz="4" w:space="0"/>
              <w:right w:val="single" w:color="000000" w:sz="4" w:space="0"/>
            </w:tcBorders>
            <w:vAlign w:val="center"/>
          </w:tcPr>
          <w:p>
            <w:pPr>
              <w:spacing w:line="360" w:lineRule="auto"/>
              <w:ind w:left="-15" w:firstLine="480"/>
              <w:rPr>
                <w:rFonts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联系电话</w:t>
            </w:r>
          </w:p>
        </w:tc>
        <w:tc>
          <w:tcPr>
            <w:tcW w:w="1766" w:type="dxa"/>
            <w:tcBorders>
              <w:top w:val="single" w:color="000000" w:sz="4" w:space="0"/>
              <w:left w:val="single" w:color="000000" w:sz="4" w:space="0"/>
              <w:bottom w:val="single" w:color="000000" w:sz="4" w:space="0"/>
              <w:right w:val="single" w:color="000000" w:sz="4" w:space="0"/>
            </w:tcBorders>
            <w:vAlign w:val="center"/>
          </w:tcPr>
          <w:p>
            <w:pPr>
              <w:spacing w:line="360" w:lineRule="auto"/>
              <w:ind w:left="-15" w:firstLine="480"/>
              <w:rPr>
                <w:rFonts w:ascii="宋体" w:hAnsi="宋体"/>
                <w:bCs/>
                <w:color w:val="000000" w:themeColor="text1"/>
                <w:sz w:val="24"/>
                <w:szCs w:val="20"/>
                <w:highlight w:val="none"/>
                <w14:textFill>
                  <w14:solidFill>
                    <w14:schemeClr w14:val="tx1"/>
                  </w14:solidFill>
                </w14:textFill>
              </w:rPr>
            </w:pPr>
          </w:p>
        </w:tc>
        <w:tc>
          <w:tcPr>
            <w:tcW w:w="5383" w:type="dxa"/>
            <w:vMerge w:val="continue"/>
            <w:tcBorders>
              <w:top w:val="single" w:color="000000" w:sz="4" w:space="0"/>
              <w:left w:val="single" w:color="000000" w:sz="4" w:space="0"/>
              <w:bottom w:val="single" w:color="000000" w:sz="4" w:space="0"/>
              <w:right w:val="single" w:color="000000" w:sz="12" w:space="0"/>
            </w:tcBorders>
            <w:vAlign w:val="center"/>
          </w:tcPr>
          <w:p>
            <w:pPr>
              <w:spacing w:line="360" w:lineRule="auto"/>
              <w:ind w:left="-15" w:firstLine="480"/>
              <w:rPr>
                <w:rFonts w:ascii="宋体" w:hAnsi="宋体"/>
                <w:bCs/>
                <w:color w:val="000000" w:themeColor="text1"/>
                <w:sz w:val="24"/>
                <w:szCs w:val="20"/>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5" w:hRule="atLeast"/>
          <w:jc w:val="center"/>
        </w:trPr>
        <w:tc>
          <w:tcPr>
            <w:tcW w:w="2480" w:type="dxa"/>
            <w:tcBorders>
              <w:top w:val="single" w:color="000000" w:sz="4" w:space="0"/>
              <w:left w:val="single" w:color="000000" w:sz="12" w:space="0"/>
              <w:bottom w:val="single" w:color="000000" w:sz="4" w:space="0"/>
              <w:right w:val="single" w:color="000000" w:sz="4" w:space="0"/>
            </w:tcBorders>
            <w:vAlign w:val="center"/>
          </w:tcPr>
          <w:p>
            <w:pPr>
              <w:spacing w:line="360" w:lineRule="auto"/>
              <w:ind w:left="-15"/>
              <w:jc w:val="center"/>
              <w:rPr>
                <w:rFonts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曾担任项目主要负责人的项目</w:t>
            </w:r>
          </w:p>
        </w:tc>
        <w:tc>
          <w:tcPr>
            <w:tcW w:w="7149" w:type="dxa"/>
            <w:gridSpan w:val="2"/>
            <w:tcBorders>
              <w:top w:val="single" w:color="000000" w:sz="4" w:space="0"/>
              <w:left w:val="single" w:color="000000" w:sz="4" w:space="0"/>
              <w:bottom w:val="single" w:color="000000" w:sz="4" w:space="0"/>
              <w:right w:val="single" w:color="000000" w:sz="12" w:space="0"/>
            </w:tcBorders>
            <w:vAlign w:val="center"/>
          </w:tcPr>
          <w:p>
            <w:pPr>
              <w:spacing w:line="360" w:lineRule="auto"/>
              <w:ind w:left="-15" w:firstLine="480"/>
              <w:rPr>
                <w:rFonts w:ascii="宋体" w:hAnsi="宋体"/>
                <w:bCs/>
                <w:color w:val="000000" w:themeColor="text1"/>
                <w:sz w:val="24"/>
                <w:szCs w:val="20"/>
                <w:highlight w:val="none"/>
                <w14:textFill>
                  <w14:solidFill>
                    <w14:schemeClr w14:val="tx1"/>
                  </w14:solidFill>
                </w14:textFill>
              </w:rPr>
            </w:pPr>
          </w:p>
        </w:tc>
      </w:tr>
    </w:tbl>
    <w:p>
      <w:pPr>
        <w:widowControl/>
        <w:jc w:val="left"/>
        <w:rPr>
          <w:rFonts w:ascii="宋体" w:hAnsi="宋体"/>
          <w:b/>
          <w:color w:val="000000" w:themeColor="text1"/>
          <w:sz w:val="24"/>
          <w:highlight w:val="none"/>
          <w14:textFill>
            <w14:solidFill>
              <w14:schemeClr w14:val="tx1"/>
            </w14:solidFill>
          </w14:textFill>
        </w:rPr>
      </w:pPr>
    </w:p>
    <w:p>
      <w:pPr>
        <w:spacing w:line="360" w:lineRule="auto"/>
        <w:rPr>
          <w:rFonts w:ascii="宋体" w:hAnsi="宋体"/>
          <w:bCs/>
          <w:color w:val="000000" w:themeColor="text1"/>
          <w:sz w:val="24"/>
          <w:szCs w:val="20"/>
          <w:highlight w:val="none"/>
          <w:u w:val="singl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注：</w:t>
      </w:r>
      <w:r>
        <w:rPr>
          <w:rFonts w:hint="eastAsia" w:ascii="宋体" w:hAnsi="宋体"/>
          <w:bCs/>
          <w:color w:val="000000" w:themeColor="text1"/>
          <w:sz w:val="24"/>
          <w:szCs w:val="20"/>
          <w:highlight w:val="none"/>
          <w14:textFill>
            <w14:solidFill>
              <w14:schemeClr w14:val="tx1"/>
            </w14:solidFill>
          </w14:textFill>
        </w:rPr>
        <w:t>1、</w:t>
      </w:r>
      <w:r>
        <w:rPr>
          <w:rFonts w:hint="eastAsia" w:ascii="宋体" w:hAnsi="宋体"/>
          <w:bCs/>
          <w:color w:val="000000" w:themeColor="text1"/>
          <w:sz w:val="24"/>
          <w:szCs w:val="20"/>
          <w:highlight w:val="none"/>
          <w:u w:val="single"/>
          <w14:textFill>
            <w14:solidFill>
              <w14:schemeClr w14:val="tx1"/>
            </w14:solidFill>
          </w14:textFill>
        </w:rPr>
        <w:t>项目经理具有资格证书的，应在本栏目</w:t>
      </w:r>
      <w:r>
        <w:rPr>
          <w:rFonts w:hint="eastAsia" w:ascii="宋体" w:hAnsi="宋体"/>
          <w:color w:val="000000" w:themeColor="text1"/>
          <w:sz w:val="24"/>
          <w:szCs w:val="20"/>
          <w:highlight w:val="none"/>
          <w:u w:val="single"/>
          <w14:textFill>
            <w14:solidFill>
              <w14:schemeClr w14:val="tx1"/>
            </w14:solidFill>
          </w14:textFill>
        </w:rPr>
        <w:t>提交相关证书扫描件。</w:t>
      </w:r>
    </w:p>
    <w:p>
      <w:pPr>
        <w:spacing w:line="360" w:lineRule="auto"/>
        <w:ind w:firstLine="480"/>
        <w:rPr>
          <w:rFonts w:ascii="宋体" w:hAnsi="宋体"/>
          <w:bCs/>
          <w:color w:val="000000" w:themeColor="text1"/>
          <w:sz w:val="24"/>
          <w:szCs w:val="20"/>
          <w:highlight w:val="none"/>
          <w:u w:val="singl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2、</w:t>
      </w:r>
      <w:r>
        <w:rPr>
          <w:rFonts w:hint="eastAsia" w:ascii="宋体" w:hAnsi="宋体"/>
          <w:bCs/>
          <w:color w:val="000000" w:themeColor="text1"/>
          <w:sz w:val="24"/>
          <w:szCs w:val="20"/>
          <w:highlight w:val="none"/>
          <w:u w:val="single"/>
          <w14:textFill>
            <w14:solidFill>
              <w14:schemeClr w14:val="tx1"/>
            </w14:solidFill>
          </w14:textFill>
        </w:rPr>
        <w:t>列入本表人员如要更换，需经招标人同意。擅自更换属违约行为。</w:t>
      </w:r>
    </w:p>
    <w:p>
      <w:pPr>
        <w:ind w:firstLine="48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3、</w:t>
      </w:r>
      <w:r>
        <w:rPr>
          <w:rFonts w:hint="eastAsia" w:ascii="宋体" w:hAnsi="宋体"/>
          <w:bCs/>
          <w:color w:val="000000" w:themeColor="text1"/>
          <w:sz w:val="24"/>
          <w:highlight w:val="none"/>
          <w:u w:val="single"/>
          <w14:textFill>
            <w14:solidFill>
              <w14:schemeClr w14:val="tx1"/>
            </w14:solidFill>
          </w14:textFill>
        </w:rPr>
        <w:t>项目经理须提供近半年内至少一个月的投标人为其缴纳社会保险的证明材料。</w:t>
      </w:r>
    </w:p>
    <w:p>
      <w:pPr>
        <w:pStyle w:val="1623"/>
        <w:spacing w:after="240"/>
        <w:jc w:val="center"/>
        <w:outlineLvl w:val="2"/>
        <w:rPr>
          <w:rFonts w:ascii="宋体" w:hAnsi="宋体" w:eastAsia="宋体" w:cs="宋体"/>
          <w:b/>
          <w:bCs/>
          <w:color w:val="000000" w:themeColor="text1"/>
          <w:sz w:val="28"/>
          <w:highlight w:val="none"/>
          <w14:textFill>
            <w14:solidFill>
              <w14:schemeClr w14:val="tx1"/>
            </w14:solidFill>
          </w14:textFill>
        </w:rPr>
      </w:pPr>
      <w:r>
        <w:rPr>
          <w:rFonts w:ascii="宋体" w:hAnsi="宋体" w:eastAsia="宋体" w:cs="宋体"/>
          <w:color w:val="000000" w:themeColor="text1"/>
          <w:sz w:val="28"/>
          <w:highlight w:val="none"/>
          <w14:textFill>
            <w14:solidFill>
              <w14:schemeClr w14:val="tx1"/>
            </w14:solidFill>
          </w14:textFill>
        </w:rPr>
        <w:br w:type="page" w:clear="all"/>
      </w:r>
      <w:r>
        <w:rPr>
          <w:rFonts w:hint="eastAsia" w:ascii="宋体" w:hAnsi="宋体" w:eastAsia="宋体" w:cs="宋体"/>
          <w:b/>
          <w:bCs/>
          <w:color w:val="000000" w:themeColor="text1"/>
          <w:sz w:val="28"/>
          <w:highlight w:val="none"/>
          <w14:textFill>
            <w14:solidFill>
              <w14:schemeClr w14:val="tx1"/>
            </w14:solidFill>
          </w14:textFill>
        </w:rPr>
        <w:t>(四</w:t>
      </w:r>
      <w:r>
        <w:rPr>
          <w:rFonts w:ascii="宋体" w:hAnsi="宋体" w:eastAsia="宋体" w:cs="宋体"/>
          <w:b/>
          <w:bCs/>
          <w:color w:val="000000" w:themeColor="text1"/>
          <w:sz w:val="28"/>
          <w:highlight w:val="none"/>
          <w14:textFill>
            <w14:solidFill>
              <w14:schemeClr w14:val="tx1"/>
            </w14:solidFill>
          </w14:textFill>
        </w:rPr>
        <w:t>)项目实施成员能力</w:t>
      </w:r>
    </w:p>
    <w:tbl>
      <w:tblPr>
        <w:tblStyle w:val="39"/>
        <w:tblW w:w="502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32"/>
        <w:gridCol w:w="794"/>
        <w:gridCol w:w="1276"/>
        <w:gridCol w:w="1275"/>
        <w:gridCol w:w="2023"/>
        <w:gridCol w:w="1701"/>
        <w:gridCol w:w="7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732" w:type="dxa"/>
            <w:vAlign w:val="center"/>
          </w:tcPr>
          <w:p>
            <w:pPr>
              <w:pStyle w:val="1628"/>
              <w:spacing w:line="360" w:lineRule="auto"/>
              <w:jc w:val="center"/>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序号</w:t>
            </w:r>
          </w:p>
        </w:tc>
        <w:tc>
          <w:tcPr>
            <w:tcW w:w="794" w:type="dxa"/>
            <w:vAlign w:val="center"/>
          </w:tcPr>
          <w:p>
            <w:pPr>
              <w:pStyle w:val="1628"/>
              <w:spacing w:line="360" w:lineRule="auto"/>
              <w:jc w:val="center"/>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姓名</w:t>
            </w:r>
          </w:p>
        </w:tc>
        <w:tc>
          <w:tcPr>
            <w:tcW w:w="1276" w:type="dxa"/>
            <w:vAlign w:val="center"/>
          </w:tcPr>
          <w:p>
            <w:pPr>
              <w:pStyle w:val="1628"/>
              <w:spacing w:line="360" w:lineRule="auto"/>
              <w:jc w:val="center"/>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身份证号</w:t>
            </w:r>
          </w:p>
        </w:tc>
        <w:tc>
          <w:tcPr>
            <w:tcW w:w="1275" w:type="dxa"/>
            <w:vAlign w:val="center"/>
          </w:tcPr>
          <w:p>
            <w:pPr>
              <w:pStyle w:val="1628"/>
              <w:spacing w:line="360" w:lineRule="auto"/>
              <w:jc w:val="center"/>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人员类别</w:t>
            </w:r>
          </w:p>
        </w:tc>
        <w:tc>
          <w:tcPr>
            <w:tcW w:w="2023" w:type="dxa"/>
            <w:vAlign w:val="center"/>
          </w:tcPr>
          <w:p>
            <w:pPr>
              <w:pStyle w:val="1628"/>
              <w:spacing w:line="360" w:lineRule="auto"/>
              <w:jc w:val="center"/>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技术证书、级别</w:t>
            </w:r>
          </w:p>
        </w:tc>
        <w:tc>
          <w:tcPr>
            <w:tcW w:w="1701" w:type="dxa"/>
            <w:vAlign w:val="center"/>
          </w:tcPr>
          <w:p>
            <w:pPr>
              <w:pStyle w:val="1628"/>
              <w:spacing w:line="360" w:lineRule="auto"/>
              <w:jc w:val="center"/>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相关工作经验</w:t>
            </w:r>
          </w:p>
        </w:tc>
        <w:tc>
          <w:tcPr>
            <w:tcW w:w="760" w:type="dxa"/>
            <w:vAlign w:val="center"/>
          </w:tcPr>
          <w:p>
            <w:pPr>
              <w:pStyle w:val="1628"/>
              <w:spacing w:line="360" w:lineRule="auto"/>
              <w:jc w:val="center"/>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32"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794"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1276"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1275"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2023"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1701"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760" w:type="dxa"/>
          </w:tcPr>
          <w:p>
            <w:pPr>
              <w:pStyle w:val="1628"/>
              <w:spacing w:line="360" w:lineRule="auto"/>
              <w:rPr>
                <w:rFonts w:ascii="宋体" w:hAnsi="宋体"/>
                <w:b/>
                <w:color w:val="000000" w:themeColor="text1"/>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32"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794"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1276"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1275"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2023"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1701"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760" w:type="dxa"/>
          </w:tcPr>
          <w:p>
            <w:pPr>
              <w:pStyle w:val="1628"/>
              <w:spacing w:line="360" w:lineRule="auto"/>
              <w:rPr>
                <w:rFonts w:ascii="宋体" w:hAnsi="宋体"/>
                <w:b/>
                <w:color w:val="000000" w:themeColor="text1"/>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32"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794"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1276"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1275"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2023"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1701"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760" w:type="dxa"/>
          </w:tcPr>
          <w:p>
            <w:pPr>
              <w:pStyle w:val="1628"/>
              <w:spacing w:line="360" w:lineRule="auto"/>
              <w:rPr>
                <w:rFonts w:ascii="宋体" w:hAnsi="宋体"/>
                <w:b/>
                <w:color w:val="000000" w:themeColor="text1"/>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32" w:type="dxa"/>
          </w:tcPr>
          <w:p>
            <w:pPr>
              <w:pStyle w:val="1628"/>
              <w:spacing w:line="360" w:lineRule="auto"/>
              <w:rPr>
                <w:rFonts w:ascii="宋体" w:hAnsi="宋体"/>
                <w:b/>
                <w:color w:val="000000" w:themeColor="text1"/>
                <w:sz w:val="18"/>
                <w:szCs w:val="18"/>
                <w:highlight w:val="none"/>
                <w14:textFill>
                  <w14:solidFill>
                    <w14:schemeClr w14:val="tx1"/>
                  </w14:solidFill>
                </w14:textFill>
              </w:rPr>
            </w:pPr>
          </w:p>
        </w:tc>
        <w:tc>
          <w:tcPr>
            <w:tcW w:w="794"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1276"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1275"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2023"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1701"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760" w:type="dxa"/>
          </w:tcPr>
          <w:p>
            <w:pPr>
              <w:pStyle w:val="1628"/>
              <w:spacing w:line="360" w:lineRule="auto"/>
              <w:rPr>
                <w:rFonts w:ascii="宋体" w:hAnsi="宋体"/>
                <w:b/>
                <w:color w:val="000000" w:themeColor="text1"/>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32"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794"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1276"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1275"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2023"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1701"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760" w:type="dxa"/>
          </w:tcPr>
          <w:p>
            <w:pPr>
              <w:pStyle w:val="1628"/>
              <w:spacing w:line="360" w:lineRule="auto"/>
              <w:rPr>
                <w:rFonts w:ascii="宋体" w:hAnsi="宋体"/>
                <w:b/>
                <w:color w:val="000000" w:themeColor="text1"/>
                <w:sz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32"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794"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1276"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1275"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2023"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1701" w:type="dxa"/>
          </w:tcPr>
          <w:p>
            <w:pPr>
              <w:pStyle w:val="1628"/>
              <w:spacing w:line="360" w:lineRule="auto"/>
              <w:rPr>
                <w:rFonts w:ascii="宋体" w:hAnsi="宋体"/>
                <w:b/>
                <w:color w:val="000000" w:themeColor="text1"/>
                <w:sz w:val="24"/>
                <w:highlight w:val="none"/>
                <w14:textFill>
                  <w14:solidFill>
                    <w14:schemeClr w14:val="tx1"/>
                  </w14:solidFill>
                </w14:textFill>
              </w:rPr>
            </w:pPr>
          </w:p>
        </w:tc>
        <w:tc>
          <w:tcPr>
            <w:tcW w:w="760" w:type="dxa"/>
          </w:tcPr>
          <w:p>
            <w:pPr>
              <w:pStyle w:val="1628"/>
              <w:spacing w:line="360" w:lineRule="auto"/>
              <w:rPr>
                <w:rFonts w:ascii="宋体" w:hAnsi="宋体"/>
                <w:b/>
                <w:color w:val="000000" w:themeColor="text1"/>
                <w:sz w:val="24"/>
                <w:highlight w:val="none"/>
                <w14:textFill>
                  <w14:solidFill>
                    <w14:schemeClr w14:val="tx1"/>
                  </w14:solidFill>
                </w14:textFill>
              </w:rPr>
            </w:pPr>
          </w:p>
        </w:tc>
      </w:tr>
    </w:tbl>
    <w:p>
      <w:pPr>
        <w:pStyle w:val="1629"/>
        <w:spacing w:before="120" w:line="360" w:lineRule="auto"/>
        <w:ind w:firstLine="0"/>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注：</w:t>
      </w:r>
      <w:r>
        <w:rPr>
          <w:rFonts w:hint="eastAsia" w:ascii="宋体" w:hAnsi="宋体"/>
          <w:color w:val="000000" w:themeColor="text1"/>
          <w:highlight w:val="none"/>
          <w:u w:val="single"/>
          <w14:textFill>
            <w14:solidFill>
              <w14:schemeClr w14:val="tx1"/>
            </w14:solidFill>
          </w14:textFill>
        </w:rPr>
        <w:t>1、行数不够，请自行添加。</w:t>
      </w:r>
    </w:p>
    <w:p>
      <w:pPr>
        <w:pStyle w:val="1628"/>
        <w:spacing w:line="360" w:lineRule="auto"/>
        <w:ind w:firstLine="48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2、列入本表人员如要更换，须经招标人同意，擅自更换属违约行为。</w:t>
      </w:r>
    </w:p>
    <w:p>
      <w:pPr>
        <w:pStyle w:val="1628"/>
        <w:spacing w:line="360" w:lineRule="auto"/>
        <w:ind w:firstLine="48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3、列入上表人员需提供近半年（至少一个月）投标人为其缴纳社会保险的证明材料。</w:t>
      </w:r>
    </w:p>
    <w:p>
      <w:pPr>
        <w:pStyle w:val="1628"/>
        <w:spacing w:line="360" w:lineRule="auto"/>
        <w:ind w:firstLine="48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4、列入上表人员具有相关证书、工作经验的，应在本栏目提交相关证明材料扫描件。</w:t>
      </w:r>
    </w:p>
    <w:p>
      <w:pPr>
        <w:pStyle w:val="1631"/>
        <w:jc w:val="center"/>
        <w:outlineLvl w:val="2"/>
        <w:rPr>
          <w:rFonts w:ascii="宋体" w:hAnsi="宋体" w:eastAsia="宋体"/>
          <w:b/>
          <w:bCs/>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clear="all"/>
      </w:r>
      <w:r>
        <w:rPr>
          <w:rFonts w:ascii="宋体" w:hAnsi="宋体" w:eastAsia="宋体" w:cs="宋体"/>
          <w:b/>
          <w:bCs/>
          <w:color w:val="000000" w:themeColor="text1"/>
          <w:sz w:val="28"/>
          <w:highlight w:val="none"/>
          <w14:textFill>
            <w14:solidFill>
              <w14:schemeClr w14:val="tx1"/>
            </w14:solidFill>
          </w14:textFill>
        </w:rPr>
        <w:t>(五)开标一览表</w:t>
      </w:r>
    </w:p>
    <w:p>
      <w:pPr>
        <w:pStyle w:val="1632"/>
        <w:spacing w:before="320" w:after="320"/>
        <w:jc w:val="center"/>
        <w:rPr>
          <w:rFonts w:ascii="宋体" w:hAnsi="宋体" w:eastAsia="宋体" w:cs="宋体"/>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t>开标一览表</w:t>
      </w:r>
    </w:p>
    <w:p>
      <w:pPr>
        <w:pStyle w:val="1632"/>
        <w:spacing w:before="240" w:after="24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单位名称（加盖公章）：</w:t>
      </w:r>
    </w:p>
    <w:tbl>
      <w:tblPr>
        <w:tblStyle w:val="39"/>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4744"/>
        <w:gridCol w:w="4241"/>
      </w:tblGrid>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jc w:val="center"/>
        </w:trPr>
        <w:tc>
          <w:tcPr>
            <w:tcW w:w="47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1632"/>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标题 </w:t>
            </w:r>
          </w:p>
        </w:tc>
        <w:tc>
          <w:tcPr>
            <w:tcW w:w="42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1632"/>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内容</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jc w:val="center"/>
        </w:trPr>
        <w:tc>
          <w:tcPr>
            <w:tcW w:w="47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1632"/>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单位名称</w:t>
            </w:r>
          </w:p>
        </w:tc>
        <w:tc>
          <w:tcPr>
            <w:tcW w:w="42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1632"/>
              <w:jc w:val="center"/>
              <w:rPr>
                <w:rFonts w:ascii="宋体" w:hAnsi="宋体" w:eastAsia="宋体" w:cs="宋体"/>
                <w:color w:val="000000" w:themeColor="text1"/>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jc w:val="center"/>
        </w:trPr>
        <w:tc>
          <w:tcPr>
            <w:tcW w:w="47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1632"/>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投标</w:t>
            </w:r>
            <w:r>
              <w:rPr>
                <w:rFonts w:hint="eastAsia" w:ascii="宋体" w:hAnsi="宋体" w:eastAsia="宋体" w:cs="宋体"/>
                <w:color w:val="000000" w:themeColor="text1"/>
                <w:highlight w:val="none"/>
                <w14:textFill>
                  <w14:solidFill>
                    <w14:schemeClr w14:val="tx1"/>
                  </w14:solidFill>
                </w14:textFill>
              </w:rPr>
              <w:t>单价大写</w:t>
            </w:r>
          </w:p>
        </w:tc>
        <w:tc>
          <w:tcPr>
            <w:tcW w:w="42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1632"/>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u w:val="single"/>
                <w14:textFill>
                  <w14:solidFill>
                    <w14:schemeClr w14:val="tx1"/>
                  </w14:solidFill>
                </w14:textFill>
              </w:rPr>
              <w:t xml:space="preserve"> </w:t>
            </w:r>
            <w:r>
              <w:rPr>
                <w:rFonts w:ascii="宋体" w:hAnsi="宋体" w:eastAsia="宋体" w:cs="宋体"/>
                <w:color w:val="000000" w:themeColor="text1"/>
                <w:highlight w:val="none"/>
                <w:u w:val="single"/>
                <w14:textFill>
                  <w14:solidFill>
                    <w14:schemeClr w14:val="tx1"/>
                  </w14:solidFill>
                </w14:textFill>
              </w:rPr>
              <w:t xml:space="preserve">       </w:t>
            </w:r>
            <w:r>
              <w:rPr>
                <w:rFonts w:ascii="宋体" w:hAnsi="宋体" w:eastAsia="宋体" w:cs="宋体"/>
                <w:color w:val="000000" w:themeColor="text1"/>
                <w:highlight w:val="none"/>
                <w14:textFill>
                  <w14:solidFill>
                    <w14:schemeClr w14:val="tx1"/>
                  </w14:solidFill>
                </w14:textFill>
              </w:rPr>
              <w:t>元</w:t>
            </w:r>
            <w:r>
              <w:rPr>
                <w:rFonts w:hint="eastAsia" w:ascii="宋体" w:hAnsi="宋体" w:eastAsia="宋体" w:cs="宋体"/>
                <w:color w:val="000000" w:themeColor="text1"/>
                <w:highlight w:val="none"/>
                <w14:textFill>
                  <w14:solidFill>
                    <w14:schemeClr w14:val="tx1"/>
                  </w14:solidFill>
                </w14:textFill>
              </w:rPr>
              <w:t>/吨</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jc w:val="center"/>
        </w:trPr>
        <w:tc>
          <w:tcPr>
            <w:tcW w:w="47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1632"/>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投标</w:t>
            </w:r>
            <w:r>
              <w:rPr>
                <w:rFonts w:hint="eastAsia" w:ascii="宋体" w:hAnsi="宋体" w:eastAsia="宋体" w:cs="宋体"/>
                <w:color w:val="000000" w:themeColor="text1"/>
                <w:highlight w:val="none"/>
                <w14:textFill>
                  <w14:solidFill>
                    <w14:schemeClr w14:val="tx1"/>
                  </w14:solidFill>
                </w14:textFill>
              </w:rPr>
              <w:t>单价小写</w:t>
            </w:r>
          </w:p>
        </w:tc>
        <w:tc>
          <w:tcPr>
            <w:tcW w:w="42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1632"/>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u w:val="single"/>
                <w14:textFill>
                  <w14:solidFill>
                    <w14:schemeClr w14:val="tx1"/>
                  </w14:solidFill>
                </w14:textFill>
              </w:rPr>
              <w:t xml:space="preserve"> </w:t>
            </w:r>
            <w:r>
              <w:rPr>
                <w:rFonts w:ascii="宋体" w:hAnsi="宋体" w:eastAsia="宋体" w:cs="宋体"/>
                <w:color w:val="000000" w:themeColor="text1"/>
                <w:highlight w:val="none"/>
                <w:u w:val="single"/>
                <w14:textFill>
                  <w14:solidFill>
                    <w14:schemeClr w14:val="tx1"/>
                  </w14:solidFill>
                </w14:textFill>
              </w:rPr>
              <w:t xml:space="preserve">       </w:t>
            </w:r>
            <w:r>
              <w:rPr>
                <w:rFonts w:ascii="宋体" w:hAnsi="宋体" w:eastAsia="宋体" w:cs="宋体"/>
                <w:color w:val="000000" w:themeColor="text1"/>
                <w:highlight w:val="none"/>
                <w14:textFill>
                  <w14:solidFill>
                    <w14:schemeClr w14:val="tx1"/>
                  </w14:solidFill>
                </w14:textFill>
              </w:rPr>
              <w:t>元</w:t>
            </w:r>
            <w:r>
              <w:rPr>
                <w:rFonts w:hint="eastAsia" w:ascii="宋体" w:hAnsi="宋体" w:eastAsia="宋体" w:cs="宋体"/>
                <w:color w:val="000000" w:themeColor="text1"/>
                <w:highlight w:val="none"/>
                <w14:textFill>
                  <w14:solidFill>
                    <w14:schemeClr w14:val="tx1"/>
                  </w14:solidFill>
                </w14:textFill>
              </w:rPr>
              <w:t>/吨</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jc w:val="center"/>
        </w:trPr>
        <w:tc>
          <w:tcPr>
            <w:tcW w:w="47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1632"/>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服务期</w:t>
            </w:r>
          </w:p>
        </w:tc>
        <w:tc>
          <w:tcPr>
            <w:tcW w:w="42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1632"/>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3年</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jc w:val="center"/>
        </w:trPr>
        <w:tc>
          <w:tcPr>
            <w:tcW w:w="47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1632"/>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项目年度总报价（投标单价*2.85万吨）</w:t>
            </w:r>
          </w:p>
        </w:tc>
        <w:tc>
          <w:tcPr>
            <w:tcW w:w="42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pPr>
              <w:pStyle w:val="1632"/>
              <w:ind w:firstLine="480" w:firstLineChars="20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大写： </w:t>
            </w:r>
            <w:r>
              <w:rPr>
                <w:rFonts w:ascii="宋体" w:hAnsi="宋体" w:eastAsia="宋体" w:cs="宋体"/>
                <w:color w:val="000000" w:themeColor="text1"/>
                <w:highlight w:val="none"/>
                <w14:textFill>
                  <w14:solidFill>
                    <w14:schemeClr w14:val="tx1"/>
                  </w14:solidFill>
                </w14:textFill>
              </w:rPr>
              <w:t xml:space="preserve">    </w:t>
            </w:r>
          </w:p>
          <w:p>
            <w:pPr>
              <w:pStyle w:val="1632"/>
              <w:ind w:firstLine="48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小写： </w:t>
            </w:r>
            <w:r>
              <w:rPr>
                <w:rFonts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w:t>
            </w:r>
            <w:r>
              <w:rPr>
                <w:rFonts w:ascii="宋体" w:hAnsi="宋体" w:eastAsia="宋体" w:cs="宋体"/>
                <w:color w:val="000000" w:themeColor="text1"/>
                <w:highlight w:val="none"/>
                <w14:textFill>
                  <w14:solidFill>
                    <w14:schemeClr w14:val="tx1"/>
                  </w14:solidFill>
                </w14:textFill>
              </w:rPr>
              <w:t xml:space="preserve"> </w:t>
            </w:r>
          </w:p>
        </w:tc>
      </w:tr>
    </w:tbl>
    <w:p>
      <w:pPr>
        <w:spacing w:line="360" w:lineRule="auto"/>
        <w:rPr>
          <w:rFonts w:ascii="宋体" w:hAnsi="宋体" w:cs="宋体"/>
          <w:color w:val="000000" w:themeColor="text1"/>
          <w:highlight w:val="none"/>
          <w14:textFill>
            <w14:solidFill>
              <w14:schemeClr w14:val="tx1"/>
            </w14:solidFill>
          </w14:textFill>
        </w:rPr>
      </w:pP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注：项目总报价包括完成本项目的全部工作内容所发生的一切费用。甲方不再增添任何费用支出。</w:t>
      </w:r>
    </w:p>
    <w:p>
      <w:pPr>
        <w:pStyle w:val="1632"/>
        <w:spacing w:before="240" w:after="240"/>
        <w:jc w:val="right"/>
        <w:rPr>
          <w:rFonts w:ascii="宋体" w:hAnsi="宋体" w:eastAsia="宋体" w:cs="宋体"/>
          <w:color w:val="000000" w:themeColor="text1"/>
          <w:highlight w:val="none"/>
          <w14:textFill>
            <w14:solidFill>
              <w14:schemeClr w14:val="tx1"/>
            </w14:solidFill>
          </w14:textFill>
        </w:rPr>
      </w:pPr>
    </w:p>
    <w:p>
      <w:pPr>
        <w:pStyle w:val="1632"/>
        <w:spacing w:before="240" w:after="240"/>
        <w:ind w:right="960"/>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w:t>
      </w:r>
      <w:r>
        <w:rPr>
          <w:rFonts w:ascii="宋体" w:hAnsi="宋体" w:eastAsia="宋体" w:cs="宋体"/>
          <w:color w:val="000000" w:themeColor="text1"/>
          <w:highlight w:val="none"/>
          <w14:textFill>
            <w14:solidFill>
              <w14:schemeClr w14:val="tx1"/>
            </w14:solidFill>
          </w14:textFill>
        </w:rPr>
        <w:t>法定代表人</w:t>
      </w:r>
      <w:r>
        <w:rPr>
          <w:rFonts w:hint="eastAsia" w:ascii="宋体" w:hAnsi="宋体" w:eastAsia="宋体" w:cs="宋体"/>
          <w:color w:val="000000" w:themeColor="text1"/>
          <w:highlight w:val="none"/>
          <w14:textFill>
            <w14:solidFill>
              <w14:schemeClr w14:val="tx1"/>
            </w14:solidFill>
          </w14:textFill>
        </w:rPr>
        <w:t>或授权代表</w:t>
      </w:r>
      <w:r>
        <w:rPr>
          <w:rFonts w:ascii="宋体" w:hAnsi="宋体" w:eastAsia="宋体" w:cs="宋体"/>
          <w:color w:val="000000" w:themeColor="text1"/>
          <w:highlight w:val="none"/>
          <w14:textFill>
            <w14:solidFill>
              <w14:schemeClr w14:val="tx1"/>
            </w14:solidFill>
          </w14:textFill>
        </w:rPr>
        <w:t>签章：</w:t>
      </w:r>
    </w:p>
    <w:p>
      <w:pPr>
        <w:pStyle w:val="1632"/>
        <w:spacing w:before="240" w:after="240"/>
        <w:ind w:firstLine="6480" w:firstLineChars="270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日期：</w:t>
      </w:r>
    </w:p>
    <w:p>
      <w:pPr>
        <w:pStyle w:val="1633"/>
        <w:spacing w:after="240"/>
        <w:jc w:val="center"/>
        <w:outlineLvl w:val="2"/>
        <w:rPr>
          <w:rFonts w:ascii="宋体" w:hAnsi="宋体" w:eastAsia="宋体"/>
          <w:b/>
          <w:bCs/>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clear="all"/>
      </w:r>
      <w:r>
        <w:rPr>
          <w:rFonts w:ascii="宋体" w:hAnsi="宋体" w:eastAsia="宋体" w:cs="宋体"/>
          <w:b/>
          <w:bCs/>
          <w:color w:val="000000" w:themeColor="text1"/>
          <w:sz w:val="28"/>
          <w:highlight w:val="none"/>
          <w14:textFill>
            <w14:solidFill>
              <w14:schemeClr w14:val="tx1"/>
            </w14:solidFill>
          </w14:textFill>
        </w:rPr>
        <w:t>(六)清单及明细报价表</w:t>
      </w:r>
    </w:p>
    <w:p>
      <w:pPr>
        <w:pStyle w:val="1634"/>
        <w:spacing w:before="240" w:after="24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项目名称：</w:t>
      </w:r>
    </w:p>
    <w:tbl>
      <w:tblPr>
        <w:tblStyle w:val="39"/>
        <w:tblW w:w="5000"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0" w:type="dxa"/>
          <w:bottom w:w="0" w:type="dxa"/>
          <w:right w:w="0" w:type="dxa"/>
        </w:tblCellMar>
      </w:tblPr>
      <w:tblGrid>
        <w:gridCol w:w="610"/>
        <w:gridCol w:w="1654"/>
        <w:gridCol w:w="1172"/>
        <w:gridCol w:w="855"/>
        <w:gridCol w:w="855"/>
        <w:gridCol w:w="855"/>
        <w:gridCol w:w="673"/>
        <w:gridCol w:w="1639"/>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75" w:hRule="atLeast"/>
        </w:trPr>
        <w:tc>
          <w:tcPr>
            <w:tcW w:w="367" w:type="pct"/>
            <w:vAlign w:val="center"/>
          </w:tcPr>
          <w:p>
            <w:pPr>
              <w:wordWrap w:val="0"/>
              <w:adjustRightInd w:val="0"/>
              <w:snapToGrid w:val="0"/>
              <w:jc w:val="center"/>
              <w:textAlignment w:val="baseline"/>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序号</w:t>
            </w:r>
          </w:p>
        </w:tc>
        <w:tc>
          <w:tcPr>
            <w:tcW w:w="994" w:type="pct"/>
            <w:vAlign w:val="center"/>
          </w:tcPr>
          <w:p>
            <w:pPr>
              <w:wordWrap w:val="0"/>
              <w:adjustRightInd w:val="0"/>
              <w:snapToGrid w:val="0"/>
              <w:jc w:val="center"/>
              <w:textAlignment w:val="baseline"/>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项目名称</w:t>
            </w:r>
          </w:p>
        </w:tc>
        <w:tc>
          <w:tcPr>
            <w:tcW w:w="705" w:type="pct"/>
            <w:vAlign w:val="center"/>
          </w:tcPr>
          <w:p>
            <w:pPr>
              <w:wordWrap w:val="0"/>
              <w:adjustRightInd w:val="0"/>
              <w:snapToGrid w:val="0"/>
              <w:jc w:val="center"/>
              <w:textAlignment w:val="baseline"/>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品牌及</w:t>
            </w:r>
          </w:p>
          <w:p>
            <w:pPr>
              <w:wordWrap w:val="0"/>
              <w:adjustRightInd w:val="0"/>
              <w:snapToGrid w:val="0"/>
              <w:jc w:val="center"/>
              <w:textAlignment w:val="baseline"/>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型号</w:t>
            </w:r>
          </w:p>
        </w:tc>
        <w:tc>
          <w:tcPr>
            <w:tcW w:w="514" w:type="pct"/>
            <w:vAlign w:val="center"/>
          </w:tcPr>
          <w:p>
            <w:pPr>
              <w:wordWrap w:val="0"/>
              <w:adjustRightInd w:val="0"/>
              <w:snapToGrid w:val="0"/>
              <w:jc w:val="center"/>
              <w:textAlignment w:val="baseline"/>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单位</w:t>
            </w:r>
          </w:p>
        </w:tc>
        <w:tc>
          <w:tcPr>
            <w:tcW w:w="514" w:type="pct"/>
            <w:vAlign w:val="center"/>
          </w:tcPr>
          <w:p>
            <w:pPr>
              <w:wordWrap w:val="0"/>
              <w:adjustRightInd w:val="0"/>
              <w:snapToGrid w:val="0"/>
              <w:jc w:val="center"/>
              <w:textAlignment w:val="baseline"/>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数量</w:t>
            </w:r>
          </w:p>
        </w:tc>
        <w:tc>
          <w:tcPr>
            <w:tcW w:w="514" w:type="pct"/>
            <w:vAlign w:val="center"/>
          </w:tcPr>
          <w:p>
            <w:pPr>
              <w:wordWrap w:val="0"/>
              <w:adjustRightInd w:val="0"/>
              <w:snapToGrid w:val="0"/>
              <w:jc w:val="center"/>
              <w:textAlignment w:val="baseline"/>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单价</w:t>
            </w:r>
          </w:p>
        </w:tc>
        <w:tc>
          <w:tcPr>
            <w:tcW w:w="405" w:type="pct"/>
            <w:vAlign w:val="center"/>
          </w:tcPr>
          <w:p>
            <w:pPr>
              <w:wordWrap w:val="0"/>
              <w:adjustRightInd w:val="0"/>
              <w:snapToGrid w:val="0"/>
              <w:jc w:val="center"/>
              <w:textAlignment w:val="baseline"/>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总价</w:t>
            </w:r>
          </w:p>
        </w:tc>
        <w:tc>
          <w:tcPr>
            <w:tcW w:w="987" w:type="pct"/>
            <w:vAlign w:val="center"/>
          </w:tcPr>
          <w:p>
            <w:pPr>
              <w:wordWrap w:val="0"/>
              <w:adjustRightInd w:val="0"/>
              <w:snapToGrid w:val="0"/>
              <w:jc w:val="center"/>
              <w:textAlignment w:val="baseline"/>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备注</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95" w:hRule="atLeast"/>
        </w:trPr>
        <w:tc>
          <w:tcPr>
            <w:tcW w:w="367" w:type="pct"/>
            <w:vAlign w:val="center"/>
          </w:tcPr>
          <w:p>
            <w:pPr>
              <w:wordWrap w:val="0"/>
              <w:adjustRightInd w:val="0"/>
              <w:snapToGrid w:val="0"/>
              <w:jc w:val="center"/>
              <w:textAlignment w:val="baseline"/>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1</w:t>
            </w:r>
          </w:p>
        </w:tc>
        <w:tc>
          <w:tcPr>
            <w:tcW w:w="994" w:type="pct"/>
            <w:vAlign w:val="center"/>
          </w:tcPr>
          <w:p>
            <w:pPr>
              <w:wordWrap w:val="0"/>
              <w:adjustRightInd w:val="0"/>
              <w:snapToGrid w:val="0"/>
              <w:jc w:val="center"/>
              <w:textAlignment w:val="baseline"/>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运营费用</w:t>
            </w:r>
          </w:p>
        </w:tc>
        <w:tc>
          <w:tcPr>
            <w:tcW w:w="705" w:type="pct"/>
            <w:vAlign w:val="center"/>
          </w:tcPr>
          <w:p>
            <w:pPr>
              <w:adjustRightInd w:val="0"/>
              <w:snapToGrid w:val="0"/>
              <w:jc w:val="center"/>
              <w:textAlignment w:val="baseline"/>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w:t>
            </w:r>
          </w:p>
        </w:tc>
        <w:tc>
          <w:tcPr>
            <w:tcW w:w="514" w:type="pct"/>
          </w:tcPr>
          <w:p>
            <w:pPr>
              <w:wordWrap w:val="0"/>
              <w:adjustRightInd w:val="0"/>
              <w:snapToGrid w:val="0"/>
              <w:textAlignment w:val="baseline"/>
              <w:rPr>
                <w:rFonts w:hint="eastAsia" w:ascii="宋体" w:hAnsi="宋体" w:cs="宋体"/>
                <w:color w:val="000000" w:themeColor="text1"/>
                <w:sz w:val="24"/>
                <w:szCs w:val="24"/>
                <w:highlight w:val="none"/>
                <w14:textFill>
                  <w14:solidFill>
                    <w14:schemeClr w14:val="tx1"/>
                  </w14:solidFill>
                </w14:textFill>
              </w:rPr>
            </w:pPr>
          </w:p>
        </w:tc>
        <w:tc>
          <w:tcPr>
            <w:tcW w:w="514" w:type="pct"/>
            <w:vAlign w:val="center"/>
          </w:tcPr>
          <w:p>
            <w:pPr>
              <w:wordWrap w:val="0"/>
              <w:adjustRightInd w:val="0"/>
              <w:snapToGrid w:val="0"/>
              <w:jc w:val="center"/>
              <w:textAlignment w:val="baseline"/>
              <w:rPr>
                <w:rFonts w:ascii="宋体" w:hAnsi="宋体" w:cs="宋体"/>
                <w:color w:val="000000" w:themeColor="text1"/>
                <w:sz w:val="24"/>
                <w:szCs w:val="24"/>
                <w:highlight w:val="none"/>
                <w14:textFill>
                  <w14:solidFill>
                    <w14:schemeClr w14:val="tx1"/>
                  </w14:solidFill>
                </w14:textFill>
              </w:rPr>
            </w:pPr>
          </w:p>
        </w:tc>
        <w:tc>
          <w:tcPr>
            <w:tcW w:w="514" w:type="pct"/>
            <w:vAlign w:val="center"/>
          </w:tcPr>
          <w:p>
            <w:pPr>
              <w:wordWrap w:val="0"/>
              <w:adjustRightInd w:val="0"/>
              <w:snapToGrid w:val="0"/>
              <w:textAlignment w:val="baseline"/>
              <w:rPr>
                <w:rFonts w:ascii="宋体" w:hAnsi="宋体" w:cs="宋体"/>
                <w:color w:val="000000" w:themeColor="text1"/>
                <w:sz w:val="24"/>
                <w:szCs w:val="24"/>
                <w:highlight w:val="none"/>
                <w14:textFill>
                  <w14:solidFill>
                    <w14:schemeClr w14:val="tx1"/>
                  </w14:solidFill>
                </w14:textFill>
              </w:rPr>
            </w:pPr>
          </w:p>
        </w:tc>
        <w:tc>
          <w:tcPr>
            <w:tcW w:w="405" w:type="pct"/>
            <w:vAlign w:val="center"/>
          </w:tcPr>
          <w:p>
            <w:pPr>
              <w:wordWrap w:val="0"/>
              <w:adjustRightInd w:val="0"/>
              <w:snapToGrid w:val="0"/>
              <w:textAlignment w:val="baseline"/>
              <w:rPr>
                <w:rFonts w:ascii="宋体" w:hAnsi="宋体" w:cs="宋体"/>
                <w:color w:val="000000" w:themeColor="text1"/>
                <w:sz w:val="24"/>
                <w:szCs w:val="24"/>
                <w:highlight w:val="none"/>
                <w14:textFill>
                  <w14:solidFill>
                    <w14:schemeClr w14:val="tx1"/>
                  </w14:solidFill>
                </w14:textFill>
              </w:rPr>
            </w:pPr>
          </w:p>
        </w:tc>
        <w:tc>
          <w:tcPr>
            <w:tcW w:w="987" w:type="pct"/>
            <w:vAlign w:val="center"/>
          </w:tcPr>
          <w:p>
            <w:pPr>
              <w:wordWrap w:val="0"/>
              <w:adjustRightInd w:val="0"/>
              <w:snapToGrid w:val="0"/>
              <w:textAlignment w:val="baseline"/>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1年总费用</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96" w:hRule="atLeast"/>
        </w:trPr>
        <w:tc>
          <w:tcPr>
            <w:tcW w:w="367" w:type="pct"/>
            <w:vAlign w:val="center"/>
          </w:tcPr>
          <w:p>
            <w:pPr>
              <w:wordWrap w:val="0"/>
              <w:adjustRightInd w:val="0"/>
              <w:snapToGrid w:val="0"/>
              <w:jc w:val="center"/>
              <w:textAlignment w:val="baseline"/>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994" w:type="pct"/>
            <w:vAlign w:val="center"/>
          </w:tcPr>
          <w:p>
            <w:pPr>
              <w:wordWrap w:val="0"/>
              <w:adjustRightInd w:val="0"/>
              <w:snapToGrid w:val="0"/>
              <w:jc w:val="center"/>
              <w:textAlignment w:val="baseline"/>
              <w:rPr>
                <w:rFonts w:ascii="宋体" w:hAnsi="宋体" w:cs="宋体"/>
                <w:color w:val="000000" w:themeColor="text1"/>
                <w:sz w:val="24"/>
                <w:szCs w:val="24"/>
                <w:highlight w:val="none"/>
                <w14:textFill>
                  <w14:solidFill>
                    <w14:schemeClr w14:val="tx1"/>
                  </w14:solidFill>
                </w14:textFill>
              </w:rPr>
            </w:pPr>
            <w:r>
              <w:rPr>
                <w:rFonts w:hint="eastAsia" w:ascii="宋体" w:hAnsi="宋体" w:cs="宋体"/>
                <w:sz w:val="24"/>
                <w:szCs w:val="24"/>
                <w:highlight w:val="none"/>
              </w:rPr>
              <w:t>HDPE膜</w:t>
            </w:r>
          </w:p>
        </w:tc>
        <w:tc>
          <w:tcPr>
            <w:tcW w:w="705" w:type="pct"/>
            <w:vAlign w:val="center"/>
          </w:tcPr>
          <w:p>
            <w:pPr>
              <w:wordWrap w:val="0"/>
              <w:adjustRightInd w:val="0"/>
              <w:snapToGrid w:val="0"/>
              <w:jc w:val="center"/>
              <w:textAlignment w:val="baseline"/>
              <w:rPr>
                <w:rFonts w:ascii="宋体" w:hAnsi="宋体" w:cs="宋体"/>
                <w:color w:val="000000" w:themeColor="text1"/>
                <w:sz w:val="24"/>
                <w:szCs w:val="24"/>
                <w:highlight w:val="none"/>
                <w14:textFill>
                  <w14:solidFill>
                    <w14:schemeClr w14:val="tx1"/>
                  </w14:solidFill>
                </w14:textFill>
              </w:rPr>
            </w:pPr>
          </w:p>
        </w:tc>
        <w:tc>
          <w:tcPr>
            <w:tcW w:w="514" w:type="pct"/>
          </w:tcPr>
          <w:p>
            <w:pPr>
              <w:wordWrap w:val="0"/>
              <w:adjustRightInd w:val="0"/>
              <w:snapToGrid w:val="0"/>
              <w:textAlignment w:val="baseline"/>
              <w:rPr>
                <w:rFonts w:ascii="宋体" w:hAnsi="宋体" w:cs="宋体"/>
                <w:color w:val="000000" w:themeColor="text1"/>
                <w:sz w:val="24"/>
                <w:szCs w:val="24"/>
                <w:highlight w:val="none"/>
                <w14:textFill>
                  <w14:solidFill>
                    <w14:schemeClr w14:val="tx1"/>
                  </w14:solidFill>
                </w14:textFill>
              </w:rPr>
            </w:pPr>
          </w:p>
        </w:tc>
        <w:tc>
          <w:tcPr>
            <w:tcW w:w="514" w:type="pct"/>
            <w:vAlign w:val="center"/>
          </w:tcPr>
          <w:p>
            <w:pPr>
              <w:wordWrap w:val="0"/>
              <w:adjustRightInd w:val="0"/>
              <w:snapToGrid w:val="0"/>
              <w:textAlignment w:val="baseline"/>
              <w:rPr>
                <w:rFonts w:ascii="宋体" w:hAnsi="宋体" w:cs="宋体"/>
                <w:color w:val="000000" w:themeColor="text1"/>
                <w:sz w:val="24"/>
                <w:szCs w:val="24"/>
                <w:highlight w:val="none"/>
                <w14:textFill>
                  <w14:solidFill>
                    <w14:schemeClr w14:val="tx1"/>
                  </w14:solidFill>
                </w14:textFill>
              </w:rPr>
            </w:pPr>
          </w:p>
        </w:tc>
        <w:tc>
          <w:tcPr>
            <w:tcW w:w="514" w:type="pct"/>
            <w:vAlign w:val="center"/>
          </w:tcPr>
          <w:p>
            <w:pPr>
              <w:wordWrap w:val="0"/>
              <w:adjustRightInd w:val="0"/>
              <w:snapToGrid w:val="0"/>
              <w:textAlignment w:val="baseline"/>
              <w:rPr>
                <w:rFonts w:ascii="宋体" w:hAnsi="宋体" w:cs="宋体"/>
                <w:color w:val="000000" w:themeColor="text1"/>
                <w:sz w:val="24"/>
                <w:szCs w:val="24"/>
                <w:highlight w:val="none"/>
                <w14:textFill>
                  <w14:solidFill>
                    <w14:schemeClr w14:val="tx1"/>
                  </w14:solidFill>
                </w14:textFill>
              </w:rPr>
            </w:pPr>
          </w:p>
        </w:tc>
        <w:tc>
          <w:tcPr>
            <w:tcW w:w="405" w:type="pct"/>
            <w:vAlign w:val="center"/>
          </w:tcPr>
          <w:p>
            <w:pPr>
              <w:wordWrap w:val="0"/>
              <w:adjustRightInd w:val="0"/>
              <w:snapToGrid w:val="0"/>
              <w:textAlignment w:val="baseline"/>
              <w:rPr>
                <w:rFonts w:ascii="宋体" w:hAnsi="宋体" w:cs="宋体"/>
                <w:color w:val="000000" w:themeColor="text1"/>
                <w:sz w:val="24"/>
                <w:szCs w:val="24"/>
                <w:highlight w:val="none"/>
                <w14:textFill>
                  <w14:solidFill>
                    <w14:schemeClr w14:val="tx1"/>
                  </w14:solidFill>
                </w14:textFill>
              </w:rPr>
            </w:pPr>
          </w:p>
        </w:tc>
        <w:tc>
          <w:tcPr>
            <w:tcW w:w="987" w:type="pct"/>
            <w:vAlign w:val="center"/>
          </w:tcPr>
          <w:p>
            <w:pPr>
              <w:wordWrap w:val="0"/>
              <w:adjustRightInd w:val="0"/>
              <w:snapToGrid w:val="0"/>
              <w:textAlignment w:val="baseline"/>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1年总费用</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12" w:hRule="atLeast"/>
        </w:trPr>
        <w:tc>
          <w:tcPr>
            <w:tcW w:w="367" w:type="pct"/>
            <w:vAlign w:val="center"/>
          </w:tcPr>
          <w:p>
            <w:pPr>
              <w:wordWrap w:val="0"/>
              <w:adjustRightInd w:val="0"/>
              <w:snapToGrid w:val="0"/>
              <w:jc w:val="center"/>
              <w:textAlignment w:val="baseline"/>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p>
        </w:tc>
        <w:tc>
          <w:tcPr>
            <w:tcW w:w="994" w:type="pct"/>
            <w:vAlign w:val="center"/>
          </w:tcPr>
          <w:p>
            <w:pPr>
              <w:wordWrap w:val="0"/>
              <w:adjustRightInd w:val="0"/>
              <w:snapToGrid w:val="0"/>
              <w:jc w:val="center"/>
              <w:textAlignment w:val="baseline"/>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辅工人员报价</w:t>
            </w:r>
          </w:p>
        </w:tc>
        <w:tc>
          <w:tcPr>
            <w:tcW w:w="705" w:type="pct"/>
            <w:vAlign w:val="center"/>
          </w:tcPr>
          <w:p>
            <w:pPr>
              <w:wordWrap w:val="0"/>
              <w:adjustRightInd w:val="0"/>
              <w:snapToGrid w:val="0"/>
              <w:jc w:val="center"/>
              <w:textAlignment w:val="baseline"/>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w:t>
            </w:r>
          </w:p>
        </w:tc>
        <w:tc>
          <w:tcPr>
            <w:tcW w:w="514" w:type="pct"/>
          </w:tcPr>
          <w:p>
            <w:pPr>
              <w:wordWrap w:val="0"/>
              <w:adjustRightInd w:val="0"/>
              <w:snapToGrid w:val="0"/>
              <w:textAlignment w:val="baseline"/>
              <w:rPr>
                <w:rFonts w:ascii="宋体" w:hAnsi="宋体" w:cs="宋体"/>
                <w:color w:val="000000" w:themeColor="text1"/>
                <w:sz w:val="24"/>
                <w:szCs w:val="24"/>
                <w:highlight w:val="none"/>
                <w14:textFill>
                  <w14:solidFill>
                    <w14:schemeClr w14:val="tx1"/>
                  </w14:solidFill>
                </w14:textFill>
              </w:rPr>
            </w:pPr>
          </w:p>
        </w:tc>
        <w:tc>
          <w:tcPr>
            <w:tcW w:w="514" w:type="pct"/>
            <w:vAlign w:val="center"/>
          </w:tcPr>
          <w:p>
            <w:pPr>
              <w:wordWrap w:val="0"/>
              <w:adjustRightInd w:val="0"/>
              <w:snapToGrid w:val="0"/>
              <w:textAlignment w:val="baseline"/>
              <w:rPr>
                <w:rFonts w:ascii="宋体" w:hAnsi="宋体" w:cs="宋体"/>
                <w:color w:val="000000" w:themeColor="text1"/>
                <w:sz w:val="24"/>
                <w:szCs w:val="24"/>
                <w:highlight w:val="none"/>
                <w14:textFill>
                  <w14:solidFill>
                    <w14:schemeClr w14:val="tx1"/>
                  </w14:solidFill>
                </w14:textFill>
              </w:rPr>
            </w:pPr>
          </w:p>
        </w:tc>
        <w:tc>
          <w:tcPr>
            <w:tcW w:w="514" w:type="pct"/>
            <w:vAlign w:val="center"/>
          </w:tcPr>
          <w:p>
            <w:pPr>
              <w:wordWrap w:val="0"/>
              <w:adjustRightInd w:val="0"/>
              <w:snapToGrid w:val="0"/>
              <w:textAlignment w:val="baseline"/>
              <w:rPr>
                <w:rFonts w:ascii="宋体" w:hAnsi="宋体" w:cs="宋体"/>
                <w:color w:val="000000" w:themeColor="text1"/>
                <w:sz w:val="24"/>
                <w:szCs w:val="24"/>
                <w:highlight w:val="none"/>
                <w14:textFill>
                  <w14:solidFill>
                    <w14:schemeClr w14:val="tx1"/>
                  </w14:solidFill>
                </w14:textFill>
              </w:rPr>
            </w:pPr>
          </w:p>
        </w:tc>
        <w:tc>
          <w:tcPr>
            <w:tcW w:w="405" w:type="pct"/>
            <w:vAlign w:val="center"/>
          </w:tcPr>
          <w:p>
            <w:pPr>
              <w:wordWrap w:val="0"/>
              <w:adjustRightInd w:val="0"/>
              <w:snapToGrid w:val="0"/>
              <w:textAlignment w:val="baseline"/>
              <w:rPr>
                <w:rFonts w:ascii="宋体" w:hAnsi="宋体" w:cs="宋体"/>
                <w:color w:val="000000" w:themeColor="text1"/>
                <w:sz w:val="24"/>
                <w:szCs w:val="24"/>
                <w:highlight w:val="none"/>
                <w14:textFill>
                  <w14:solidFill>
                    <w14:schemeClr w14:val="tx1"/>
                  </w14:solidFill>
                </w14:textFill>
              </w:rPr>
            </w:pPr>
          </w:p>
        </w:tc>
        <w:tc>
          <w:tcPr>
            <w:tcW w:w="987" w:type="pct"/>
            <w:vAlign w:val="center"/>
          </w:tcPr>
          <w:p>
            <w:pPr>
              <w:adjustRightInd w:val="0"/>
              <w:snapToGrid w:val="0"/>
              <w:jc w:val="left"/>
              <w:textAlignment w:val="baseline"/>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1年总费用，不低于现有1</w:t>
            </w:r>
            <w:r>
              <w:rPr>
                <w:rFonts w:ascii="宋体" w:hAnsi="宋体" w:cs="宋体"/>
                <w:b/>
                <w:bCs/>
                <w:color w:val="000000" w:themeColor="text1"/>
                <w:sz w:val="24"/>
                <w:szCs w:val="24"/>
                <w:highlight w:val="none"/>
                <w14:textFill>
                  <w14:solidFill>
                    <w14:schemeClr w14:val="tx1"/>
                  </w14:solidFill>
                </w14:textFill>
              </w:rPr>
              <w:t>0</w:t>
            </w:r>
            <w:r>
              <w:rPr>
                <w:rFonts w:hint="eastAsia" w:ascii="宋体" w:hAnsi="宋体" w:cs="宋体"/>
                <w:b/>
                <w:bCs/>
                <w:color w:val="000000" w:themeColor="text1"/>
                <w:sz w:val="24"/>
                <w:szCs w:val="24"/>
                <w:highlight w:val="none"/>
                <w14:textFill>
                  <w14:solidFill>
                    <w14:schemeClr w14:val="tx1"/>
                  </w14:solidFill>
                </w14:textFill>
              </w:rPr>
              <w:t>人年收入标准，否则投标无效</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00" w:hRule="atLeast"/>
        </w:trPr>
        <w:tc>
          <w:tcPr>
            <w:tcW w:w="367" w:type="pct"/>
            <w:vAlign w:val="center"/>
          </w:tcPr>
          <w:p>
            <w:pPr>
              <w:wordWrap w:val="0"/>
              <w:adjustRightInd w:val="0"/>
              <w:snapToGrid w:val="0"/>
              <w:jc w:val="center"/>
              <w:textAlignment w:val="baseline"/>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p>
        </w:tc>
        <w:tc>
          <w:tcPr>
            <w:tcW w:w="994" w:type="pct"/>
            <w:vAlign w:val="center"/>
          </w:tcPr>
          <w:p>
            <w:pPr>
              <w:wordWrap w:val="0"/>
              <w:adjustRightInd w:val="0"/>
              <w:snapToGrid w:val="0"/>
              <w:jc w:val="center"/>
              <w:textAlignment w:val="baseline"/>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运营费用</w:t>
            </w:r>
          </w:p>
        </w:tc>
        <w:tc>
          <w:tcPr>
            <w:tcW w:w="705" w:type="pct"/>
            <w:vAlign w:val="center"/>
          </w:tcPr>
          <w:p>
            <w:pPr>
              <w:wordWrap w:val="0"/>
              <w:adjustRightInd w:val="0"/>
              <w:snapToGrid w:val="0"/>
              <w:jc w:val="center"/>
              <w:textAlignment w:val="baseline"/>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w:t>
            </w:r>
          </w:p>
        </w:tc>
        <w:tc>
          <w:tcPr>
            <w:tcW w:w="514" w:type="pct"/>
          </w:tcPr>
          <w:p>
            <w:pPr>
              <w:wordWrap w:val="0"/>
              <w:adjustRightInd w:val="0"/>
              <w:snapToGrid w:val="0"/>
              <w:textAlignment w:val="baseline"/>
              <w:rPr>
                <w:rFonts w:ascii="宋体" w:hAnsi="宋体" w:cs="宋体"/>
                <w:color w:val="000000" w:themeColor="text1"/>
                <w:sz w:val="24"/>
                <w:szCs w:val="24"/>
                <w:highlight w:val="none"/>
                <w14:textFill>
                  <w14:solidFill>
                    <w14:schemeClr w14:val="tx1"/>
                  </w14:solidFill>
                </w14:textFill>
              </w:rPr>
            </w:pPr>
          </w:p>
        </w:tc>
        <w:tc>
          <w:tcPr>
            <w:tcW w:w="514" w:type="pct"/>
            <w:vAlign w:val="center"/>
          </w:tcPr>
          <w:p>
            <w:pPr>
              <w:wordWrap w:val="0"/>
              <w:adjustRightInd w:val="0"/>
              <w:snapToGrid w:val="0"/>
              <w:textAlignment w:val="baseline"/>
              <w:rPr>
                <w:rFonts w:ascii="宋体" w:hAnsi="宋体" w:cs="宋体"/>
                <w:color w:val="000000" w:themeColor="text1"/>
                <w:sz w:val="24"/>
                <w:szCs w:val="24"/>
                <w:highlight w:val="none"/>
                <w14:textFill>
                  <w14:solidFill>
                    <w14:schemeClr w14:val="tx1"/>
                  </w14:solidFill>
                </w14:textFill>
              </w:rPr>
            </w:pPr>
          </w:p>
        </w:tc>
        <w:tc>
          <w:tcPr>
            <w:tcW w:w="514" w:type="pct"/>
            <w:vAlign w:val="center"/>
          </w:tcPr>
          <w:p>
            <w:pPr>
              <w:wordWrap w:val="0"/>
              <w:adjustRightInd w:val="0"/>
              <w:snapToGrid w:val="0"/>
              <w:textAlignment w:val="baseline"/>
              <w:rPr>
                <w:rFonts w:ascii="宋体" w:hAnsi="宋体" w:cs="宋体"/>
                <w:color w:val="000000" w:themeColor="text1"/>
                <w:sz w:val="24"/>
                <w:szCs w:val="24"/>
                <w:highlight w:val="none"/>
                <w14:textFill>
                  <w14:solidFill>
                    <w14:schemeClr w14:val="tx1"/>
                  </w14:solidFill>
                </w14:textFill>
              </w:rPr>
            </w:pPr>
          </w:p>
        </w:tc>
        <w:tc>
          <w:tcPr>
            <w:tcW w:w="405" w:type="pct"/>
            <w:vAlign w:val="center"/>
          </w:tcPr>
          <w:p>
            <w:pPr>
              <w:wordWrap w:val="0"/>
              <w:adjustRightInd w:val="0"/>
              <w:snapToGrid w:val="0"/>
              <w:textAlignment w:val="baseline"/>
              <w:rPr>
                <w:rFonts w:ascii="宋体" w:hAnsi="宋体" w:cs="宋体"/>
                <w:color w:val="000000" w:themeColor="text1"/>
                <w:sz w:val="24"/>
                <w:szCs w:val="24"/>
                <w:highlight w:val="none"/>
                <w14:textFill>
                  <w14:solidFill>
                    <w14:schemeClr w14:val="tx1"/>
                  </w14:solidFill>
                </w14:textFill>
              </w:rPr>
            </w:pPr>
          </w:p>
        </w:tc>
        <w:tc>
          <w:tcPr>
            <w:tcW w:w="987" w:type="pct"/>
            <w:vAlign w:val="center"/>
          </w:tcPr>
          <w:p>
            <w:pPr>
              <w:wordWrap w:val="0"/>
              <w:adjustRightInd w:val="0"/>
              <w:snapToGrid w:val="0"/>
              <w:textAlignment w:val="baseline"/>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1年总费用</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00" w:hRule="atLeast"/>
        </w:trPr>
        <w:tc>
          <w:tcPr>
            <w:tcW w:w="367" w:type="pct"/>
            <w:vAlign w:val="center"/>
          </w:tcPr>
          <w:p>
            <w:pPr>
              <w:wordWrap w:val="0"/>
              <w:adjustRightInd w:val="0"/>
              <w:snapToGrid w:val="0"/>
              <w:jc w:val="center"/>
              <w:textAlignment w:val="baseline"/>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w:t>
            </w:r>
          </w:p>
        </w:tc>
        <w:tc>
          <w:tcPr>
            <w:tcW w:w="994" w:type="pct"/>
            <w:vAlign w:val="center"/>
          </w:tcPr>
          <w:p>
            <w:pPr>
              <w:wordWrap w:val="0"/>
              <w:adjustRightInd w:val="0"/>
              <w:snapToGrid w:val="0"/>
              <w:jc w:val="center"/>
              <w:textAlignment w:val="baseline"/>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年度合计</w:t>
            </w:r>
            <w:r>
              <w:rPr>
                <w:rFonts w:ascii="宋体" w:hAnsi="宋体" w:cs="宋体"/>
                <w:color w:val="000000" w:themeColor="text1"/>
                <w:sz w:val="24"/>
                <w:szCs w:val="24"/>
                <w:highlight w:val="none"/>
                <w14:textFill>
                  <w14:solidFill>
                    <w14:schemeClr w14:val="tx1"/>
                  </w14:solidFill>
                </w14:textFill>
              </w:rPr>
              <w:t>报价</w:t>
            </w:r>
          </w:p>
        </w:tc>
        <w:tc>
          <w:tcPr>
            <w:tcW w:w="3638" w:type="pct"/>
            <w:gridSpan w:val="6"/>
            <w:vAlign w:val="center"/>
          </w:tcPr>
          <w:p>
            <w:pPr>
              <w:wordWrap w:val="0"/>
              <w:adjustRightInd w:val="0"/>
              <w:snapToGrid w:val="0"/>
              <w:textAlignment w:val="baseline"/>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大写：</w:t>
            </w:r>
            <w:r>
              <w:rPr>
                <w:rFonts w:hint="eastAsia" w:ascii="宋体" w:hAnsi="宋体" w:cs="宋体"/>
                <w:color w:val="000000" w:themeColor="text1"/>
                <w:sz w:val="24"/>
                <w:szCs w:val="24"/>
                <w:highlight w:val="none"/>
                <w14:textFill>
                  <w14:solidFill>
                    <w14:schemeClr w14:val="tx1"/>
                  </w14:solidFill>
                </w14:textFill>
              </w:rPr>
              <w:t xml:space="preserve"> </w:t>
            </w:r>
          </w:p>
          <w:p>
            <w:pPr>
              <w:wordWrap w:val="0"/>
              <w:adjustRightInd w:val="0"/>
              <w:snapToGrid w:val="0"/>
              <w:textAlignment w:val="baseline"/>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小写：</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00" w:hRule="atLeast"/>
        </w:trPr>
        <w:tc>
          <w:tcPr>
            <w:tcW w:w="367" w:type="pct"/>
            <w:vAlign w:val="center"/>
          </w:tcPr>
          <w:p>
            <w:pPr>
              <w:wordWrap w:val="0"/>
              <w:adjustRightInd w:val="0"/>
              <w:snapToGrid w:val="0"/>
              <w:jc w:val="center"/>
              <w:textAlignment w:val="baseline"/>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w:t>
            </w:r>
          </w:p>
        </w:tc>
        <w:tc>
          <w:tcPr>
            <w:tcW w:w="994" w:type="pct"/>
            <w:vAlign w:val="center"/>
          </w:tcPr>
          <w:p>
            <w:pPr>
              <w:wordWrap w:val="0"/>
              <w:adjustRightInd w:val="0"/>
              <w:snapToGrid w:val="0"/>
              <w:jc w:val="center"/>
              <w:textAlignment w:val="baseline"/>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投标</w:t>
            </w:r>
            <w:r>
              <w:rPr>
                <w:rFonts w:hint="eastAsia" w:ascii="宋体" w:hAnsi="宋体" w:cs="宋体"/>
                <w:color w:val="000000" w:themeColor="text1"/>
                <w:highlight w:val="none"/>
                <w14:textFill>
                  <w14:solidFill>
                    <w14:schemeClr w14:val="tx1"/>
                  </w14:solidFill>
                </w14:textFill>
              </w:rPr>
              <w:t>单价</w:t>
            </w:r>
          </w:p>
        </w:tc>
        <w:tc>
          <w:tcPr>
            <w:tcW w:w="3638" w:type="pct"/>
            <w:gridSpan w:val="6"/>
            <w:vAlign w:val="center"/>
          </w:tcPr>
          <w:p>
            <w:pPr>
              <w:wordWrap w:val="0"/>
              <w:adjustRightInd w:val="0"/>
              <w:snapToGrid w:val="0"/>
              <w:textAlignment w:val="baseline"/>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元</w:t>
            </w:r>
            <w:r>
              <w:rPr>
                <w:rFonts w:hint="eastAsia" w:ascii="宋体" w:hAnsi="宋体" w:cs="宋体"/>
                <w:color w:val="000000" w:themeColor="text1"/>
                <w:highlight w:val="none"/>
                <w14:textFill>
                  <w14:solidFill>
                    <w14:schemeClr w14:val="tx1"/>
                  </w14:solidFill>
                </w14:textFill>
              </w:rPr>
              <w:t xml:space="preserve">/吨 </w:t>
            </w:r>
          </w:p>
          <w:p>
            <w:pPr>
              <w:wordWrap w:val="0"/>
              <w:adjustRightInd w:val="0"/>
              <w:snapToGrid w:val="0"/>
              <w:textAlignment w:val="baseline"/>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（年度合计报价=投标单价*年度处理量2</w:t>
            </w:r>
            <w:r>
              <w:rPr>
                <w:rFonts w:ascii="宋体" w:hAnsi="宋体" w:cs="宋体"/>
                <w:color w:val="000000" w:themeColor="text1"/>
                <w:highlight w:val="none"/>
                <w14:textFill>
                  <w14:solidFill>
                    <w14:schemeClr w14:val="tx1"/>
                  </w14:solidFill>
                </w14:textFill>
              </w:rPr>
              <w:t>.85</w:t>
            </w:r>
            <w:r>
              <w:rPr>
                <w:rFonts w:hint="eastAsia" w:ascii="宋体" w:hAnsi="宋体" w:cs="宋体"/>
                <w:color w:val="000000" w:themeColor="text1"/>
                <w:highlight w:val="none"/>
                <w14:textFill>
                  <w14:solidFill>
                    <w14:schemeClr w14:val="tx1"/>
                  </w14:solidFill>
                </w14:textFill>
              </w:rPr>
              <w:t>万吨）</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39" w:hRule="atLeast"/>
        </w:trPr>
        <w:tc>
          <w:tcPr>
            <w:tcW w:w="1362" w:type="pct"/>
            <w:gridSpan w:val="2"/>
            <w:vAlign w:val="center"/>
          </w:tcPr>
          <w:p>
            <w:pPr>
              <w:wordWrap w:val="0"/>
              <w:adjustRightInd w:val="0"/>
              <w:snapToGrid w:val="0"/>
              <w:jc w:val="center"/>
              <w:textAlignment w:val="baseline"/>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项目要求</w:t>
            </w:r>
          </w:p>
        </w:tc>
        <w:tc>
          <w:tcPr>
            <w:tcW w:w="3638" w:type="pct"/>
            <w:gridSpan w:val="6"/>
            <w:vAlign w:val="center"/>
          </w:tcPr>
          <w:p>
            <w:pPr>
              <w:adjustRightInd w:val="0"/>
              <w:snapToGrid w:val="0"/>
              <w:jc w:val="center"/>
              <w:textAlignment w:val="baseline"/>
              <w:rPr>
                <w:rFonts w:ascii="宋体" w:hAnsi="宋体" w:cs="宋体"/>
                <w:color w:val="000000" w:themeColor="text1"/>
                <w:sz w:val="24"/>
                <w:szCs w:val="24"/>
                <w:highlight w:val="none"/>
                <w14:textFill>
                  <w14:solidFill>
                    <w14:schemeClr w14:val="tx1"/>
                  </w14:solidFill>
                </w14:textFill>
              </w:rPr>
            </w:pPr>
            <w:r>
              <w:rPr>
                <w:rFonts w:ascii="宋体" w:hAnsi="宋体" w:cs="宋体"/>
                <w:szCs w:val="21"/>
                <w:highlight w:val="none"/>
              </w:rPr>
              <w:t>完成项目</w:t>
            </w:r>
            <w:r>
              <w:rPr>
                <w:rFonts w:hint="eastAsia" w:ascii="宋体" w:hAnsi="宋体" w:cs="宋体"/>
                <w:szCs w:val="21"/>
                <w:highlight w:val="none"/>
              </w:rPr>
              <w:t>需</w:t>
            </w:r>
            <w:r>
              <w:rPr>
                <w:rFonts w:ascii="宋体" w:hAnsi="宋体" w:cs="宋体"/>
                <w:szCs w:val="21"/>
                <w:highlight w:val="none"/>
              </w:rPr>
              <w:t>求的所有工作内容</w:t>
            </w:r>
          </w:p>
        </w:tc>
      </w:tr>
    </w:tbl>
    <w:p>
      <w:pPr>
        <w:pStyle w:val="1634"/>
        <w:spacing w:before="240" w:after="24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注：1、</w:t>
      </w:r>
      <w:r>
        <w:rPr>
          <w:rFonts w:hint="eastAsia" w:ascii="宋体" w:hAnsi="宋体"/>
          <w:color w:val="000000" w:themeColor="text1"/>
          <w:highlight w:val="none"/>
          <w14:textFill>
            <w14:solidFill>
              <w14:schemeClr w14:val="tx1"/>
            </w14:solidFill>
          </w14:textFill>
        </w:rPr>
        <w:t>投标人</w:t>
      </w:r>
      <w:r>
        <w:rPr>
          <w:rFonts w:ascii="宋体" w:hAnsi="宋体"/>
          <w:color w:val="000000" w:themeColor="text1"/>
          <w:highlight w:val="none"/>
          <w14:textFill>
            <w14:solidFill>
              <w14:schemeClr w14:val="tx1"/>
            </w14:solidFill>
          </w14:textFill>
        </w:rPr>
        <w:t>应当按照招标文件采购需求及相关报价要求填写。</w:t>
      </w:r>
    </w:p>
    <w:p>
      <w:pPr>
        <w:pStyle w:val="1634"/>
        <w:spacing w:before="240" w:after="24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2、本表中“其它”由</w:t>
      </w:r>
      <w:r>
        <w:rPr>
          <w:rFonts w:hint="eastAsia" w:ascii="宋体" w:hAnsi="宋体"/>
          <w:color w:val="000000" w:themeColor="text1"/>
          <w:highlight w:val="none"/>
          <w14:textFill>
            <w14:solidFill>
              <w14:schemeClr w14:val="tx1"/>
            </w14:solidFill>
          </w14:textFill>
        </w:rPr>
        <w:t>投标人</w:t>
      </w:r>
      <w:r>
        <w:rPr>
          <w:rFonts w:ascii="宋体" w:hAnsi="宋体"/>
          <w:color w:val="000000" w:themeColor="text1"/>
          <w:highlight w:val="none"/>
          <w14:textFill>
            <w14:solidFill>
              <w14:schemeClr w14:val="tx1"/>
            </w14:solidFill>
          </w14:textFill>
        </w:rPr>
        <w:t>根据采购需求及自身经验进行补充填写。项目实施时，除</w:t>
      </w:r>
      <w:r>
        <w:rPr>
          <w:rFonts w:hint="eastAsia" w:ascii="宋体" w:hAnsi="宋体"/>
          <w:color w:val="000000" w:themeColor="text1"/>
          <w:highlight w:val="none"/>
          <w14:textFill>
            <w14:solidFill>
              <w14:schemeClr w14:val="tx1"/>
            </w14:solidFill>
          </w14:textFill>
        </w:rPr>
        <w:t>招标人</w:t>
      </w:r>
      <w:r>
        <w:rPr>
          <w:rFonts w:ascii="宋体" w:hAnsi="宋体"/>
          <w:color w:val="000000" w:themeColor="text1"/>
          <w:highlight w:val="none"/>
          <w14:textFill>
            <w14:solidFill>
              <w14:schemeClr w14:val="tx1"/>
            </w14:solidFill>
          </w14:textFill>
        </w:rPr>
        <w:t>明确提出需要变更增加外，不再增加任何费用，</w:t>
      </w:r>
      <w:r>
        <w:rPr>
          <w:rFonts w:hint="eastAsia" w:ascii="宋体" w:hAnsi="宋体"/>
          <w:color w:val="000000" w:themeColor="text1"/>
          <w:highlight w:val="none"/>
          <w14:textFill>
            <w14:solidFill>
              <w14:schemeClr w14:val="tx1"/>
            </w14:solidFill>
          </w14:textFill>
        </w:rPr>
        <w:t>投标人</w:t>
      </w:r>
      <w:r>
        <w:rPr>
          <w:rFonts w:ascii="宋体" w:hAnsi="宋体"/>
          <w:color w:val="000000" w:themeColor="text1"/>
          <w:highlight w:val="none"/>
          <w14:textFill>
            <w14:solidFill>
              <w14:schemeClr w14:val="tx1"/>
            </w14:solidFill>
          </w14:textFill>
        </w:rPr>
        <w:t>应确保本项目能安全、正常运行并达到</w:t>
      </w:r>
      <w:r>
        <w:rPr>
          <w:rFonts w:hint="eastAsia" w:ascii="宋体" w:hAnsi="宋体"/>
          <w:color w:val="000000" w:themeColor="text1"/>
          <w:highlight w:val="none"/>
          <w14:textFill>
            <w14:solidFill>
              <w14:schemeClr w14:val="tx1"/>
            </w14:solidFill>
          </w14:textFill>
        </w:rPr>
        <w:t>服务</w:t>
      </w:r>
      <w:r>
        <w:rPr>
          <w:rFonts w:ascii="宋体" w:hAnsi="宋体"/>
          <w:color w:val="000000" w:themeColor="text1"/>
          <w:highlight w:val="none"/>
          <w14:textFill>
            <w14:solidFill>
              <w14:schemeClr w14:val="tx1"/>
            </w14:solidFill>
          </w14:textFill>
        </w:rPr>
        <w:t>要求。</w:t>
      </w:r>
    </w:p>
    <w:p>
      <w:pPr>
        <w:pStyle w:val="1634"/>
        <w:spacing w:before="240" w:after="24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3、中标后，单价不得调整，结算金额按实际处理量*单价-扣费额（如有）。</w:t>
      </w:r>
    </w:p>
    <w:p>
      <w:pPr>
        <w:pStyle w:val="1634"/>
        <w:spacing w:before="240" w:after="24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w:t>
      </w:r>
      <w:r>
        <w:rPr>
          <w:rFonts w:ascii="宋体" w:hAnsi="宋体"/>
          <w:color w:val="000000" w:themeColor="text1"/>
          <w:highlight w:val="none"/>
          <w14:textFill>
            <w14:solidFill>
              <w14:schemeClr w14:val="tx1"/>
            </w14:solidFill>
          </w14:textFill>
        </w:rPr>
        <w:t>、本表中项目总报价应与开标一览表中项目总报价保持一致。</w:t>
      </w:r>
    </w:p>
    <w:p>
      <w:pPr>
        <w:pStyle w:val="1634"/>
        <w:spacing w:before="240" w:after="24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5、报价保留至小数点后两位，四舍五入。</w:t>
      </w:r>
    </w:p>
    <w:p>
      <w:pPr>
        <w:pStyle w:val="1634"/>
        <w:spacing w:before="240" w:after="24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6</w:t>
      </w:r>
      <w:r>
        <w:rPr>
          <w:rFonts w:hint="eastAsia" w:ascii="宋体" w:hAnsi="宋体"/>
          <w:color w:val="000000" w:themeColor="text1"/>
          <w:highlight w:val="none"/>
          <w14:textFill>
            <w14:solidFill>
              <w14:schemeClr w14:val="tx1"/>
            </w14:solidFill>
          </w14:textFill>
        </w:rPr>
        <w:t>、行数不够，投标人自行添加。</w:t>
      </w:r>
    </w:p>
    <w:p>
      <w:pPr>
        <w:pStyle w:val="1634"/>
        <w:spacing w:before="240" w:after="240"/>
        <w:ind w:right="1080"/>
        <w:jc w:val="cente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单位名称（加盖公章）：</w:t>
      </w:r>
    </w:p>
    <w:p>
      <w:pPr>
        <w:pStyle w:val="1632"/>
        <w:spacing w:before="240" w:after="240"/>
        <w:ind w:right="960"/>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法定代表人</w:t>
      </w:r>
      <w:r>
        <w:rPr>
          <w:rFonts w:hint="eastAsia" w:ascii="宋体" w:hAnsi="宋体" w:eastAsia="宋体" w:cs="宋体"/>
          <w:color w:val="000000" w:themeColor="text1"/>
          <w:highlight w:val="none"/>
          <w14:textFill>
            <w14:solidFill>
              <w14:schemeClr w14:val="tx1"/>
            </w14:solidFill>
          </w14:textFill>
        </w:rPr>
        <w:t>或授权代表</w:t>
      </w:r>
      <w:r>
        <w:rPr>
          <w:rFonts w:ascii="宋体" w:hAnsi="宋体" w:eastAsia="宋体" w:cs="宋体"/>
          <w:color w:val="000000" w:themeColor="text1"/>
          <w:highlight w:val="none"/>
          <w14:textFill>
            <w14:solidFill>
              <w14:schemeClr w14:val="tx1"/>
            </w14:solidFill>
          </w14:textFill>
        </w:rPr>
        <w:t>签章：</w:t>
      </w:r>
    </w:p>
    <w:p>
      <w:pPr>
        <w:pStyle w:val="1632"/>
        <w:spacing w:before="240" w:after="240"/>
        <w:ind w:right="960"/>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日期：</w:t>
      </w:r>
    </w:p>
    <w:p>
      <w:pPr>
        <w:pStyle w:val="1617"/>
        <w:jc w:val="center"/>
        <w:outlineLvl w:val="1"/>
        <w:rPr>
          <w:rFonts w:ascii="宋体" w:hAnsi="宋体" w:eastAsia="宋体" w:cs="宋体"/>
          <w:color w:val="000000" w:themeColor="text1"/>
          <w:sz w:val="32"/>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r>
      <w:bookmarkStart w:id="159" w:name="_Toc152531551"/>
      <w:bookmarkStart w:id="160" w:name="_Toc151931408"/>
      <w:bookmarkStart w:id="161" w:name="_Toc148961837"/>
      <w:bookmarkStart w:id="162" w:name="_Toc256000025"/>
      <w:r>
        <w:rPr>
          <w:rFonts w:ascii="宋体" w:hAnsi="宋体" w:eastAsia="宋体" w:cs="宋体"/>
          <w:color w:val="000000" w:themeColor="text1"/>
          <w:sz w:val="32"/>
          <w:highlight w:val="none"/>
          <w14:textFill>
            <w14:solidFill>
              <w14:schemeClr w14:val="tx1"/>
            </w14:solidFill>
          </w14:textFill>
        </w:rPr>
        <w:t>四、其他部分</w:t>
      </w:r>
      <w:bookmarkEnd w:id="159"/>
      <w:bookmarkEnd w:id="160"/>
      <w:bookmarkEnd w:id="161"/>
      <w:bookmarkEnd w:id="162"/>
    </w:p>
    <w:p>
      <w:pPr>
        <w:pStyle w:val="1636"/>
        <w:jc w:val="center"/>
        <w:outlineLvl w:val="2"/>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clear="all"/>
      </w:r>
      <w:r>
        <w:rPr>
          <w:rFonts w:ascii="宋体" w:hAnsi="宋体" w:eastAsia="宋体" w:cs="宋体"/>
          <w:color w:val="000000" w:themeColor="text1"/>
          <w:sz w:val="28"/>
          <w:highlight w:val="none"/>
          <w14:textFill>
            <w14:solidFill>
              <w14:schemeClr w14:val="tx1"/>
            </w14:solidFill>
          </w14:textFill>
        </w:rPr>
        <w:t>(一)中小企业声明函</w:t>
      </w:r>
    </w:p>
    <w:p>
      <w:pPr>
        <w:spacing w:before="265" w:after="240" w:line="224" w:lineRule="auto"/>
        <w:jc w:val="center"/>
        <w:rPr>
          <w:rFonts w:ascii="宋体" w:hAnsi="宋体" w:cs="宋体"/>
          <w:b/>
          <w:bCs/>
          <w:color w:val="000000" w:themeColor="text1"/>
          <w:sz w:val="31"/>
          <w:szCs w:val="31"/>
          <w:highlight w:val="none"/>
          <w14:textFill>
            <w14:solidFill>
              <w14:schemeClr w14:val="tx1"/>
            </w14:solidFill>
          </w14:textFill>
        </w:rPr>
      </w:pPr>
      <w:r>
        <w:rPr>
          <w:rFonts w:ascii="宋体" w:hAnsi="宋体" w:cs="宋体"/>
          <w:b/>
          <w:bCs/>
          <w:color w:val="000000" w:themeColor="text1"/>
          <w:spacing w:val="22"/>
          <w:sz w:val="31"/>
          <w:szCs w:val="31"/>
          <w:highlight w:val="none"/>
          <w14:textFill>
            <w14:solidFill>
              <w14:schemeClr w14:val="tx1"/>
            </w14:solidFill>
          </w14:textFill>
        </w:rPr>
        <w:t>中</w:t>
      </w:r>
      <w:r>
        <w:rPr>
          <w:rFonts w:ascii="宋体" w:hAnsi="宋体" w:cs="宋体"/>
          <w:b/>
          <w:bCs/>
          <w:color w:val="000000" w:themeColor="text1"/>
          <w:spacing w:val="20"/>
          <w:sz w:val="31"/>
          <w:szCs w:val="31"/>
          <w:highlight w:val="none"/>
          <w14:textFill>
            <w14:solidFill>
              <w14:schemeClr w14:val="tx1"/>
            </w14:solidFill>
          </w14:textFill>
        </w:rPr>
        <w:t>小企业声明函(</w:t>
      </w:r>
      <w:r>
        <w:rPr>
          <w:rFonts w:hint="eastAsia" w:ascii="宋体" w:hAnsi="宋体" w:cs="宋体"/>
          <w:b/>
          <w:bCs/>
          <w:color w:val="000000" w:themeColor="text1"/>
          <w:spacing w:val="20"/>
          <w:sz w:val="31"/>
          <w:szCs w:val="31"/>
          <w:highlight w:val="none"/>
          <w14:textFill>
            <w14:solidFill>
              <w14:schemeClr w14:val="tx1"/>
            </w14:solidFill>
          </w14:textFill>
        </w:rPr>
        <w:t>工程、服务</w:t>
      </w:r>
      <w:r>
        <w:rPr>
          <w:rFonts w:ascii="宋体" w:hAnsi="宋体" w:cs="宋体"/>
          <w:b/>
          <w:bCs/>
          <w:color w:val="000000" w:themeColor="text1"/>
          <w:spacing w:val="20"/>
          <w:sz w:val="31"/>
          <w:szCs w:val="31"/>
          <w:highlight w:val="none"/>
          <w14:textFill>
            <w14:solidFill>
              <w14:schemeClr w14:val="tx1"/>
            </w14:solidFill>
          </w14:textFill>
        </w:rPr>
        <w:t>)</w:t>
      </w:r>
    </w:p>
    <w:p>
      <w:pPr>
        <w:adjustRightInd w:val="0"/>
        <w:snapToGrid w:val="0"/>
        <w:spacing w:line="360" w:lineRule="auto"/>
        <w:ind w:firstLine="560" w:firstLineChars="200"/>
        <w:rPr>
          <w:rFonts w:ascii="宋体" w:hAnsi="宋体"/>
          <w:color w:val="000000" w:themeColor="text1"/>
          <w:kern w:val="2"/>
          <w:sz w:val="28"/>
          <w:szCs w:val="28"/>
          <w:highlight w:val="none"/>
          <w14:textFill>
            <w14:solidFill>
              <w14:schemeClr w14:val="tx1"/>
            </w14:solidFill>
          </w14:textFill>
        </w:rPr>
      </w:pPr>
      <w:r>
        <w:rPr>
          <w:rFonts w:hint="eastAsia" w:ascii="宋体" w:hAnsi="宋体"/>
          <w:color w:val="000000" w:themeColor="text1"/>
          <w:kern w:val="2"/>
          <w:sz w:val="28"/>
          <w:szCs w:val="28"/>
          <w:highlight w:val="none"/>
          <w14:textFill>
            <w14:solidFill>
              <w14:schemeClr w14:val="tx1"/>
            </w14:solidFill>
          </w14:textFill>
        </w:rPr>
        <w:t>本公司（联合体）郑重声明，根据《政府采购促进中人企业发展管理办法》（财库〔2020</w:t>
      </w:r>
      <w:r>
        <w:rPr>
          <w:rFonts w:hint="eastAsia" w:ascii="宋体" w:hAnsi="宋体" w:cs="楷体"/>
          <w:color w:val="000000" w:themeColor="text1"/>
          <w:kern w:val="2"/>
          <w:sz w:val="28"/>
          <w:szCs w:val="28"/>
          <w:highlight w:val="none"/>
          <w14:textFill>
            <w14:solidFill>
              <w14:schemeClr w14:val="tx1"/>
            </w14:solidFill>
          </w14:textFill>
        </w:rPr>
        <w:t>〕</w:t>
      </w:r>
      <w:r>
        <w:rPr>
          <w:rFonts w:hint="eastAsia" w:ascii="宋体" w:hAnsi="宋体"/>
          <w:color w:val="000000" w:themeColor="text1"/>
          <w:kern w:val="2"/>
          <w:sz w:val="28"/>
          <w:szCs w:val="28"/>
          <w:highlight w:val="none"/>
          <w14:textFill>
            <w14:solidFill>
              <w14:schemeClr w14:val="tx1"/>
            </w14:solidFill>
          </w14:textFill>
        </w:rPr>
        <w:t>46号）的规定，本公司（联合体）参加</w:t>
      </w:r>
      <w:r>
        <w:rPr>
          <w:rFonts w:hint="eastAsia" w:ascii="宋体" w:hAnsi="宋体"/>
          <w:i/>
          <w:iCs/>
          <w:color w:val="000000" w:themeColor="text1"/>
          <w:kern w:val="2"/>
          <w:sz w:val="28"/>
          <w:szCs w:val="28"/>
          <w:highlight w:val="none"/>
          <w:u w:val="single"/>
          <w14:textFill>
            <w14:solidFill>
              <w14:schemeClr w14:val="tx1"/>
            </w14:solidFill>
          </w14:textFill>
        </w:rPr>
        <w:t>（单位名称）</w:t>
      </w:r>
      <w:r>
        <w:rPr>
          <w:rFonts w:hint="eastAsia" w:ascii="宋体" w:hAnsi="宋体"/>
          <w:color w:val="000000" w:themeColor="text1"/>
          <w:kern w:val="2"/>
          <w:sz w:val="28"/>
          <w:szCs w:val="28"/>
          <w:highlight w:val="none"/>
          <w14:textFill>
            <w14:solidFill>
              <w14:schemeClr w14:val="tx1"/>
            </w14:solidFill>
          </w14:textFill>
        </w:rPr>
        <w:t>的</w:t>
      </w:r>
      <w:r>
        <w:rPr>
          <w:rFonts w:hint="eastAsia" w:ascii="宋体" w:hAnsi="宋体"/>
          <w:i/>
          <w:iCs/>
          <w:color w:val="000000" w:themeColor="text1"/>
          <w:kern w:val="2"/>
          <w:sz w:val="28"/>
          <w:szCs w:val="28"/>
          <w:highlight w:val="none"/>
          <w:u w:val="single"/>
          <w14:textFill>
            <w14:solidFill>
              <w14:schemeClr w14:val="tx1"/>
            </w14:solidFill>
          </w14:textFill>
        </w:rPr>
        <w:t>（项且名称）</w:t>
      </w:r>
      <w:r>
        <w:rPr>
          <w:rFonts w:hint="eastAsia" w:ascii="宋体" w:hAnsi="宋体"/>
          <w:color w:val="000000" w:themeColor="text1"/>
          <w:kern w:val="2"/>
          <w:sz w:val="28"/>
          <w:szCs w:val="28"/>
          <w:highlight w:val="none"/>
          <w14:textFill>
            <w14:solidFill>
              <w14:schemeClr w14:val="tx1"/>
            </w14:solidFill>
          </w14:textFill>
        </w:rPr>
        <w:t>采购活动，服务全部由符合政策要求的中小企业承接。相关企业（含联合体中的中小企业、签订分包意向协议的中小企业）的具体作况如下∶</w:t>
      </w:r>
    </w:p>
    <w:p>
      <w:pPr>
        <w:adjustRightInd w:val="0"/>
        <w:snapToGrid w:val="0"/>
        <w:spacing w:line="360" w:lineRule="auto"/>
        <w:ind w:firstLine="700" w:firstLineChars="250"/>
        <w:rPr>
          <w:rFonts w:ascii="宋体" w:hAnsi="宋体"/>
          <w:color w:val="000000" w:themeColor="text1"/>
          <w:kern w:val="2"/>
          <w:sz w:val="28"/>
          <w:szCs w:val="28"/>
          <w:highlight w:val="none"/>
          <w14:textFill>
            <w14:solidFill>
              <w14:schemeClr w14:val="tx1"/>
            </w14:solidFill>
          </w14:textFill>
        </w:rPr>
      </w:pPr>
      <w:r>
        <w:rPr>
          <w:rFonts w:hint="eastAsia" w:ascii="宋体" w:hAnsi="宋体"/>
          <w:color w:val="000000" w:themeColor="text1"/>
          <w:kern w:val="2"/>
          <w:sz w:val="28"/>
          <w:szCs w:val="28"/>
          <w:highlight w:val="none"/>
          <w14:textFill>
            <w14:solidFill>
              <w14:schemeClr w14:val="tx1"/>
            </w14:solidFill>
          </w14:textFill>
        </w:rPr>
        <w:t>1.</w:t>
      </w:r>
      <w:r>
        <w:rPr>
          <w:rFonts w:hint="eastAsia" w:ascii="宋体" w:hAnsi="宋体"/>
          <w:i/>
          <w:iCs/>
          <w:color w:val="000000" w:themeColor="text1"/>
          <w:kern w:val="2"/>
          <w:sz w:val="28"/>
          <w:szCs w:val="28"/>
          <w:highlight w:val="none"/>
          <w:u w:val="single"/>
          <w14:textFill>
            <w14:solidFill>
              <w14:schemeClr w14:val="tx1"/>
            </w14:solidFill>
          </w14:textFill>
        </w:rPr>
        <w:t>（标的名称）</w:t>
      </w:r>
      <w:r>
        <w:rPr>
          <w:rFonts w:hint="eastAsia" w:ascii="宋体" w:hAnsi="宋体"/>
          <w:color w:val="000000" w:themeColor="text1"/>
          <w:kern w:val="2"/>
          <w:sz w:val="28"/>
          <w:szCs w:val="28"/>
          <w:highlight w:val="none"/>
          <w14:textFill>
            <w14:solidFill>
              <w14:schemeClr w14:val="tx1"/>
            </w14:solidFill>
          </w14:textFill>
        </w:rPr>
        <w:t>，属于</w:t>
      </w:r>
      <w:r>
        <w:rPr>
          <w:rFonts w:hint="eastAsia" w:ascii="宋体" w:hAnsi="宋体"/>
          <w:i/>
          <w:iCs/>
          <w:color w:val="000000" w:themeColor="text1"/>
          <w:kern w:val="2"/>
          <w:sz w:val="28"/>
          <w:szCs w:val="28"/>
          <w:highlight w:val="none"/>
          <w:u w:val="single"/>
          <w14:textFill>
            <w14:solidFill>
              <w14:schemeClr w14:val="tx1"/>
            </w14:solidFill>
          </w14:textFill>
        </w:rPr>
        <w:t>（采购文件中明确的所属行业）</w:t>
      </w:r>
      <w:r>
        <w:rPr>
          <w:rFonts w:hint="eastAsia" w:ascii="宋体" w:hAnsi="宋体"/>
          <w:color w:val="000000" w:themeColor="text1"/>
          <w:kern w:val="2"/>
          <w:sz w:val="28"/>
          <w:szCs w:val="28"/>
          <w:highlight w:val="none"/>
          <w:u w:val="single"/>
          <w14:textFill>
            <w14:solidFill>
              <w14:schemeClr w14:val="tx1"/>
            </w14:solidFill>
          </w14:textFill>
        </w:rPr>
        <w:t>；</w:t>
      </w:r>
      <w:r>
        <w:rPr>
          <w:rFonts w:hint="eastAsia" w:ascii="宋体" w:hAnsi="宋体"/>
          <w:color w:val="000000" w:themeColor="text1"/>
          <w:kern w:val="2"/>
          <w:sz w:val="28"/>
          <w:szCs w:val="28"/>
          <w:highlight w:val="none"/>
          <w14:textFill>
            <w14:solidFill>
              <w14:schemeClr w14:val="tx1"/>
            </w14:solidFill>
          </w14:textFill>
        </w:rPr>
        <w:t>承建（承接）企业为</w:t>
      </w:r>
      <w:r>
        <w:rPr>
          <w:rFonts w:hint="eastAsia" w:ascii="宋体" w:hAnsi="宋体"/>
          <w:i/>
          <w:iCs/>
          <w:color w:val="000000" w:themeColor="text1"/>
          <w:kern w:val="2"/>
          <w:sz w:val="28"/>
          <w:szCs w:val="28"/>
          <w:highlight w:val="none"/>
          <w:u w:val="single"/>
          <w14:textFill>
            <w14:solidFill>
              <w14:schemeClr w14:val="tx1"/>
            </w14:solidFill>
          </w14:textFill>
        </w:rPr>
        <w:t>（企业名称）</w:t>
      </w:r>
      <w:r>
        <w:rPr>
          <w:rFonts w:hint="eastAsia" w:ascii="宋体" w:hAnsi="宋体"/>
          <w:color w:val="000000" w:themeColor="text1"/>
          <w:kern w:val="2"/>
          <w:sz w:val="28"/>
          <w:szCs w:val="28"/>
          <w:highlight w:val="none"/>
          <w14:textFill>
            <w14:solidFill>
              <w14:schemeClr w14:val="tx1"/>
            </w14:solidFill>
          </w14:textFill>
        </w:rPr>
        <w:t>，从业人员___人，营业收入为____万元，资产总额为____万元'，属于</w:t>
      </w:r>
      <w:r>
        <w:rPr>
          <w:rFonts w:hint="eastAsia" w:ascii="宋体" w:hAnsi="宋体"/>
          <w:i/>
          <w:iCs/>
          <w:color w:val="000000" w:themeColor="text1"/>
          <w:kern w:val="2"/>
          <w:sz w:val="28"/>
          <w:szCs w:val="28"/>
          <w:highlight w:val="none"/>
          <w:u w:val="single"/>
          <w14:textFill>
            <w14:solidFill>
              <w14:schemeClr w14:val="tx1"/>
            </w14:solidFill>
          </w14:textFill>
        </w:rPr>
        <w:t>（中型企小型企业、微型企业）</w:t>
      </w:r>
      <w:r>
        <w:rPr>
          <w:rFonts w:hint="eastAsia" w:ascii="宋体" w:hAnsi="宋体"/>
          <w:color w:val="000000" w:themeColor="text1"/>
          <w:kern w:val="2"/>
          <w:sz w:val="28"/>
          <w:szCs w:val="28"/>
          <w:highlight w:val="none"/>
          <w14:textFill>
            <w14:solidFill>
              <w14:schemeClr w14:val="tx1"/>
            </w14:solidFill>
          </w14:textFill>
        </w:rPr>
        <w:t>;</w:t>
      </w:r>
    </w:p>
    <w:p>
      <w:pPr>
        <w:adjustRightInd w:val="0"/>
        <w:snapToGrid w:val="0"/>
        <w:spacing w:line="360" w:lineRule="auto"/>
        <w:ind w:firstLine="700" w:firstLineChars="250"/>
        <w:rPr>
          <w:rFonts w:ascii="宋体" w:hAnsi="宋体"/>
          <w:color w:val="000000" w:themeColor="text1"/>
          <w:kern w:val="2"/>
          <w:sz w:val="28"/>
          <w:szCs w:val="28"/>
          <w:highlight w:val="none"/>
          <w14:textFill>
            <w14:solidFill>
              <w14:schemeClr w14:val="tx1"/>
            </w14:solidFill>
          </w14:textFill>
        </w:rPr>
      </w:pPr>
      <w:r>
        <w:rPr>
          <w:rFonts w:hint="eastAsia" w:ascii="宋体" w:hAnsi="宋体"/>
          <w:color w:val="000000" w:themeColor="text1"/>
          <w:kern w:val="2"/>
          <w:sz w:val="28"/>
          <w:szCs w:val="28"/>
          <w:highlight w:val="none"/>
          <w14:textFill>
            <w14:solidFill>
              <w14:schemeClr w14:val="tx1"/>
            </w14:solidFill>
          </w14:textFill>
        </w:rPr>
        <w:t>2.</w:t>
      </w:r>
      <w:r>
        <w:rPr>
          <w:rFonts w:hint="eastAsia" w:ascii="宋体" w:hAnsi="宋体"/>
          <w:i/>
          <w:iCs/>
          <w:color w:val="000000" w:themeColor="text1"/>
          <w:kern w:val="2"/>
          <w:sz w:val="28"/>
          <w:szCs w:val="28"/>
          <w:highlight w:val="none"/>
          <w:u w:val="single"/>
          <w14:textFill>
            <w14:solidFill>
              <w14:schemeClr w14:val="tx1"/>
            </w14:solidFill>
          </w14:textFill>
        </w:rPr>
        <w:t>（标的名称）</w:t>
      </w:r>
      <w:r>
        <w:rPr>
          <w:rFonts w:hint="eastAsia" w:ascii="宋体" w:hAnsi="宋体"/>
          <w:color w:val="000000" w:themeColor="text1"/>
          <w:kern w:val="2"/>
          <w:sz w:val="28"/>
          <w:szCs w:val="28"/>
          <w:highlight w:val="none"/>
          <w14:textFill>
            <w14:solidFill>
              <w14:schemeClr w14:val="tx1"/>
            </w14:solidFill>
          </w14:textFill>
        </w:rPr>
        <w:t>，属于</w:t>
      </w:r>
      <w:r>
        <w:rPr>
          <w:rFonts w:hint="eastAsia" w:ascii="宋体" w:hAnsi="宋体"/>
          <w:i/>
          <w:iCs/>
          <w:color w:val="000000" w:themeColor="text1"/>
          <w:kern w:val="2"/>
          <w:sz w:val="28"/>
          <w:szCs w:val="28"/>
          <w:highlight w:val="none"/>
          <w:u w:val="single"/>
          <w14:textFill>
            <w14:solidFill>
              <w14:schemeClr w14:val="tx1"/>
            </w14:solidFill>
          </w14:textFill>
        </w:rPr>
        <w:t>（采购文件中明确的所属行业）</w:t>
      </w:r>
      <w:r>
        <w:rPr>
          <w:rFonts w:hint="eastAsia" w:ascii="宋体" w:hAnsi="宋体"/>
          <w:color w:val="000000" w:themeColor="text1"/>
          <w:kern w:val="2"/>
          <w:sz w:val="28"/>
          <w:szCs w:val="28"/>
          <w:highlight w:val="none"/>
          <w14:textFill>
            <w14:solidFill>
              <w14:schemeClr w14:val="tx1"/>
            </w14:solidFill>
          </w14:textFill>
        </w:rPr>
        <w:t>承建（承接）企业为</w:t>
      </w:r>
      <w:r>
        <w:rPr>
          <w:rFonts w:hint="eastAsia" w:ascii="宋体" w:hAnsi="宋体"/>
          <w:i/>
          <w:iCs/>
          <w:color w:val="000000" w:themeColor="text1"/>
          <w:kern w:val="2"/>
          <w:sz w:val="28"/>
          <w:szCs w:val="28"/>
          <w:highlight w:val="none"/>
          <w:u w:val="single"/>
          <w14:textFill>
            <w14:solidFill>
              <w14:schemeClr w14:val="tx1"/>
            </w14:solidFill>
          </w14:textFill>
        </w:rPr>
        <w:t>（企业名称）</w:t>
      </w:r>
      <w:r>
        <w:rPr>
          <w:rFonts w:hint="eastAsia" w:ascii="宋体" w:hAnsi="宋体"/>
          <w:color w:val="000000" w:themeColor="text1"/>
          <w:kern w:val="2"/>
          <w:sz w:val="28"/>
          <w:szCs w:val="28"/>
          <w:highlight w:val="none"/>
          <w14:textFill>
            <w14:solidFill>
              <w14:schemeClr w14:val="tx1"/>
            </w14:solidFill>
          </w14:textFill>
        </w:rPr>
        <w:t>，从业人员___人，营业收入为___万元，资产总额为___万元，属于</w:t>
      </w:r>
      <w:r>
        <w:rPr>
          <w:rFonts w:hint="eastAsia" w:ascii="宋体" w:hAnsi="宋体"/>
          <w:i/>
          <w:iCs/>
          <w:color w:val="000000" w:themeColor="text1"/>
          <w:kern w:val="2"/>
          <w:sz w:val="28"/>
          <w:szCs w:val="28"/>
          <w:highlight w:val="none"/>
          <w:u w:val="single"/>
          <w14:textFill>
            <w14:solidFill>
              <w14:schemeClr w14:val="tx1"/>
            </w14:solidFill>
          </w14:textFill>
        </w:rPr>
        <w:t>（中型、小型企业、微型企业）</w:t>
      </w:r>
      <w:r>
        <w:rPr>
          <w:rFonts w:hint="eastAsia" w:ascii="宋体" w:hAnsi="宋体"/>
          <w:color w:val="000000" w:themeColor="text1"/>
          <w:kern w:val="2"/>
          <w:sz w:val="28"/>
          <w:szCs w:val="28"/>
          <w:highlight w:val="none"/>
          <w14:textFill>
            <w14:solidFill>
              <w14:schemeClr w14:val="tx1"/>
            </w14:solidFill>
          </w14:textFill>
        </w:rPr>
        <w:t>;</w:t>
      </w:r>
    </w:p>
    <w:p>
      <w:pPr>
        <w:adjustRightInd w:val="0"/>
        <w:snapToGrid w:val="0"/>
        <w:spacing w:line="480" w:lineRule="exact"/>
        <w:ind w:firstLine="700" w:firstLineChars="250"/>
        <w:rPr>
          <w:rFonts w:ascii="宋体" w:hAnsi="宋体"/>
          <w:color w:val="000000" w:themeColor="text1"/>
          <w:kern w:val="2"/>
          <w:sz w:val="28"/>
          <w:szCs w:val="28"/>
          <w:highlight w:val="none"/>
          <w14:textFill>
            <w14:solidFill>
              <w14:schemeClr w14:val="tx1"/>
            </w14:solidFill>
          </w14:textFill>
        </w:rPr>
      </w:pPr>
      <w:r>
        <w:rPr>
          <w:rFonts w:ascii="宋体" w:hAnsi="宋体"/>
          <w:color w:val="000000" w:themeColor="text1"/>
          <w:kern w:val="2"/>
          <w:sz w:val="28"/>
          <w:szCs w:val="28"/>
          <w:highlight w:val="none"/>
          <w14:textFill>
            <w14:solidFill>
              <w14:schemeClr w14:val="tx1"/>
            </w14:solidFill>
          </w14:textFill>
        </w:rPr>
        <w:t>……</w:t>
      </w:r>
    </w:p>
    <w:p>
      <w:pPr>
        <w:adjustRightInd w:val="0"/>
        <w:snapToGrid w:val="0"/>
        <w:spacing w:line="480" w:lineRule="exact"/>
        <w:ind w:firstLine="700" w:firstLineChars="250"/>
        <w:rPr>
          <w:rFonts w:ascii="宋体" w:hAnsi="宋体"/>
          <w:color w:val="000000" w:themeColor="text1"/>
          <w:kern w:val="2"/>
          <w:sz w:val="28"/>
          <w:szCs w:val="28"/>
          <w:highlight w:val="none"/>
          <w14:textFill>
            <w14:solidFill>
              <w14:schemeClr w14:val="tx1"/>
            </w14:solidFill>
          </w14:textFill>
        </w:rPr>
      </w:pPr>
    </w:p>
    <w:p>
      <w:pPr>
        <w:adjustRightInd w:val="0"/>
        <w:snapToGrid w:val="0"/>
        <w:spacing w:line="480" w:lineRule="exact"/>
        <w:ind w:firstLine="560" w:firstLineChars="200"/>
        <w:rPr>
          <w:rFonts w:ascii="宋体" w:hAnsi="宋体"/>
          <w:color w:val="000000" w:themeColor="text1"/>
          <w:kern w:val="2"/>
          <w:sz w:val="28"/>
          <w:szCs w:val="28"/>
          <w:highlight w:val="none"/>
          <w14:textFill>
            <w14:solidFill>
              <w14:schemeClr w14:val="tx1"/>
            </w14:solidFill>
          </w14:textFill>
        </w:rPr>
      </w:pPr>
      <w:r>
        <w:rPr>
          <w:rFonts w:hint="eastAsia" w:ascii="宋体" w:hAnsi="宋体"/>
          <w:color w:val="000000" w:themeColor="text1"/>
          <w:kern w:val="2"/>
          <w:sz w:val="28"/>
          <w:szCs w:val="28"/>
          <w:highlight w:val="none"/>
          <w14:textFill>
            <w14:solidFill>
              <w14:schemeClr w14:val="tx1"/>
            </w14:solidFill>
          </w14:textFill>
        </w:rPr>
        <w:t>以上企业，不属于大企业的分支机构，不存在控股股类为大企业的情形，也不存在与大企业的负责人为同一人的情形。</w:t>
      </w:r>
    </w:p>
    <w:p>
      <w:pPr>
        <w:adjustRightInd w:val="0"/>
        <w:snapToGrid w:val="0"/>
        <w:spacing w:line="480" w:lineRule="exact"/>
        <w:ind w:firstLine="560" w:firstLineChars="200"/>
        <w:rPr>
          <w:rFonts w:ascii="宋体" w:hAnsi="宋体"/>
          <w:color w:val="000000" w:themeColor="text1"/>
          <w:kern w:val="2"/>
          <w:sz w:val="28"/>
          <w:szCs w:val="28"/>
          <w:highlight w:val="none"/>
          <w14:textFill>
            <w14:solidFill>
              <w14:schemeClr w14:val="tx1"/>
            </w14:solidFill>
          </w14:textFill>
        </w:rPr>
      </w:pPr>
      <w:r>
        <w:rPr>
          <w:rFonts w:hint="eastAsia" w:ascii="宋体" w:hAnsi="宋体"/>
          <w:color w:val="000000" w:themeColor="text1"/>
          <w:kern w:val="2"/>
          <w:sz w:val="28"/>
          <w:szCs w:val="28"/>
          <w:highlight w:val="none"/>
          <w14:textFill>
            <w14:solidFill>
              <w14:schemeClr w14:val="tx1"/>
            </w14:solidFill>
          </w14:textFill>
        </w:rPr>
        <w:t>本企业对上述声明内容的真实性负责。如有虚假，将依法承担相应责任。</w:t>
      </w:r>
    </w:p>
    <w:p>
      <w:pPr>
        <w:adjustRightInd w:val="0"/>
        <w:snapToGrid w:val="0"/>
        <w:spacing w:line="480" w:lineRule="exact"/>
        <w:ind w:firstLine="3780" w:firstLineChars="1350"/>
        <w:jc w:val="center"/>
        <w:rPr>
          <w:rFonts w:ascii="宋体" w:hAnsi="宋体"/>
          <w:color w:val="000000" w:themeColor="text1"/>
          <w:kern w:val="2"/>
          <w:sz w:val="28"/>
          <w:szCs w:val="28"/>
          <w:highlight w:val="none"/>
          <w14:textFill>
            <w14:solidFill>
              <w14:schemeClr w14:val="tx1"/>
            </w14:solidFill>
          </w14:textFill>
        </w:rPr>
      </w:pPr>
      <w:r>
        <w:rPr>
          <w:rFonts w:hint="eastAsia" w:ascii="宋体" w:hAnsi="宋体"/>
          <w:color w:val="000000" w:themeColor="text1"/>
          <w:kern w:val="2"/>
          <w:sz w:val="28"/>
          <w:szCs w:val="28"/>
          <w:highlight w:val="none"/>
          <w14:textFill>
            <w14:solidFill>
              <w14:schemeClr w14:val="tx1"/>
            </w14:solidFill>
          </w14:textFill>
        </w:rPr>
        <w:t>企业名称（盖章）∶</w:t>
      </w:r>
    </w:p>
    <w:p>
      <w:pPr>
        <w:adjustRightInd w:val="0"/>
        <w:snapToGrid w:val="0"/>
        <w:spacing w:line="480" w:lineRule="exact"/>
        <w:ind w:firstLine="5180" w:firstLineChars="1850"/>
        <w:rPr>
          <w:rFonts w:ascii="宋体" w:hAnsi="宋体"/>
          <w:color w:val="000000" w:themeColor="text1"/>
          <w:kern w:val="2"/>
          <w:sz w:val="28"/>
          <w:szCs w:val="28"/>
          <w:highlight w:val="none"/>
          <w14:textFill>
            <w14:solidFill>
              <w14:schemeClr w14:val="tx1"/>
            </w14:solidFill>
          </w14:textFill>
        </w:rPr>
      </w:pPr>
    </w:p>
    <w:p>
      <w:pPr>
        <w:adjustRightInd w:val="0"/>
        <w:snapToGrid w:val="0"/>
        <w:spacing w:line="480" w:lineRule="exact"/>
        <w:ind w:firstLine="5180" w:firstLineChars="1850"/>
        <w:rPr>
          <w:rFonts w:ascii="宋体" w:hAnsi="宋体"/>
          <w:color w:val="000000" w:themeColor="text1"/>
          <w:kern w:val="2"/>
          <w:sz w:val="28"/>
          <w:szCs w:val="28"/>
          <w:highlight w:val="none"/>
          <w14:textFill>
            <w14:solidFill>
              <w14:schemeClr w14:val="tx1"/>
            </w14:solidFill>
          </w14:textFill>
        </w:rPr>
      </w:pPr>
      <w:r>
        <w:rPr>
          <w:rFonts w:hint="eastAsia" w:ascii="宋体" w:hAnsi="宋体"/>
          <w:color w:val="000000" w:themeColor="text1"/>
          <w:kern w:val="2"/>
          <w:sz w:val="28"/>
          <w:szCs w:val="28"/>
          <w:highlight w:val="none"/>
          <w14:textFill>
            <w14:solidFill>
              <w14:schemeClr w14:val="tx1"/>
            </w14:solidFill>
          </w14:textFill>
        </w:rPr>
        <w:t>日期∶</w:t>
      </w:r>
    </w:p>
    <w:p>
      <w:pPr>
        <w:adjustRightInd w:val="0"/>
        <w:snapToGrid w:val="0"/>
        <w:spacing w:line="480" w:lineRule="exact"/>
        <w:ind w:firstLine="550" w:firstLineChars="250"/>
        <w:rPr>
          <w:rFonts w:ascii="宋体" w:hAnsi="宋体"/>
          <w:color w:val="000000" w:themeColor="text1"/>
          <w:kern w:val="2"/>
          <w:sz w:val="22"/>
          <w:highlight w:val="none"/>
          <w14:textFill>
            <w14:solidFill>
              <w14:schemeClr w14:val="tx1"/>
            </w14:solidFill>
          </w14:textFill>
        </w:rPr>
      </w:pPr>
    </w:p>
    <w:p>
      <w:pPr>
        <w:adjustRightInd w:val="0"/>
        <w:snapToGrid w:val="0"/>
        <w:spacing w:line="480" w:lineRule="exact"/>
        <w:rPr>
          <w:rFonts w:ascii="宋体" w:hAnsi="宋体"/>
          <w:color w:val="000000" w:themeColor="text1"/>
          <w:kern w:val="2"/>
          <w:sz w:val="22"/>
          <w:highlight w:val="none"/>
          <w:u w:val="single"/>
          <w14:textFill>
            <w14:solidFill>
              <w14:schemeClr w14:val="tx1"/>
            </w14:solidFill>
          </w14:textFill>
        </w:rPr>
      </w:pPr>
      <w:r>
        <w:rPr>
          <w:rFonts w:hint="eastAsia" w:ascii="宋体" w:hAnsi="宋体"/>
          <w:color w:val="000000" w:themeColor="text1"/>
          <w:kern w:val="2"/>
          <w:sz w:val="28"/>
          <w:szCs w:val="28"/>
          <w:highlight w:val="none"/>
          <w:u w:val="single"/>
          <w14:textFill>
            <w14:solidFill>
              <w14:schemeClr w14:val="tx1"/>
            </w14:solidFill>
          </w14:textFill>
        </w:rPr>
        <w:t>'</w:t>
      </w:r>
      <w:r>
        <w:rPr>
          <w:rFonts w:hint="eastAsia" w:ascii="宋体" w:hAnsi="宋体"/>
          <w:color w:val="000000" w:themeColor="text1"/>
          <w:kern w:val="2"/>
          <w:sz w:val="22"/>
          <w:highlight w:val="none"/>
          <w:u w:val="single"/>
          <w14:textFill>
            <w14:solidFill>
              <w14:schemeClr w14:val="tx1"/>
            </w14:solidFill>
          </w14:textFill>
        </w:rPr>
        <w:t>从业人员、营业收入、资产总额填报上一年度数据，无上一年度数据的新成立企业可不填报。</w:t>
      </w:r>
    </w:p>
    <w:p>
      <w:pPr>
        <w:pStyle w:val="1636"/>
        <w:jc w:val="center"/>
        <w:outlineLvl w:val="2"/>
        <w:rPr>
          <w:rFonts w:ascii="宋体" w:hAnsi="宋体" w:eastAsia="宋体" w:cs="宋体"/>
          <w:color w:val="000000" w:themeColor="text1"/>
          <w:sz w:val="28"/>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clear="all"/>
      </w:r>
      <w:r>
        <w:rPr>
          <w:rFonts w:hint="eastAsia" w:ascii="宋体" w:hAnsi="宋体" w:eastAsia="宋体" w:cs="宋体"/>
          <w:color w:val="000000" w:themeColor="text1"/>
          <w:sz w:val="28"/>
          <w:highlight w:val="none"/>
          <w14:textFill>
            <w14:solidFill>
              <w14:schemeClr w14:val="tx1"/>
            </w14:solidFill>
          </w14:textFill>
        </w:rPr>
        <w:t>(二</w:t>
      </w:r>
      <w:r>
        <w:rPr>
          <w:rFonts w:ascii="宋体" w:hAnsi="宋体" w:eastAsia="宋体" w:cs="宋体"/>
          <w:color w:val="000000" w:themeColor="text1"/>
          <w:sz w:val="28"/>
          <w:highlight w:val="none"/>
          <w14:textFill>
            <w14:solidFill>
              <w14:schemeClr w14:val="tx1"/>
            </w14:solidFill>
          </w14:textFill>
        </w:rPr>
        <w:t>)</w:t>
      </w:r>
      <w:r>
        <w:rPr>
          <w:rFonts w:hint="eastAsia" w:ascii="宋体" w:hAnsi="宋体" w:eastAsia="宋体" w:cs="宋体"/>
          <w:color w:val="000000" w:themeColor="text1"/>
          <w:sz w:val="28"/>
          <w:highlight w:val="none"/>
          <w14:textFill>
            <w14:solidFill>
              <w14:schemeClr w14:val="tx1"/>
            </w14:solidFill>
          </w14:textFill>
        </w:rPr>
        <w:t>残疾人福利性单位声明函（部文件规定格式）</w:t>
      </w:r>
    </w:p>
    <w:p>
      <w:pPr>
        <w:spacing w:line="360" w:lineRule="auto"/>
        <w:ind w:firstLine="630"/>
        <w:jc w:val="center"/>
        <w:rPr>
          <w:rFonts w:ascii="宋体" w:hAnsi="宋体" w:cs="宋体"/>
          <w:color w:val="000000" w:themeColor="text1"/>
          <w:sz w:val="28"/>
          <w:szCs w:val="24"/>
          <w:highlight w:val="none"/>
          <w14:textFill>
            <w14:solidFill>
              <w14:schemeClr w14:val="tx1"/>
            </w14:solidFill>
          </w14:textFill>
        </w:rPr>
      </w:pPr>
      <w:r>
        <w:rPr>
          <w:rFonts w:hint="eastAsia" w:ascii="宋体" w:hAnsi="宋体" w:cs="宋体"/>
          <w:color w:val="000000" w:themeColor="text1"/>
          <w:sz w:val="28"/>
          <w:szCs w:val="24"/>
          <w:highlight w:val="none"/>
          <w14:textFill>
            <w14:solidFill>
              <w14:schemeClr w14:val="tx1"/>
            </w14:solidFill>
          </w14:textFill>
        </w:rPr>
        <w:t>残疾人福利性单位声明函</w:t>
      </w:r>
    </w:p>
    <w:p>
      <w:pPr>
        <w:spacing w:line="360" w:lineRule="auto"/>
        <w:ind w:firstLine="540"/>
        <w:rPr>
          <w:rFonts w:ascii="宋体" w:hAnsi="宋体"/>
          <w:color w:val="000000" w:themeColor="text1"/>
          <w:sz w:val="24"/>
          <w:szCs w:val="24"/>
          <w:highlight w:val="none"/>
          <w14:textFill>
            <w14:solidFill>
              <w14:schemeClr w14:val="tx1"/>
            </w14:solidFill>
          </w14:textFill>
        </w:rPr>
      </w:pPr>
    </w:p>
    <w:p>
      <w:pPr>
        <w:spacing w:line="360" w:lineRule="auto"/>
        <w:ind w:firstLine="420"/>
        <w:jc w:val="left"/>
        <w:rPr>
          <w:rFonts w:ascii="宋体" w:hAnsi="宋体"/>
          <w:color w:val="000000" w:themeColor="text1"/>
          <w:spacing w:val="6"/>
          <w:sz w:val="28"/>
          <w:szCs w:val="28"/>
          <w:highlight w:val="none"/>
          <w14:textFill>
            <w14:solidFill>
              <w14:schemeClr w14:val="tx1"/>
            </w14:solidFill>
          </w14:textFill>
        </w:rPr>
      </w:pPr>
      <w:r>
        <w:rPr>
          <w:rFonts w:hint="eastAsia" w:ascii="宋体" w:hAnsi="宋体"/>
          <w:color w:val="000000" w:themeColor="text1"/>
          <w:spacing w:val="6"/>
          <w:sz w:val="28"/>
          <w:szCs w:val="28"/>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20"/>
        <w:jc w:val="left"/>
        <w:rPr>
          <w:rFonts w:ascii="宋体" w:hAnsi="宋体"/>
          <w:color w:val="000000" w:themeColor="text1"/>
          <w:spacing w:val="6"/>
          <w:sz w:val="28"/>
          <w:szCs w:val="28"/>
          <w:highlight w:val="none"/>
          <w14:textFill>
            <w14:solidFill>
              <w14:schemeClr w14:val="tx1"/>
            </w14:solidFill>
          </w14:textFill>
        </w:rPr>
      </w:pPr>
      <w:r>
        <w:rPr>
          <w:rFonts w:hint="eastAsia" w:ascii="宋体" w:hAnsi="宋体"/>
          <w:color w:val="000000" w:themeColor="text1"/>
          <w:spacing w:val="6"/>
          <w:sz w:val="28"/>
          <w:szCs w:val="28"/>
          <w:highlight w:val="none"/>
          <w14:textFill>
            <w14:solidFill>
              <w14:schemeClr w14:val="tx1"/>
            </w14:solidFill>
          </w14:textFill>
        </w:rPr>
        <w:t>本单位对上述声明的真实性负责。如有虚假，将依法承担相应责任。</w:t>
      </w:r>
    </w:p>
    <w:p>
      <w:pPr>
        <w:spacing w:line="360" w:lineRule="auto"/>
        <w:jc w:val="left"/>
        <w:rPr>
          <w:rFonts w:ascii="宋体" w:hAnsi="宋体"/>
          <w:color w:val="000000" w:themeColor="text1"/>
          <w:spacing w:val="6"/>
          <w:sz w:val="28"/>
          <w:szCs w:val="28"/>
          <w:highlight w:val="none"/>
          <w14:textFill>
            <w14:solidFill>
              <w14:schemeClr w14:val="tx1"/>
            </w14:solidFill>
          </w14:textFill>
        </w:rPr>
      </w:pPr>
    </w:p>
    <w:p>
      <w:pPr>
        <w:spacing w:line="360" w:lineRule="auto"/>
        <w:jc w:val="left"/>
        <w:rPr>
          <w:rFonts w:ascii="宋体" w:hAnsi="宋体"/>
          <w:color w:val="000000" w:themeColor="text1"/>
          <w:spacing w:val="6"/>
          <w:sz w:val="28"/>
          <w:szCs w:val="28"/>
          <w:highlight w:val="none"/>
          <w14:textFill>
            <w14:solidFill>
              <w14:schemeClr w14:val="tx1"/>
            </w14:solidFill>
          </w14:textFill>
        </w:rPr>
      </w:pPr>
      <w:r>
        <w:rPr>
          <w:rFonts w:hint="eastAsia" w:ascii="宋体" w:hAnsi="宋体"/>
          <w:color w:val="000000" w:themeColor="text1"/>
          <w:spacing w:val="6"/>
          <w:sz w:val="28"/>
          <w:szCs w:val="28"/>
          <w:highlight w:val="none"/>
          <w14:textFill>
            <w14:solidFill>
              <w14:schemeClr w14:val="tx1"/>
            </w14:solidFill>
          </w14:textFill>
        </w:rPr>
        <w:t xml:space="preserve">                                               单位名称（盖章）：</w:t>
      </w:r>
    </w:p>
    <w:p>
      <w:pPr>
        <w:spacing w:line="360" w:lineRule="auto"/>
        <w:ind w:firstLine="420"/>
        <w:jc w:val="left"/>
        <w:rPr>
          <w:rFonts w:ascii="宋体" w:hAnsi="宋体"/>
          <w:color w:val="000000" w:themeColor="text1"/>
          <w:spacing w:val="6"/>
          <w:sz w:val="28"/>
          <w:szCs w:val="28"/>
          <w:highlight w:val="none"/>
          <w14:textFill>
            <w14:solidFill>
              <w14:schemeClr w14:val="tx1"/>
            </w14:solidFill>
          </w14:textFill>
        </w:rPr>
      </w:pPr>
    </w:p>
    <w:p>
      <w:pPr>
        <w:spacing w:line="360" w:lineRule="auto"/>
        <w:ind w:firstLine="6716"/>
        <w:jc w:val="left"/>
        <w:rPr>
          <w:rFonts w:ascii="宋体" w:hAnsi="宋体"/>
          <w:color w:val="000000" w:themeColor="text1"/>
          <w:spacing w:val="6"/>
          <w:sz w:val="28"/>
          <w:szCs w:val="28"/>
          <w:highlight w:val="none"/>
          <w14:textFill>
            <w14:solidFill>
              <w14:schemeClr w14:val="tx1"/>
            </w14:solidFill>
          </w14:textFill>
        </w:rPr>
      </w:pPr>
      <w:r>
        <w:rPr>
          <w:rFonts w:hint="eastAsia" w:ascii="宋体" w:hAnsi="宋体"/>
          <w:color w:val="000000" w:themeColor="text1"/>
          <w:spacing w:val="6"/>
          <w:sz w:val="28"/>
          <w:szCs w:val="28"/>
          <w:highlight w:val="none"/>
          <w14:textFill>
            <w14:solidFill>
              <w14:schemeClr w14:val="tx1"/>
            </w14:solidFill>
          </w14:textFill>
        </w:rPr>
        <w:t xml:space="preserve">年  月  日  </w:t>
      </w:r>
    </w:p>
    <w:p>
      <w:pPr>
        <w:pStyle w:val="1637"/>
        <w:jc w:val="center"/>
        <w:outlineLvl w:val="2"/>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clear="all"/>
      </w:r>
      <w:r>
        <w:rPr>
          <w:rFonts w:ascii="宋体" w:hAnsi="宋体" w:eastAsia="宋体" w:cs="宋体"/>
          <w:color w:val="000000" w:themeColor="text1"/>
          <w:sz w:val="28"/>
          <w:highlight w:val="none"/>
          <w14:textFill>
            <w14:solidFill>
              <w14:schemeClr w14:val="tx1"/>
            </w14:solidFill>
          </w14:textFill>
        </w:rPr>
        <w:t>(</w:t>
      </w:r>
      <w:r>
        <w:rPr>
          <w:rFonts w:hint="eastAsia" w:ascii="宋体" w:hAnsi="宋体" w:eastAsia="宋体" w:cs="宋体"/>
          <w:color w:val="000000" w:themeColor="text1"/>
          <w:sz w:val="28"/>
          <w:highlight w:val="none"/>
          <w14:textFill>
            <w14:solidFill>
              <w14:schemeClr w14:val="tx1"/>
            </w14:solidFill>
          </w14:textFill>
        </w:rPr>
        <w:t>三</w:t>
      </w:r>
      <w:r>
        <w:rPr>
          <w:rFonts w:ascii="宋体" w:hAnsi="宋体" w:eastAsia="宋体" w:cs="宋体"/>
          <w:color w:val="000000" w:themeColor="text1"/>
          <w:sz w:val="28"/>
          <w:highlight w:val="none"/>
          <w14:textFill>
            <w14:solidFill>
              <w14:schemeClr w14:val="tx1"/>
            </w14:solidFill>
          </w14:textFill>
        </w:rPr>
        <w:t>)按招标文件要求</w:t>
      </w:r>
      <w:r>
        <w:rPr>
          <w:rFonts w:hint="eastAsia" w:ascii="宋体" w:hAnsi="宋体" w:eastAsia="宋体" w:cs="宋体"/>
          <w:color w:val="000000" w:themeColor="text1"/>
          <w:sz w:val="28"/>
          <w:highlight w:val="none"/>
          <w14:textFill>
            <w14:solidFill>
              <w14:schemeClr w14:val="tx1"/>
            </w14:solidFill>
          </w14:textFill>
        </w:rPr>
        <w:t>投标人</w:t>
      </w:r>
      <w:r>
        <w:rPr>
          <w:rFonts w:ascii="宋体" w:hAnsi="宋体" w:eastAsia="宋体" w:cs="宋体"/>
          <w:color w:val="000000" w:themeColor="text1"/>
          <w:sz w:val="28"/>
          <w:highlight w:val="none"/>
          <w14:textFill>
            <w14:solidFill>
              <w14:schemeClr w14:val="tx1"/>
            </w14:solidFill>
          </w14:textFill>
        </w:rPr>
        <w:t>所能提供的其他文件</w:t>
      </w:r>
    </w:p>
    <w:p>
      <w:pPr>
        <w:rPr>
          <w:rFonts w:ascii="宋体" w:hAnsi="宋体"/>
          <w:color w:val="000000" w:themeColor="text1"/>
          <w:sz w:val="20"/>
          <w:highlight w:val="none"/>
          <w14:textFill>
            <w14:solidFill>
              <w14:schemeClr w14:val="tx1"/>
            </w14:solidFill>
          </w14:textFill>
        </w:rPr>
      </w:pPr>
    </w:p>
    <w:p>
      <w:pPr>
        <w:pStyle w:val="1617"/>
        <w:spacing w:after="240"/>
        <w:jc w:val="center"/>
        <w:outlineLvl w:val="1"/>
        <w:rPr>
          <w:rFonts w:ascii="宋体" w:hAnsi="宋体" w:eastAsia="宋体" w:cs="宋体"/>
          <w:b/>
          <w:bCs/>
          <w:color w:val="000000" w:themeColor="text1"/>
          <w:sz w:val="36"/>
          <w:szCs w:val="28"/>
          <w:highlight w:val="none"/>
          <w14:textFill>
            <w14:solidFill>
              <w14:schemeClr w14:val="tx1"/>
            </w14:solidFill>
          </w14:textFill>
        </w:rPr>
      </w:pPr>
      <w:r>
        <w:rPr>
          <w:rFonts w:hint="eastAsia" w:ascii="宋体" w:hAnsi="宋体" w:eastAsia="宋体"/>
          <w:color w:val="000000" w:themeColor="text1"/>
          <w:sz w:val="20"/>
          <w:highlight w:val="none"/>
          <w14:textFill>
            <w14:solidFill>
              <w14:schemeClr w14:val="tx1"/>
            </w14:solidFill>
          </w14:textFill>
        </w:rPr>
        <w:br w:type="page"/>
      </w:r>
      <w:bookmarkStart w:id="163" w:name="_Toc152531552"/>
      <w:bookmarkStart w:id="164" w:name="_Toc148961838"/>
      <w:bookmarkStart w:id="165" w:name="_Toc151931409"/>
      <w:r>
        <w:rPr>
          <w:rFonts w:hint="eastAsia" w:ascii="宋体" w:hAnsi="宋体" w:eastAsia="宋体" w:cs="宋体"/>
          <w:b/>
          <w:bCs/>
          <w:color w:val="000000" w:themeColor="text1"/>
          <w:sz w:val="36"/>
          <w:szCs w:val="28"/>
          <w:highlight w:val="none"/>
          <w14:textFill>
            <w14:solidFill>
              <w14:schemeClr w14:val="tx1"/>
            </w14:solidFill>
          </w14:textFill>
        </w:rPr>
        <w:t>告供应商书</w:t>
      </w:r>
      <w:bookmarkEnd w:id="163"/>
      <w:bookmarkEnd w:id="164"/>
      <w:bookmarkEnd w:id="165"/>
    </w:p>
    <w:p>
      <w:pPr>
        <w:rPr>
          <w:rFonts w:ascii="宋体" w:hAnsi="宋体"/>
          <w:b/>
          <w:bCs/>
          <w:color w:val="000000" w:themeColor="text1"/>
          <w:sz w:val="40"/>
          <w:szCs w:val="40"/>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中标（成交）供应商：</w:t>
      </w:r>
    </w:p>
    <w:p>
      <w:pPr>
        <w:spacing w:before="240" w:after="240" w:line="360" w:lineRule="auto"/>
        <w:ind w:firstLine="560" w:firstLineChars="20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恭喜您成功中标（成交），为我市采购人提供优质产品及服务。为优化政府采购营商环境，发挥政府采购政策功能，缓解企业融资难题，我省已推出政府采购线上合同信用融资贷款业务，特此告知如下：</w:t>
      </w:r>
    </w:p>
    <w:p>
      <w:pPr>
        <w:wordWrap w:val="0"/>
        <w:spacing w:after="240" w:line="360" w:lineRule="auto"/>
        <w:ind w:firstLine="560" w:firstLineChars="20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宋体" w:hAnsi="宋体"/>
          <w:color w:val="000000" w:themeColor="text1"/>
          <w:sz w:val="28"/>
          <w:szCs w:val="28"/>
          <w:highlight w:val="none"/>
          <w14:textFill>
            <w14:solidFill>
              <w14:schemeClr w14:val="tx1"/>
            </w14:solidFill>
          </w14:textFill>
        </w:rPr>
        <w:t>为您提供</w:t>
      </w:r>
      <w:r>
        <w:rPr>
          <w:rFonts w:hint="eastAsia" w:ascii="宋体" w:hAnsi="宋体"/>
          <w:color w:val="000000" w:themeColor="text1"/>
          <w:sz w:val="28"/>
          <w:szCs w:val="28"/>
          <w:highlight w:val="none"/>
          <w14:textFill>
            <w14:solidFill>
              <w14:schemeClr w14:val="tx1"/>
            </w14:solidFill>
          </w14:textFill>
        </w:rPr>
        <w:t>无抵押低息融资</w:t>
      </w:r>
      <w:r>
        <w:rPr>
          <w:rFonts w:ascii="宋体" w:hAnsi="宋体"/>
          <w:color w:val="000000" w:themeColor="text1"/>
          <w:sz w:val="28"/>
          <w:szCs w:val="28"/>
          <w:highlight w:val="none"/>
          <w14:textFill>
            <w14:solidFill>
              <w14:schemeClr w14:val="tx1"/>
            </w14:solidFill>
          </w14:textFill>
        </w:rPr>
        <w:t>便利</w:t>
      </w:r>
      <w:r>
        <w:rPr>
          <w:rFonts w:hint="eastAsia" w:ascii="宋体" w:hAnsi="宋体"/>
          <w:color w:val="000000" w:themeColor="text1"/>
          <w:sz w:val="28"/>
          <w:szCs w:val="28"/>
          <w:highlight w:val="none"/>
          <w14:textFill>
            <w14:solidFill>
              <w14:schemeClr w14:val="tx1"/>
            </w14:solidFill>
          </w14:textFill>
        </w:rPr>
        <w:t>。</w:t>
      </w:r>
      <w:r>
        <w:rPr>
          <w:rFonts w:ascii="宋体" w:hAnsi="宋体"/>
          <w:color w:val="000000" w:themeColor="text1"/>
          <w:sz w:val="28"/>
          <w:szCs w:val="28"/>
          <w:highlight w:val="none"/>
          <w14:textFill>
            <w14:solidFill>
              <w14:schemeClr w14:val="tx1"/>
            </w14:solidFill>
          </w14:textFill>
        </w:rPr>
        <w:t>具体业务流程可登录</w:t>
      </w:r>
      <w:r>
        <w:rPr>
          <w:rFonts w:hint="eastAsia" w:ascii="宋体" w:hAnsi="宋体"/>
          <w:color w:val="000000" w:themeColor="text1"/>
          <w:sz w:val="28"/>
          <w:szCs w:val="28"/>
          <w:highlight w:val="none"/>
          <w14:textFill>
            <w14:solidFill>
              <w14:schemeClr w14:val="tx1"/>
            </w14:solidFill>
          </w14:textFill>
        </w:rPr>
        <w:t>“江苏政府采购网</w:t>
      </w:r>
      <w:r>
        <w:rPr>
          <w:rFonts w:ascii="宋体" w:hAnsi="宋体"/>
          <w:color w:val="000000" w:themeColor="text1"/>
          <w:sz w:val="28"/>
          <w:szCs w:val="28"/>
          <w:highlight w:val="none"/>
          <w14:textFill>
            <w14:solidFill>
              <w14:schemeClr w14:val="tx1"/>
            </w14:solidFill>
          </w14:textFill>
        </w:rPr>
        <w:t>—</w:t>
      </w:r>
      <w:r>
        <w:rPr>
          <w:rFonts w:hint="eastAsia" w:ascii="宋体" w:hAnsi="宋体"/>
          <w:color w:val="000000" w:themeColor="text1"/>
          <w:sz w:val="28"/>
          <w:szCs w:val="28"/>
          <w:highlight w:val="none"/>
          <w14:textFill>
            <w14:solidFill>
              <w14:schemeClr w14:val="tx1"/>
            </w14:solidFill>
          </w14:textFill>
        </w:rPr>
        <w:t>政采贷”栏目（</w:t>
      </w:r>
      <w:r>
        <w:rPr>
          <w:rFonts w:ascii="宋体" w:hAnsi="宋体"/>
          <w:color w:val="000000" w:themeColor="text1"/>
          <w:sz w:val="28"/>
          <w:szCs w:val="28"/>
          <w:highlight w:val="none"/>
          <w14:textFill>
            <w14:solidFill>
              <w14:schemeClr w14:val="tx1"/>
            </w14:solidFill>
          </w14:textFill>
        </w:rPr>
        <w:t>http://www.ccgp-jiangsu.gov.cn/jiangsu/paying.html</w:t>
      </w:r>
      <w:r>
        <w:rPr>
          <w:rFonts w:hint="eastAsia" w:ascii="宋体" w:hAnsi="宋体"/>
          <w:color w:val="000000" w:themeColor="text1"/>
          <w:sz w:val="28"/>
          <w:szCs w:val="28"/>
          <w:highlight w:val="none"/>
          <w14:textFill>
            <w14:solidFill>
              <w14:schemeClr w14:val="tx1"/>
            </w14:solidFill>
          </w14:textFill>
        </w:rPr>
        <w:t>）查看并办理。</w:t>
      </w:r>
    </w:p>
    <w:p>
      <w:pPr>
        <w:wordWrap w:val="0"/>
        <w:spacing w:after="240" w:line="360" w:lineRule="auto"/>
        <w:ind w:firstLine="560" w:firstLineChars="20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如您需要帮助，请致电镇江市财政局政府采购管理处，电话：0</w:t>
      </w:r>
      <w:r>
        <w:rPr>
          <w:rFonts w:ascii="宋体" w:hAnsi="宋体"/>
          <w:color w:val="000000" w:themeColor="text1"/>
          <w:sz w:val="28"/>
          <w:szCs w:val="28"/>
          <w:highlight w:val="none"/>
          <w14:textFill>
            <w14:solidFill>
              <w14:schemeClr w14:val="tx1"/>
            </w14:solidFill>
          </w14:textFill>
        </w:rPr>
        <w:t>511-80909958</w:t>
      </w:r>
      <w:r>
        <w:rPr>
          <w:rFonts w:hint="eastAsia" w:ascii="宋体" w:hAnsi="宋体"/>
          <w:color w:val="000000" w:themeColor="text1"/>
          <w:sz w:val="28"/>
          <w:szCs w:val="28"/>
          <w:highlight w:val="none"/>
          <w14:textFill>
            <w14:solidFill>
              <w14:schemeClr w14:val="tx1"/>
            </w14:solidFill>
          </w14:textFill>
        </w:rPr>
        <w:t>。我们将竭诚为您服务！</w:t>
      </w:r>
    </w:p>
    <w:p>
      <w:pPr>
        <w:ind w:right="160" w:firstLine="560" w:firstLineChars="200"/>
        <w:jc w:val="right"/>
        <w:rPr>
          <w:rFonts w:ascii="宋体" w:hAnsi="宋体"/>
          <w:color w:val="000000" w:themeColor="text1"/>
          <w:sz w:val="18"/>
          <w:szCs w:val="21"/>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镇江市财政局</w:t>
      </w:r>
    </w:p>
    <w:p>
      <w:pPr>
        <w:spacing w:line="360" w:lineRule="auto"/>
        <w:ind w:firstLine="480"/>
        <w:rPr>
          <w:color w:val="000000" w:themeColor="text1"/>
          <w:highlight w:val="none"/>
          <w14:textFill>
            <w14:solidFill>
              <w14:schemeClr w14:val="tx1"/>
            </w14:solidFill>
          </w14:textFill>
        </w:rPr>
      </w:pPr>
    </w:p>
    <w:sectPr>
      <w:footerReference r:id="rId4" w:type="first"/>
      <w:footerReference r:id="rId3" w:type="default"/>
      <w:pgSz w:w="11907" w:h="16840"/>
      <w:pgMar w:top="1440" w:right="1800" w:bottom="1440" w:left="1800"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幼圆">
    <w:panose1 w:val="02010509060101010101"/>
    <w:charset w:val="86"/>
    <w:family w:val="modern"/>
    <w:pitch w:val="default"/>
    <w:sig w:usb0="00000001" w:usb1="080E0000" w:usb2="00000000" w:usb3="00000000" w:csb0="00040000" w:csb1="00000000"/>
  </w:font>
  <w:font w:name="Garamond">
    <w:panose1 w:val="02020404030301010803"/>
    <w:charset w:val="00"/>
    <w:family w:val="roman"/>
    <w:pitch w:val="default"/>
    <w:sig w:usb0="00000287" w:usb1="00000000" w:usb2="00000000" w:usb3="00000000" w:csb0="0000009F" w:csb1="DFD7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10" w:usb3="00000000" w:csb0="00040000" w:csb1="00000000"/>
  </w:font>
  <w:font w:name="Taipei">
    <w:altName w:val="Calibri"/>
    <w:panose1 w:val="00000000000000000000"/>
    <w:charset w:val="00"/>
    <w:family w:val="auto"/>
    <w:pitch w:val="default"/>
    <w:sig w:usb0="00000000" w:usb1="00000000" w:usb2="00000000" w:usb3="00000000" w:csb0="00040001" w:csb1="00000000"/>
  </w:font>
  <w:font w:name="方正仿宋_GBK">
    <w:altName w:val="微软雅黑"/>
    <w:panose1 w:val="03000509000000000000"/>
    <w:charset w:val="86"/>
    <w:family w:val="script"/>
    <w:pitch w:val="default"/>
    <w:sig w:usb0="00000000" w:usb1="00000000" w:usb2="00000000" w:usb3="00000000" w:csb0="00040000" w:csb1="00000000"/>
  </w:font>
  <w:font w:name="StarSymbol">
    <w:altName w:val="Calibri"/>
    <w:panose1 w:val="00000000000000000000"/>
    <w:charset w:val="00"/>
    <w:family w:val="auto"/>
    <w:pitch w:val="default"/>
    <w:sig w:usb0="00000000" w:usb1="00000000" w:usb2="00000000" w:usb3="00000000" w:csb0="00040001" w:csb1="00000000"/>
  </w:font>
  <w:font w:name="方正行楷简体">
    <w:panose1 w:val="02010601030101010101"/>
    <w:charset w:val="86"/>
    <w:family w:val="auto"/>
    <w:pitch w:val="default"/>
    <w:sig w:usb0="00000001" w:usb1="080E0000" w:usb2="00000000" w:usb3="00000000" w:csb0="00040000" w:csb1="00000000"/>
  </w:font>
  <w:font w:name="Book Antiqua">
    <w:panose1 w:val="02040602050305030304"/>
    <w:charset w:val="00"/>
    <w:family w:val="roman"/>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小标宋_GBK">
    <w:altName w:val="微软雅黑"/>
    <w:panose1 w:val="03000509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Microsoft Sans Serif">
    <w:panose1 w:val="020B0604020202020204"/>
    <w:charset w:val="00"/>
    <w:family w:val="swiss"/>
    <w:pitch w:val="default"/>
    <w:sig w:usb0="E5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Palatino Linotype">
    <w:panose1 w:val="02040502050505030304"/>
    <w:charset w:val="00"/>
    <w:family w:val="roman"/>
    <w:pitch w:val="default"/>
    <w:sig w:usb0="E0000287" w:usb1="40000013" w:usb2="00000000" w:usb3="00000000" w:csb0="2000019F" w:csb1="00000000"/>
  </w:font>
  <w:font w:name="长城仿宋">
    <w:altName w:val="仿宋"/>
    <w:panose1 w:val="00000000000000000000"/>
    <w:charset w:val="00"/>
    <w:family w:val="auto"/>
    <w:pitch w:val="default"/>
    <w:sig w:usb0="00000000" w:usb1="00000000" w:usb2="00000000" w:usb3="00000000" w:csb0="00040001" w:csb1="00000000"/>
  </w:font>
  <w:font w:name="华文新魏">
    <w:panose1 w:val="02010800040101010101"/>
    <w:charset w:val="86"/>
    <w:family w:val="auto"/>
    <w:pitch w:val="default"/>
    <w:sig w:usb0="00000001" w:usb1="080F0000" w:usb2="00000000" w:usb3="00000000" w:csb0="00040000" w:csb1="00000000"/>
  </w:font>
  <w:font w:name="Trebuchet MS">
    <w:panose1 w:val="020B0603020202020204"/>
    <w:charset w:val="00"/>
    <w:family w:val="swiss"/>
    <w:pitch w:val="default"/>
    <w:sig w:usb0="00000687" w:usb1="00000000" w:usb2="00000000" w:usb3="00000000" w:csb0="2000009F" w:csb1="00000000"/>
  </w:font>
  <w:font w:name="方正楷体_GBK">
    <w:altName w:val="微软雅黑"/>
    <w:panose1 w:val="03000509000000000000"/>
    <w:charset w:val="86"/>
    <w:family w:val="script"/>
    <w:pitch w:val="default"/>
    <w:sig w:usb0="00000000" w:usb1="00000000" w:usb2="00000000" w:usb3="00000000" w:csb0="00040000" w:csb1="00000000"/>
  </w:font>
  <w:font w:name="华文黑体">
    <w:altName w:val="黑体"/>
    <w:panose1 w:val="00000000000000000000"/>
    <w:charset w:val="00"/>
    <w:family w:val="auto"/>
    <w:pitch w:val="default"/>
    <w:sig w:usb0="00000000" w:usb1="00000000" w:usb2="00000000" w:usb3="00000000" w:csb0="00040001" w:csb1="00000000"/>
  </w:font>
  <w:font w:name="Lucida Grande">
    <w:altName w:val="Courier New"/>
    <w:panose1 w:val="00000000000000000000"/>
    <w:charset w:val="00"/>
    <w:family w:val="auto"/>
    <w:pitch w:val="default"/>
    <w:sig w:usb0="00000000" w:usb1="00000000" w:usb2="00000000" w:usb3="00000000" w:csb0="00040001" w:csb1="00000000"/>
  </w:font>
  <w:font w:name="方正黑体_GBK">
    <w:altName w:val="微软雅黑"/>
    <w:panose1 w:val="03000509000000000000"/>
    <w:charset w:val="86"/>
    <w:family w:val="script"/>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9"/>
      <w:jc w:val="center"/>
    </w:pPr>
    <w:r>
      <w:fldChar w:fldCharType="begin"/>
    </w:r>
    <w:r>
      <w:rPr>
        <w:highlight w:val="white"/>
      </w:rPr>
      <w:instrText xml:space="preserve">PAGE   \* MERGEFORMAT</w:instrText>
    </w:r>
    <w:r>
      <w:fldChar w:fldCharType="separate"/>
    </w:r>
    <w:r>
      <w:rPr>
        <w:highlight w:val="white"/>
        <w:lang w:val="zh-CN"/>
      </w:rPr>
      <w:t>52</w:t>
    </w:r>
    <w:r>
      <w:fldChar w:fldCharType="end"/>
    </w:r>
  </w:p>
  <w:p>
    <w:pPr>
      <w:pStyle w:val="26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w:fldChar w:fldCharType="begin"/>
    </w:r>
    <w:r>
      <w:instrText xml:space="preserve">PAGE   \* MERGEFORMAT</w:instrText>
    </w:r>
    <w:r>
      <w:fldChar w:fldCharType="separate"/>
    </w:r>
    <w:r>
      <w:rPr>
        <w:lang w:val="zh-CN"/>
      </w:rPr>
      <w:t>1</w:t>
    </w:r>
    <w:r>
      <w:rPr>
        <w:lang w:val="zh-CN"/>
      </w:rPr>
      <w:fldChar w:fldCharType="end"/>
    </w:r>
  </w:p>
  <w:p>
    <w:pPr>
      <w:pStyle w:val="2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664C2F"/>
    <w:multiLevelType w:val="singleLevel"/>
    <w:tmpl w:val="95664C2F"/>
    <w:lvl w:ilvl="0" w:tentative="0">
      <w:start w:val="1"/>
      <w:numFmt w:val="decimal"/>
      <w:suff w:val="nothing"/>
      <w:lvlText w:val="（%1）"/>
      <w:lvlJc w:val="left"/>
    </w:lvl>
  </w:abstractNum>
  <w:abstractNum w:abstractNumId="1">
    <w:nsid w:val="9640D6F0"/>
    <w:multiLevelType w:val="singleLevel"/>
    <w:tmpl w:val="9640D6F0"/>
    <w:lvl w:ilvl="0" w:tentative="0">
      <w:start w:val="1"/>
      <w:numFmt w:val="decimal"/>
      <w:suff w:val="nothing"/>
      <w:lvlText w:val="（%1）"/>
      <w:lvlJc w:val="left"/>
    </w:lvl>
  </w:abstractNum>
  <w:abstractNum w:abstractNumId="2">
    <w:nsid w:val="9E73640B"/>
    <w:multiLevelType w:val="singleLevel"/>
    <w:tmpl w:val="9E73640B"/>
    <w:lvl w:ilvl="0" w:tentative="0">
      <w:start w:val="1"/>
      <w:numFmt w:val="decimal"/>
      <w:lvlText w:val="%1."/>
      <w:lvlJc w:val="left"/>
      <w:pPr>
        <w:tabs>
          <w:tab w:val="left" w:pos="312"/>
        </w:tabs>
      </w:pPr>
    </w:lvl>
  </w:abstractNum>
  <w:abstractNum w:abstractNumId="3">
    <w:nsid w:val="DF426C9B"/>
    <w:multiLevelType w:val="singleLevel"/>
    <w:tmpl w:val="DF426C9B"/>
    <w:lvl w:ilvl="0" w:tentative="0">
      <w:start w:val="1"/>
      <w:numFmt w:val="decimal"/>
      <w:suff w:val="nothing"/>
      <w:lvlText w:val="%1、"/>
      <w:lvlJc w:val="left"/>
    </w:lvl>
  </w:abstractNum>
  <w:abstractNum w:abstractNumId="4">
    <w:nsid w:val="FA730840"/>
    <w:multiLevelType w:val="singleLevel"/>
    <w:tmpl w:val="FA730840"/>
    <w:lvl w:ilvl="0" w:tentative="0">
      <w:start w:val="2"/>
      <w:numFmt w:val="decimal"/>
      <w:lvlText w:val="%1."/>
      <w:lvlJc w:val="left"/>
      <w:pPr>
        <w:tabs>
          <w:tab w:val="left" w:pos="312"/>
        </w:tabs>
      </w:pPr>
    </w:lvl>
  </w:abstractNum>
  <w:abstractNum w:abstractNumId="5">
    <w:nsid w:val="182ABA7C"/>
    <w:multiLevelType w:val="singleLevel"/>
    <w:tmpl w:val="182ABA7C"/>
    <w:lvl w:ilvl="0" w:tentative="0">
      <w:start w:val="1"/>
      <w:numFmt w:val="decimal"/>
      <w:suff w:val="nothing"/>
      <w:lvlText w:val="（%1）"/>
      <w:lvlJc w:val="left"/>
    </w:lvl>
  </w:abstractNum>
  <w:abstractNum w:abstractNumId="6">
    <w:nsid w:val="58D9F1B2"/>
    <w:multiLevelType w:val="singleLevel"/>
    <w:tmpl w:val="58D9F1B2"/>
    <w:lvl w:ilvl="0" w:tentative="0">
      <w:start w:val="1"/>
      <w:numFmt w:val="decimal"/>
      <w:suff w:val="nothing"/>
      <w:lvlText w:val="(%1)"/>
      <w:lvlJc w:val="left"/>
      <w:pPr>
        <w:ind w:left="425" w:hanging="425"/>
      </w:pPr>
      <w:rPr>
        <w:rFonts w:hint="default"/>
      </w:rPr>
    </w:lvl>
  </w:abstractNum>
  <w:abstractNum w:abstractNumId="7">
    <w:nsid w:val="59ADCABA"/>
    <w:multiLevelType w:val="multilevel"/>
    <w:tmpl w:val="59ADCABA"/>
    <w:lvl w:ilvl="0" w:tentative="0">
      <w:start w:val="1"/>
      <w:numFmt w:val="japaneseCounting"/>
      <w:lvlText w:val="（%1）"/>
      <w:lvlJc w:val="left"/>
      <w:pPr>
        <w:ind w:left="765" w:hanging="765"/>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5C1C7E45"/>
    <w:multiLevelType w:val="singleLevel"/>
    <w:tmpl w:val="5C1C7E45"/>
    <w:lvl w:ilvl="0" w:tentative="0">
      <w:start w:val="4"/>
      <w:numFmt w:val="chineseCounting"/>
      <w:suff w:val="space"/>
      <w:lvlText w:val="第%1部分"/>
      <w:lvlJc w:val="left"/>
      <w:rPr>
        <w:rFonts w:hint="eastAsia"/>
      </w:rPr>
    </w:lvl>
  </w:abstractNum>
  <w:abstractNum w:abstractNumId="9">
    <w:nsid w:val="5FC71108"/>
    <w:multiLevelType w:val="multilevel"/>
    <w:tmpl w:val="5FC71108"/>
    <w:lvl w:ilvl="0" w:tentative="0">
      <w:start w:val="1"/>
      <w:numFmt w:val="decimal"/>
      <w:suff w:val="nothing"/>
      <w:lvlText w:val="%1."/>
      <w:lvlJc w:val="left"/>
      <w:pPr>
        <w:ind w:left="100" w:hanging="264"/>
      </w:pPr>
      <w:rPr>
        <w:rFonts w:hint="default" w:ascii="宋体" w:hAnsi="宋体" w:eastAsia="宋体" w:cs="Times New Roman"/>
        <w:color w:val="auto"/>
        <w:w w:val="100"/>
        <w:sz w:val="24"/>
        <w:szCs w:val="24"/>
      </w:rPr>
    </w:lvl>
    <w:lvl w:ilvl="1" w:tentative="0">
      <w:start w:val="0"/>
      <w:numFmt w:val="bullet"/>
      <w:lvlText w:val="•"/>
      <w:lvlJc w:val="left"/>
      <w:pPr>
        <w:ind w:left="986" w:hanging="264"/>
      </w:pPr>
      <w:rPr>
        <w:rFonts w:hint="default"/>
      </w:rPr>
    </w:lvl>
    <w:lvl w:ilvl="2" w:tentative="0">
      <w:start w:val="0"/>
      <w:numFmt w:val="bullet"/>
      <w:lvlText w:val="•"/>
      <w:lvlJc w:val="left"/>
      <w:pPr>
        <w:ind w:left="1872" w:hanging="264"/>
      </w:pPr>
      <w:rPr>
        <w:rFonts w:hint="default"/>
      </w:rPr>
    </w:lvl>
    <w:lvl w:ilvl="3" w:tentative="0">
      <w:start w:val="0"/>
      <w:numFmt w:val="bullet"/>
      <w:lvlText w:val="•"/>
      <w:lvlJc w:val="left"/>
      <w:pPr>
        <w:ind w:left="2758" w:hanging="264"/>
      </w:pPr>
      <w:rPr>
        <w:rFonts w:hint="default"/>
      </w:rPr>
    </w:lvl>
    <w:lvl w:ilvl="4" w:tentative="0">
      <w:start w:val="0"/>
      <w:numFmt w:val="bullet"/>
      <w:lvlText w:val="•"/>
      <w:lvlJc w:val="left"/>
      <w:pPr>
        <w:ind w:left="3644" w:hanging="264"/>
      </w:pPr>
      <w:rPr>
        <w:rFonts w:hint="default"/>
      </w:rPr>
    </w:lvl>
    <w:lvl w:ilvl="5" w:tentative="0">
      <w:start w:val="0"/>
      <w:numFmt w:val="bullet"/>
      <w:lvlText w:val="•"/>
      <w:lvlJc w:val="left"/>
      <w:pPr>
        <w:ind w:left="4530" w:hanging="264"/>
      </w:pPr>
      <w:rPr>
        <w:rFonts w:hint="default"/>
      </w:rPr>
    </w:lvl>
    <w:lvl w:ilvl="6" w:tentative="0">
      <w:start w:val="0"/>
      <w:numFmt w:val="bullet"/>
      <w:lvlText w:val="•"/>
      <w:lvlJc w:val="left"/>
      <w:pPr>
        <w:ind w:left="5416" w:hanging="264"/>
      </w:pPr>
      <w:rPr>
        <w:rFonts w:hint="default"/>
      </w:rPr>
    </w:lvl>
    <w:lvl w:ilvl="7" w:tentative="0">
      <w:start w:val="0"/>
      <w:numFmt w:val="bullet"/>
      <w:lvlText w:val="•"/>
      <w:lvlJc w:val="left"/>
      <w:pPr>
        <w:ind w:left="6302" w:hanging="264"/>
      </w:pPr>
      <w:rPr>
        <w:rFonts w:hint="default"/>
      </w:rPr>
    </w:lvl>
    <w:lvl w:ilvl="8" w:tentative="0">
      <w:start w:val="0"/>
      <w:numFmt w:val="bullet"/>
      <w:lvlText w:val="•"/>
      <w:lvlJc w:val="left"/>
      <w:pPr>
        <w:ind w:left="7188" w:hanging="264"/>
      </w:pPr>
      <w:rPr>
        <w:rFonts w:hint="default"/>
      </w:rPr>
    </w:lvl>
  </w:abstractNum>
  <w:abstractNum w:abstractNumId="10">
    <w:nsid w:val="6CAD32BE"/>
    <w:multiLevelType w:val="singleLevel"/>
    <w:tmpl w:val="6CAD32BE"/>
    <w:lvl w:ilvl="0" w:tentative="0">
      <w:start w:val="1"/>
      <w:numFmt w:val="chineseCounting"/>
      <w:suff w:val="nothing"/>
      <w:lvlText w:val="%1、"/>
      <w:lvlJc w:val="left"/>
      <w:rPr>
        <w:rFonts w:hint="eastAsia"/>
      </w:rPr>
    </w:lvl>
  </w:abstractNum>
  <w:abstractNum w:abstractNumId="11">
    <w:nsid w:val="7371FBC8"/>
    <w:multiLevelType w:val="singleLevel"/>
    <w:tmpl w:val="7371FBC8"/>
    <w:lvl w:ilvl="0" w:tentative="0">
      <w:start w:val="1"/>
      <w:numFmt w:val="ideographTraditional"/>
      <w:suff w:val="nothing"/>
      <w:lvlText w:val="%1、"/>
      <w:lvlJc w:val="left"/>
      <w:rPr>
        <w:rFonts w:hint="eastAsia"/>
      </w:rPr>
    </w:lvl>
  </w:abstractNum>
  <w:num w:numId="1">
    <w:abstractNumId w:val="11"/>
  </w:num>
  <w:num w:numId="2">
    <w:abstractNumId w:val="10"/>
  </w:num>
  <w:num w:numId="3">
    <w:abstractNumId w:val="5"/>
  </w:num>
  <w:num w:numId="4">
    <w:abstractNumId w:val="9"/>
  </w:num>
  <w:num w:numId="5">
    <w:abstractNumId w:val="6"/>
  </w:num>
  <w:num w:numId="6">
    <w:abstractNumId w:val="1"/>
  </w:num>
  <w:num w:numId="7">
    <w:abstractNumId w:val="8"/>
  </w:num>
  <w:num w:numId="8">
    <w:abstractNumId w:val="4"/>
  </w:num>
  <w:num w:numId="9">
    <w:abstractNumId w:val="2"/>
  </w:num>
  <w:num w:numId="10">
    <w:abstractNumId w:val="3"/>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hideSpellingErrors/>
  <w:documentProtection w:enforcement="0"/>
  <w:defaultTabStop w:val="420"/>
  <w:noPunctuationKerning w:val="1"/>
  <w:characterSpacingControl w:val="doNotCompress"/>
  <w:compat>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Y3YWEyNmVlYjJkZGJkNjc1YjIwZDkwZTgwNDBlYTgifQ=="/>
  </w:docVars>
  <w:rsids>
    <w:rsidRoot w:val="006003F1"/>
    <w:rsid w:val="0001024C"/>
    <w:rsid w:val="00021C55"/>
    <w:rsid w:val="0002455C"/>
    <w:rsid w:val="000254EF"/>
    <w:rsid w:val="00025E04"/>
    <w:rsid w:val="000271D8"/>
    <w:rsid w:val="00030310"/>
    <w:rsid w:val="000335F9"/>
    <w:rsid w:val="00035A13"/>
    <w:rsid w:val="0004196A"/>
    <w:rsid w:val="00044451"/>
    <w:rsid w:val="0005175C"/>
    <w:rsid w:val="00054920"/>
    <w:rsid w:val="000549ED"/>
    <w:rsid w:val="00056316"/>
    <w:rsid w:val="00062EC5"/>
    <w:rsid w:val="00064843"/>
    <w:rsid w:val="000715A2"/>
    <w:rsid w:val="00075BC8"/>
    <w:rsid w:val="0008790E"/>
    <w:rsid w:val="00090B54"/>
    <w:rsid w:val="00092E4A"/>
    <w:rsid w:val="00095B06"/>
    <w:rsid w:val="00096DC7"/>
    <w:rsid w:val="000A1359"/>
    <w:rsid w:val="000A4421"/>
    <w:rsid w:val="000A46C2"/>
    <w:rsid w:val="000A655E"/>
    <w:rsid w:val="000B36C8"/>
    <w:rsid w:val="000C0CE3"/>
    <w:rsid w:val="000C0EB3"/>
    <w:rsid w:val="000C141C"/>
    <w:rsid w:val="000C1B96"/>
    <w:rsid w:val="000C2AFC"/>
    <w:rsid w:val="000C2BA5"/>
    <w:rsid w:val="000C4A4F"/>
    <w:rsid w:val="000C5ACA"/>
    <w:rsid w:val="000C5BB5"/>
    <w:rsid w:val="000C7F2B"/>
    <w:rsid w:val="000D032F"/>
    <w:rsid w:val="000D1418"/>
    <w:rsid w:val="000D2353"/>
    <w:rsid w:val="000D3196"/>
    <w:rsid w:val="000D41E9"/>
    <w:rsid w:val="000D49CB"/>
    <w:rsid w:val="000E0F60"/>
    <w:rsid w:val="000E198B"/>
    <w:rsid w:val="000E3EE3"/>
    <w:rsid w:val="000E4D8E"/>
    <w:rsid w:val="000E7CFF"/>
    <w:rsid w:val="000F181C"/>
    <w:rsid w:val="000F20CC"/>
    <w:rsid w:val="000F4EEB"/>
    <w:rsid w:val="000F66B8"/>
    <w:rsid w:val="000F6843"/>
    <w:rsid w:val="000F6C6A"/>
    <w:rsid w:val="000F7F3F"/>
    <w:rsid w:val="00101EE8"/>
    <w:rsid w:val="00107358"/>
    <w:rsid w:val="00111492"/>
    <w:rsid w:val="00116D3E"/>
    <w:rsid w:val="00120B74"/>
    <w:rsid w:val="001224DA"/>
    <w:rsid w:val="0012369A"/>
    <w:rsid w:val="001239ED"/>
    <w:rsid w:val="00123D24"/>
    <w:rsid w:val="00123DB0"/>
    <w:rsid w:val="001260F8"/>
    <w:rsid w:val="00126A1B"/>
    <w:rsid w:val="00127198"/>
    <w:rsid w:val="00130B49"/>
    <w:rsid w:val="00132591"/>
    <w:rsid w:val="001349FA"/>
    <w:rsid w:val="0013547B"/>
    <w:rsid w:val="0014151E"/>
    <w:rsid w:val="001428F1"/>
    <w:rsid w:val="0014660B"/>
    <w:rsid w:val="0014767E"/>
    <w:rsid w:val="00151A06"/>
    <w:rsid w:val="00154F52"/>
    <w:rsid w:val="00157378"/>
    <w:rsid w:val="00162477"/>
    <w:rsid w:val="0016297F"/>
    <w:rsid w:val="001700F6"/>
    <w:rsid w:val="00170E6C"/>
    <w:rsid w:val="00171083"/>
    <w:rsid w:val="00171CF7"/>
    <w:rsid w:val="00172FB5"/>
    <w:rsid w:val="00174CC9"/>
    <w:rsid w:val="00175319"/>
    <w:rsid w:val="00183DD0"/>
    <w:rsid w:val="001845EC"/>
    <w:rsid w:val="00191D24"/>
    <w:rsid w:val="001A1153"/>
    <w:rsid w:val="001A3A90"/>
    <w:rsid w:val="001A4992"/>
    <w:rsid w:val="001A6AC8"/>
    <w:rsid w:val="001B5A26"/>
    <w:rsid w:val="001C40ED"/>
    <w:rsid w:val="001C4892"/>
    <w:rsid w:val="001D3273"/>
    <w:rsid w:val="001D3387"/>
    <w:rsid w:val="001E054F"/>
    <w:rsid w:val="001E1897"/>
    <w:rsid w:val="001E2D19"/>
    <w:rsid w:val="001E31DD"/>
    <w:rsid w:val="001E36E8"/>
    <w:rsid w:val="001E3A41"/>
    <w:rsid w:val="001E6D72"/>
    <w:rsid w:val="001F0440"/>
    <w:rsid w:val="001F0CDB"/>
    <w:rsid w:val="001F23BC"/>
    <w:rsid w:val="001F2AB7"/>
    <w:rsid w:val="002006CE"/>
    <w:rsid w:val="00200EBB"/>
    <w:rsid w:val="002028EF"/>
    <w:rsid w:val="00202FF3"/>
    <w:rsid w:val="002049D0"/>
    <w:rsid w:val="002052C3"/>
    <w:rsid w:val="00207E9C"/>
    <w:rsid w:val="002125E2"/>
    <w:rsid w:val="00214609"/>
    <w:rsid w:val="00221430"/>
    <w:rsid w:val="00221981"/>
    <w:rsid w:val="002253D7"/>
    <w:rsid w:val="00233D89"/>
    <w:rsid w:val="002348F7"/>
    <w:rsid w:val="00235119"/>
    <w:rsid w:val="002356B3"/>
    <w:rsid w:val="0024742D"/>
    <w:rsid w:val="0024770A"/>
    <w:rsid w:val="002526FD"/>
    <w:rsid w:val="00252E5B"/>
    <w:rsid w:val="00253C8E"/>
    <w:rsid w:val="00254424"/>
    <w:rsid w:val="00255FD1"/>
    <w:rsid w:val="00257BDA"/>
    <w:rsid w:val="00257DC0"/>
    <w:rsid w:val="00261119"/>
    <w:rsid w:val="00264179"/>
    <w:rsid w:val="0026662D"/>
    <w:rsid w:val="002713D5"/>
    <w:rsid w:val="00274255"/>
    <w:rsid w:val="0027660C"/>
    <w:rsid w:val="002769C1"/>
    <w:rsid w:val="0028047B"/>
    <w:rsid w:val="00280DEB"/>
    <w:rsid w:val="00280F2B"/>
    <w:rsid w:val="0028102C"/>
    <w:rsid w:val="002818B5"/>
    <w:rsid w:val="00283700"/>
    <w:rsid w:val="00285173"/>
    <w:rsid w:val="00294219"/>
    <w:rsid w:val="00295DBD"/>
    <w:rsid w:val="002B127B"/>
    <w:rsid w:val="002B70E5"/>
    <w:rsid w:val="002C3954"/>
    <w:rsid w:val="002D20B9"/>
    <w:rsid w:val="002D2978"/>
    <w:rsid w:val="002D511F"/>
    <w:rsid w:val="002D5901"/>
    <w:rsid w:val="002D778E"/>
    <w:rsid w:val="002F01D3"/>
    <w:rsid w:val="002F35E3"/>
    <w:rsid w:val="002F5D4F"/>
    <w:rsid w:val="002F690F"/>
    <w:rsid w:val="0030066B"/>
    <w:rsid w:val="00303838"/>
    <w:rsid w:val="00305A7B"/>
    <w:rsid w:val="0031198F"/>
    <w:rsid w:val="003132F0"/>
    <w:rsid w:val="00322AE4"/>
    <w:rsid w:val="00327864"/>
    <w:rsid w:val="0033223A"/>
    <w:rsid w:val="00336657"/>
    <w:rsid w:val="00342DF7"/>
    <w:rsid w:val="00344468"/>
    <w:rsid w:val="0034737D"/>
    <w:rsid w:val="00351C0C"/>
    <w:rsid w:val="00353655"/>
    <w:rsid w:val="00357F18"/>
    <w:rsid w:val="0036159E"/>
    <w:rsid w:val="00361F9C"/>
    <w:rsid w:val="00362BE4"/>
    <w:rsid w:val="003634D4"/>
    <w:rsid w:val="0036735F"/>
    <w:rsid w:val="00367A26"/>
    <w:rsid w:val="00370FF3"/>
    <w:rsid w:val="00371708"/>
    <w:rsid w:val="00372E44"/>
    <w:rsid w:val="00373C42"/>
    <w:rsid w:val="00374EF8"/>
    <w:rsid w:val="003862FE"/>
    <w:rsid w:val="00392F9D"/>
    <w:rsid w:val="0039385E"/>
    <w:rsid w:val="00394BD6"/>
    <w:rsid w:val="00397956"/>
    <w:rsid w:val="00397F70"/>
    <w:rsid w:val="003A3D75"/>
    <w:rsid w:val="003A5BB8"/>
    <w:rsid w:val="003A66A7"/>
    <w:rsid w:val="003A73DF"/>
    <w:rsid w:val="003B1BB3"/>
    <w:rsid w:val="003B7C25"/>
    <w:rsid w:val="003C6B0C"/>
    <w:rsid w:val="003D32C2"/>
    <w:rsid w:val="003D4A76"/>
    <w:rsid w:val="003D4DDB"/>
    <w:rsid w:val="003E19D5"/>
    <w:rsid w:val="003E282E"/>
    <w:rsid w:val="003E309E"/>
    <w:rsid w:val="003E59A3"/>
    <w:rsid w:val="003E735A"/>
    <w:rsid w:val="003F25E0"/>
    <w:rsid w:val="003F2EE2"/>
    <w:rsid w:val="003F531C"/>
    <w:rsid w:val="003F75CE"/>
    <w:rsid w:val="003F7F60"/>
    <w:rsid w:val="00402EDB"/>
    <w:rsid w:val="00407ECB"/>
    <w:rsid w:val="00410962"/>
    <w:rsid w:val="0041291D"/>
    <w:rsid w:val="00417D7D"/>
    <w:rsid w:val="00417FAD"/>
    <w:rsid w:val="004212B2"/>
    <w:rsid w:val="0042217C"/>
    <w:rsid w:val="00425624"/>
    <w:rsid w:val="00426866"/>
    <w:rsid w:val="0043278D"/>
    <w:rsid w:val="0043373C"/>
    <w:rsid w:val="004346C0"/>
    <w:rsid w:val="004356A6"/>
    <w:rsid w:val="004360BD"/>
    <w:rsid w:val="00442053"/>
    <w:rsid w:val="00442B97"/>
    <w:rsid w:val="00445CFE"/>
    <w:rsid w:val="0045019D"/>
    <w:rsid w:val="00450CBF"/>
    <w:rsid w:val="0045436B"/>
    <w:rsid w:val="0045651C"/>
    <w:rsid w:val="00457C31"/>
    <w:rsid w:val="004735D0"/>
    <w:rsid w:val="00480C84"/>
    <w:rsid w:val="0049037E"/>
    <w:rsid w:val="00490A0A"/>
    <w:rsid w:val="00493268"/>
    <w:rsid w:val="0049739B"/>
    <w:rsid w:val="00497463"/>
    <w:rsid w:val="00497FE4"/>
    <w:rsid w:val="004A1B78"/>
    <w:rsid w:val="004A33D3"/>
    <w:rsid w:val="004A379E"/>
    <w:rsid w:val="004A42ED"/>
    <w:rsid w:val="004A4528"/>
    <w:rsid w:val="004A59D0"/>
    <w:rsid w:val="004A6C5D"/>
    <w:rsid w:val="004B2739"/>
    <w:rsid w:val="004B57F4"/>
    <w:rsid w:val="004B63E2"/>
    <w:rsid w:val="004B7D7B"/>
    <w:rsid w:val="004D37C9"/>
    <w:rsid w:val="004E01ED"/>
    <w:rsid w:val="004E64A0"/>
    <w:rsid w:val="004E6777"/>
    <w:rsid w:val="004F5022"/>
    <w:rsid w:val="004F6908"/>
    <w:rsid w:val="0050395A"/>
    <w:rsid w:val="00503EC9"/>
    <w:rsid w:val="00504F63"/>
    <w:rsid w:val="00512B67"/>
    <w:rsid w:val="00513DC0"/>
    <w:rsid w:val="00524E31"/>
    <w:rsid w:val="00526DD5"/>
    <w:rsid w:val="00531A72"/>
    <w:rsid w:val="0053488B"/>
    <w:rsid w:val="005355A3"/>
    <w:rsid w:val="00537020"/>
    <w:rsid w:val="005411B5"/>
    <w:rsid w:val="00542DF6"/>
    <w:rsid w:val="00543A6E"/>
    <w:rsid w:val="00545E01"/>
    <w:rsid w:val="0055154D"/>
    <w:rsid w:val="0055323B"/>
    <w:rsid w:val="00555CAB"/>
    <w:rsid w:val="00556216"/>
    <w:rsid w:val="00557279"/>
    <w:rsid w:val="00560340"/>
    <w:rsid w:val="00560B9D"/>
    <w:rsid w:val="005624A2"/>
    <w:rsid w:val="005637DF"/>
    <w:rsid w:val="0056585A"/>
    <w:rsid w:val="005708A3"/>
    <w:rsid w:val="0057140F"/>
    <w:rsid w:val="00575E44"/>
    <w:rsid w:val="0057620F"/>
    <w:rsid w:val="00582470"/>
    <w:rsid w:val="005842F1"/>
    <w:rsid w:val="0058580D"/>
    <w:rsid w:val="0058648C"/>
    <w:rsid w:val="00587843"/>
    <w:rsid w:val="00590117"/>
    <w:rsid w:val="00592DAB"/>
    <w:rsid w:val="005931AE"/>
    <w:rsid w:val="00593EDF"/>
    <w:rsid w:val="00596A2A"/>
    <w:rsid w:val="005A27A5"/>
    <w:rsid w:val="005A6A1F"/>
    <w:rsid w:val="005B0075"/>
    <w:rsid w:val="005B12A2"/>
    <w:rsid w:val="005B34B4"/>
    <w:rsid w:val="005C4EDA"/>
    <w:rsid w:val="005C6FD5"/>
    <w:rsid w:val="005C724C"/>
    <w:rsid w:val="005D4D62"/>
    <w:rsid w:val="005F0C6D"/>
    <w:rsid w:val="005F2472"/>
    <w:rsid w:val="005F5D6A"/>
    <w:rsid w:val="00600079"/>
    <w:rsid w:val="006003F1"/>
    <w:rsid w:val="00602139"/>
    <w:rsid w:val="00604A6A"/>
    <w:rsid w:val="006100A2"/>
    <w:rsid w:val="00610110"/>
    <w:rsid w:val="0061084B"/>
    <w:rsid w:val="0061386E"/>
    <w:rsid w:val="006165A6"/>
    <w:rsid w:val="00623AED"/>
    <w:rsid w:val="00626A54"/>
    <w:rsid w:val="00630870"/>
    <w:rsid w:val="006312EC"/>
    <w:rsid w:val="00635EE2"/>
    <w:rsid w:val="006374AA"/>
    <w:rsid w:val="006453DB"/>
    <w:rsid w:val="00656325"/>
    <w:rsid w:val="00656E74"/>
    <w:rsid w:val="006570C8"/>
    <w:rsid w:val="00665677"/>
    <w:rsid w:val="0066650F"/>
    <w:rsid w:val="00672500"/>
    <w:rsid w:val="00672EEF"/>
    <w:rsid w:val="006732F3"/>
    <w:rsid w:val="00673F05"/>
    <w:rsid w:val="0068244D"/>
    <w:rsid w:val="00683C0A"/>
    <w:rsid w:val="006844C8"/>
    <w:rsid w:val="00686D05"/>
    <w:rsid w:val="0069043F"/>
    <w:rsid w:val="006910AB"/>
    <w:rsid w:val="00692C50"/>
    <w:rsid w:val="00694ECA"/>
    <w:rsid w:val="0069512A"/>
    <w:rsid w:val="006974C0"/>
    <w:rsid w:val="006A0431"/>
    <w:rsid w:val="006A2645"/>
    <w:rsid w:val="006A5581"/>
    <w:rsid w:val="006A60DE"/>
    <w:rsid w:val="006A662E"/>
    <w:rsid w:val="006A6BCB"/>
    <w:rsid w:val="006A7837"/>
    <w:rsid w:val="006B0764"/>
    <w:rsid w:val="006B186E"/>
    <w:rsid w:val="006B509E"/>
    <w:rsid w:val="006C25A9"/>
    <w:rsid w:val="006C25DE"/>
    <w:rsid w:val="006C2BBF"/>
    <w:rsid w:val="006C47A4"/>
    <w:rsid w:val="006D17B2"/>
    <w:rsid w:val="006D23F4"/>
    <w:rsid w:val="006D3C35"/>
    <w:rsid w:val="006D66A8"/>
    <w:rsid w:val="006D6D3B"/>
    <w:rsid w:val="006E1159"/>
    <w:rsid w:val="006E58A9"/>
    <w:rsid w:val="006E705A"/>
    <w:rsid w:val="006F2135"/>
    <w:rsid w:val="006F34AB"/>
    <w:rsid w:val="006F3943"/>
    <w:rsid w:val="006F4BD5"/>
    <w:rsid w:val="006F6464"/>
    <w:rsid w:val="00701846"/>
    <w:rsid w:val="00703D11"/>
    <w:rsid w:val="00704A65"/>
    <w:rsid w:val="00707E0A"/>
    <w:rsid w:val="00711112"/>
    <w:rsid w:val="00712D23"/>
    <w:rsid w:val="0071649C"/>
    <w:rsid w:val="00720182"/>
    <w:rsid w:val="00721DA2"/>
    <w:rsid w:val="007230F1"/>
    <w:rsid w:val="00724F33"/>
    <w:rsid w:val="00725553"/>
    <w:rsid w:val="00725DB8"/>
    <w:rsid w:val="00737771"/>
    <w:rsid w:val="007406BE"/>
    <w:rsid w:val="00743A16"/>
    <w:rsid w:val="00745A11"/>
    <w:rsid w:val="00746EC4"/>
    <w:rsid w:val="00753266"/>
    <w:rsid w:val="00753A47"/>
    <w:rsid w:val="00761232"/>
    <w:rsid w:val="0076278D"/>
    <w:rsid w:val="007652A2"/>
    <w:rsid w:val="00766D3A"/>
    <w:rsid w:val="007677D8"/>
    <w:rsid w:val="00771048"/>
    <w:rsid w:val="00781E93"/>
    <w:rsid w:val="00782E4E"/>
    <w:rsid w:val="0078467B"/>
    <w:rsid w:val="00787572"/>
    <w:rsid w:val="00791EE7"/>
    <w:rsid w:val="0079397E"/>
    <w:rsid w:val="007964B2"/>
    <w:rsid w:val="007A1BFC"/>
    <w:rsid w:val="007A3AB8"/>
    <w:rsid w:val="007B3F65"/>
    <w:rsid w:val="007C6402"/>
    <w:rsid w:val="007D0789"/>
    <w:rsid w:val="007D17FF"/>
    <w:rsid w:val="007D3399"/>
    <w:rsid w:val="007D4931"/>
    <w:rsid w:val="007D4B0B"/>
    <w:rsid w:val="007D4E4C"/>
    <w:rsid w:val="007D7698"/>
    <w:rsid w:val="007E0162"/>
    <w:rsid w:val="007E38B6"/>
    <w:rsid w:val="007E4C5F"/>
    <w:rsid w:val="007F1615"/>
    <w:rsid w:val="007F1964"/>
    <w:rsid w:val="007F1AFA"/>
    <w:rsid w:val="007F305D"/>
    <w:rsid w:val="007F3960"/>
    <w:rsid w:val="007F4FD6"/>
    <w:rsid w:val="0080005D"/>
    <w:rsid w:val="008025FD"/>
    <w:rsid w:val="00802B1F"/>
    <w:rsid w:val="00802E06"/>
    <w:rsid w:val="0080698C"/>
    <w:rsid w:val="00810B83"/>
    <w:rsid w:val="00814337"/>
    <w:rsid w:val="008149A6"/>
    <w:rsid w:val="00816246"/>
    <w:rsid w:val="00817CE8"/>
    <w:rsid w:val="00822855"/>
    <w:rsid w:val="008243A2"/>
    <w:rsid w:val="008259C8"/>
    <w:rsid w:val="00826C39"/>
    <w:rsid w:val="00830766"/>
    <w:rsid w:val="00832494"/>
    <w:rsid w:val="00835161"/>
    <w:rsid w:val="008357B6"/>
    <w:rsid w:val="00840292"/>
    <w:rsid w:val="00841311"/>
    <w:rsid w:val="008422AC"/>
    <w:rsid w:val="00850B44"/>
    <w:rsid w:val="0085296A"/>
    <w:rsid w:val="00855A08"/>
    <w:rsid w:val="00856358"/>
    <w:rsid w:val="0086203D"/>
    <w:rsid w:val="00862E8D"/>
    <w:rsid w:val="00863661"/>
    <w:rsid w:val="00864411"/>
    <w:rsid w:val="00870626"/>
    <w:rsid w:val="0087765D"/>
    <w:rsid w:val="00880F96"/>
    <w:rsid w:val="00881802"/>
    <w:rsid w:val="0088324E"/>
    <w:rsid w:val="00886743"/>
    <w:rsid w:val="0088765F"/>
    <w:rsid w:val="0089367D"/>
    <w:rsid w:val="00897B27"/>
    <w:rsid w:val="008A0BF2"/>
    <w:rsid w:val="008A163E"/>
    <w:rsid w:val="008A4A25"/>
    <w:rsid w:val="008A7430"/>
    <w:rsid w:val="008B0477"/>
    <w:rsid w:val="008B28E5"/>
    <w:rsid w:val="008B3BFA"/>
    <w:rsid w:val="008B7A7A"/>
    <w:rsid w:val="008B7EEE"/>
    <w:rsid w:val="008C0ADF"/>
    <w:rsid w:val="008C0F45"/>
    <w:rsid w:val="008C1FCF"/>
    <w:rsid w:val="008D24F1"/>
    <w:rsid w:val="008D372F"/>
    <w:rsid w:val="008E026D"/>
    <w:rsid w:val="008E1E0A"/>
    <w:rsid w:val="008F1021"/>
    <w:rsid w:val="008F156A"/>
    <w:rsid w:val="008F202D"/>
    <w:rsid w:val="008F4367"/>
    <w:rsid w:val="008F78D6"/>
    <w:rsid w:val="00902BF7"/>
    <w:rsid w:val="009061C7"/>
    <w:rsid w:val="00911EBC"/>
    <w:rsid w:val="0091612B"/>
    <w:rsid w:val="00920F76"/>
    <w:rsid w:val="0092138D"/>
    <w:rsid w:val="009224A9"/>
    <w:rsid w:val="009239C7"/>
    <w:rsid w:val="00932804"/>
    <w:rsid w:val="009341B2"/>
    <w:rsid w:val="00940161"/>
    <w:rsid w:val="00940C2C"/>
    <w:rsid w:val="00942B4E"/>
    <w:rsid w:val="00943365"/>
    <w:rsid w:val="00944782"/>
    <w:rsid w:val="009461D0"/>
    <w:rsid w:val="00954554"/>
    <w:rsid w:val="009638CB"/>
    <w:rsid w:val="00963F3C"/>
    <w:rsid w:val="00964DC1"/>
    <w:rsid w:val="00965BFC"/>
    <w:rsid w:val="00967350"/>
    <w:rsid w:val="00970BBF"/>
    <w:rsid w:val="00972CEF"/>
    <w:rsid w:val="009742E2"/>
    <w:rsid w:val="00975A0B"/>
    <w:rsid w:val="00977692"/>
    <w:rsid w:val="00983F8B"/>
    <w:rsid w:val="00984C0B"/>
    <w:rsid w:val="00987D2A"/>
    <w:rsid w:val="009978A9"/>
    <w:rsid w:val="009A2543"/>
    <w:rsid w:val="009A2DC9"/>
    <w:rsid w:val="009A6A7B"/>
    <w:rsid w:val="009B0E80"/>
    <w:rsid w:val="009B318D"/>
    <w:rsid w:val="009B3AB8"/>
    <w:rsid w:val="009C68D8"/>
    <w:rsid w:val="009D185D"/>
    <w:rsid w:val="009D5DCC"/>
    <w:rsid w:val="009E4987"/>
    <w:rsid w:val="009F2D7C"/>
    <w:rsid w:val="009F6EDC"/>
    <w:rsid w:val="00A02B0B"/>
    <w:rsid w:val="00A02FB7"/>
    <w:rsid w:val="00A04F2E"/>
    <w:rsid w:val="00A05053"/>
    <w:rsid w:val="00A0529F"/>
    <w:rsid w:val="00A104C2"/>
    <w:rsid w:val="00A13070"/>
    <w:rsid w:val="00A147D9"/>
    <w:rsid w:val="00A14890"/>
    <w:rsid w:val="00A17FEF"/>
    <w:rsid w:val="00A20F75"/>
    <w:rsid w:val="00A22823"/>
    <w:rsid w:val="00A22BA9"/>
    <w:rsid w:val="00A237F0"/>
    <w:rsid w:val="00A23E98"/>
    <w:rsid w:val="00A257D3"/>
    <w:rsid w:val="00A25A6F"/>
    <w:rsid w:val="00A25C5A"/>
    <w:rsid w:val="00A2676E"/>
    <w:rsid w:val="00A3177F"/>
    <w:rsid w:val="00A33DC5"/>
    <w:rsid w:val="00A341AA"/>
    <w:rsid w:val="00A3696C"/>
    <w:rsid w:val="00A40CDC"/>
    <w:rsid w:val="00A41443"/>
    <w:rsid w:val="00A44C33"/>
    <w:rsid w:val="00A4592B"/>
    <w:rsid w:val="00A4725D"/>
    <w:rsid w:val="00A506C1"/>
    <w:rsid w:val="00A50AA7"/>
    <w:rsid w:val="00A50C8C"/>
    <w:rsid w:val="00A52123"/>
    <w:rsid w:val="00A539C0"/>
    <w:rsid w:val="00A54D61"/>
    <w:rsid w:val="00A5564C"/>
    <w:rsid w:val="00A55E32"/>
    <w:rsid w:val="00A57167"/>
    <w:rsid w:val="00A625CA"/>
    <w:rsid w:val="00A62F32"/>
    <w:rsid w:val="00A636EE"/>
    <w:rsid w:val="00A66B9B"/>
    <w:rsid w:val="00A66D5E"/>
    <w:rsid w:val="00A67BB2"/>
    <w:rsid w:val="00A70ADF"/>
    <w:rsid w:val="00A72866"/>
    <w:rsid w:val="00A75974"/>
    <w:rsid w:val="00A77C08"/>
    <w:rsid w:val="00A826A9"/>
    <w:rsid w:val="00A8301B"/>
    <w:rsid w:val="00A85189"/>
    <w:rsid w:val="00A92A2D"/>
    <w:rsid w:val="00A942B6"/>
    <w:rsid w:val="00AA4162"/>
    <w:rsid w:val="00AA5002"/>
    <w:rsid w:val="00AB0105"/>
    <w:rsid w:val="00AB0CAB"/>
    <w:rsid w:val="00AC10D3"/>
    <w:rsid w:val="00AC4278"/>
    <w:rsid w:val="00AC64FC"/>
    <w:rsid w:val="00AD1B82"/>
    <w:rsid w:val="00AD28AD"/>
    <w:rsid w:val="00AD7B09"/>
    <w:rsid w:val="00AD7DE6"/>
    <w:rsid w:val="00AE0E19"/>
    <w:rsid w:val="00AE1008"/>
    <w:rsid w:val="00AE17C1"/>
    <w:rsid w:val="00AE4F3C"/>
    <w:rsid w:val="00AE58E3"/>
    <w:rsid w:val="00AF10E7"/>
    <w:rsid w:val="00AF1958"/>
    <w:rsid w:val="00AF25A3"/>
    <w:rsid w:val="00AF350F"/>
    <w:rsid w:val="00B03118"/>
    <w:rsid w:val="00B063FE"/>
    <w:rsid w:val="00B1304C"/>
    <w:rsid w:val="00B164EC"/>
    <w:rsid w:val="00B232B8"/>
    <w:rsid w:val="00B24138"/>
    <w:rsid w:val="00B24525"/>
    <w:rsid w:val="00B27028"/>
    <w:rsid w:val="00B31DDD"/>
    <w:rsid w:val="00B32061"/>
    <w:rsid w:val="00B33626"/>
    <w:rsid w:val="00B34479"/>
    <w:rsid w:val="00B4410F"/>
    <w:rsid w:val="00B44792"/>
    <w:rsid w:val="00B44B3B"/>
    <w:rsid w:val="00B515BC"/>
    <w:rsid w:val="00B51885"/>
    <w:rsid w:val="00B56095"/>
    <w:rsid w:val="00B710D7"/>
    <w:rsid w:val="00B71BE9"/>
    <w:rsid w:val="00B71DC0"/>
    <w:rsid w:val="00B744D4"/>
    <w:rsid w:val="00B778A1"/>
    <w:rsid w:val="00B77DCE"/>
    <w:rsid w:val="00B8164C"/>
    <w:rsid w:val="00B82CD9"/>
    <w:rsid w:val="00B8698E"/>
    <w:rsid w:val="00B86FDC"/>
    <w:rsid w:val="00B90033"/>
    <w:rsid w:val="00B92FEB"/>
    <w:rsid w:val="00BA0FD5"/>
    <w:rsid w:val="00BA2839"/>
    <w:rsid w:val="00BA2DE6"/>
    <w:rsid w:val="00BA3D28"/>
    <w:rsid w:val="00BA5867"/>
    <w:rsid w:val="00BA7D05"/>
    <w:rsid w:val="00BA7FD7"/>
    <w:rsid w:val="00BB1512"/>
    <w:rsid w:val="00BB3CC4"/>
    <w:rsid w:val="00BB7268"/>
    <w:rsid w:val="00BC2697"/>
    <w:rsid w:val="00BC3048"/>
    <w:rsid w:val="00BC3CC5"/>
    <w:rsid w:val="00BC615A"/>
    <w:rsid w:val="00BC62BF"/>
    <w:rsid w:val="00BD023A"/>
    <w:rsid w:val="00BD0643"/>
    <w:rsid w:val="00BD2322"/>
    <w:rsid w:val="00BD43B5"/>
    <w:rsid w:val="00BD4BBD"/>
    <w:rsid w:val="00BD5F0C"/>
    <w:rsid w:val="00BD6A1B"/>
    <w:rsid w:val="00BE3EA2"/>
    <w:rsid w:val="00BE4B28"/>
    <w:rsid w:val="00BE6F50"/>
    <w:rsid w:val="00BF0E7C"/>
    <w:rsid w:val="00BF14AA"/>
    <w:rsid w:val="00BF7262"/>
    <w:rsid w:val="00BF796E"/>
    <w:rsid w:val="00C01D0B"/>
    <w:rsid w:val="00C025B0"/>
    <w:rsid w:val="00C05B0D"/>
    <w:rsid w:val="00C117BC"/>
    <w:rsid w:val="00C14D1F"/>
    <w:rsid w:val="00C21745"/>
    <w:rsid w:val="00C22907"/>
    <w:rsid w:val="00C26167"/>
    <w:rsid w:val="00C30C08"/>
    <w:rsid w:val="00C3281B"/>
    <w:rsid w:val="00C35D8B"/>
    <w:rsid w:val="00C3682E"/>
    <w:rsid w:val="00C37E0B"/>
    <w:rsid w:val="00C40DC0"/>
    <w:rsid w:val="00C43D42"/>
    <w:rsid w:val="00C44126"/>
    <w:rsid w:val="00C444DD"/>
    <w:rsid w:val="00C51E4A"/>
    <w:rsid w:val="00C524D4"/>
    <w:rsid w:val="00C549EB"/>
    <w:rsid w:val="00C5599E"/>
    <w:rsid w:val="00C60A97"/>
    <w:rsid w:val="00C60DFA"/>
    <w:rsid w:val="00C63367"/>
    <w:rsid w:val="00C636A9"/>
    <w:rsid w:val="00C64619"/>
    <w:rsid w:val="00C655F1"/>
    <w:rsid w:val="00C66001"/>
    <w:rsid w:val="00C71626"/>
    <w:rsid w:val="00C72E79"/>
    <w:rsid w:val="00C741DD"/>
    <w:rsid w:val="00C76A75"/>
    <w:rsid w:val="00C8079A"/>
    <w:rsid w:val="00C84248"/>
    <w:rsid w:val="00C85676"/>
    <w:rsid w:val="00C95CCA"/>
    <w:rsid w:val="00CA257F"/>
    <w:rsid w:val="00CA43CA"/>
    <w:rsid w:val="00CA5723"/>
    <w:rsid w:val="00CA5B20"/>
    <w:rsid w:val="00CA642B"/>
    <w:rsid w:val="00CB0240"/>
    <w:rsid w:val="00CB09E7"/>
    <w:rsid w:val="00CB155A"/>
    <w:rsid w:val="00CB3C16"/>
    <w:rsid w:val="00CB6C7F"/>
    <w:rsid w:val="00CB7615"/>
    <w:rsid w:val="00CC4901"/>
    <w:rsid w:val="00CC4A73"/>
    <w:rsid w:val="00CD0D4E"/>
    <w:rsid w:val="00CD3D31"/>
    <w:rsid w:val="00CD3FB1"/>
    <w:rsid w:val="00CD426A"/>
    <w:rsid w:val="00CD7144"/>
    <w:rsid w:val="00CE060A"/>
    <w:rsid w:val="00CE1962"/>
    <w:rsid w:val="00CE743E"/>
    <w:rsid w:val="00CF0CFD"/>
    <w:rsid w:val="00CF0D1A"/>
    <w:rsid w:val="00CF2CD5"/>
    <w:rsid w:val="00CF506B"/>
    <w:rsid w:val="00D01071"/>
    <w:rsid w:val="00D03D7C"/>
    <w:rsid w:val="00D06E09"/>
    <w:rsid w:val="00D22B87"/>
    <w:rsid w:val="00D23FD7"/>
    <w:rsid w:val="00D265DA"/>
    <w:rsid w:val="00D35AF6"/>
    <w:rsid w:val="00D366D7"/>
    <w:rsid w:val="00D40975"/>
    <w:rsid w:val="00D539A7"/>
    <w:rsid w:val="00D56E4D"/>
    <w:rsid w:val="00D57D45"/>
    <w:rsid w:val="00D60560"/>
    <w:rsid w:val="00D60E61"/>
    <w:rsid w:val="00D61CF7"/>
    <w:rsid w:val="00D66769"/>
    <w:rsid w:val="00D71897"/>
    <w:rsid w:val="00D837A9"/>
    <w:rsid w:val="00D87368"/>
    <w:rsid w:val="00D90086"/>
    <w:rsid w:val="00D934C6"/>
    <w:rsid w:val="00D95672"/>
    <w:rsid w:val="00DA1046"/>
    <w:rsid w:val="00DA3A43"/>
    <w:rsid w:val="00DA52A9"/>
    <w:rsid w:val="00DA6504"/>
    <w:rsid w:val="00DB004E"/>
    <w:rsid w:val="00DB09A6"/>
    <w:rsid w:val="00DB204A"/>
    <w:rsid w:val="00DB3E1E"/>
    <w:rsid w:val="00DB4014"/>
    <w:rsid w:val="00DC1BF2"/>
    <w:rsid w:val="00DC1F0B"/>
    <w:rsid w:val="00DC2A78"/>
    <w:rsid w:val="00DC6388"/>
    <w:rsid w:val="00DD2A4E"/>
    <w:rsid w:val="00DD71C9"/>
    <w:rsid w:val="00DE130E"/>
    <w:rsid w:val="00DE37F4"/>
    <w:rsid w:val="00DE3872"/>
    <w:rsid w:val="00DE4071"/>
    <w:rsid w:val="00DF2C67"/>
    <w:rsid w:val="00DF5F9F"/>
    <w:rsid w:val="00E03B9C"/>
    <w:rsid w:val="00E03F92"/>
    <w:rsid w:val="00E04077"/>
    <w:rsid w:val="00E04EF3"/>
    <w:rsid w:val="00E073B7"/>
    <w:rsid w:val="00E12495"/>
    <w:rsid w:val="00E12D93"/>
    <w:rsid w:val="00E1769F"/>
    <w:rsid w:val="00E26FE9"/>
    <w:rsid w:val="00E2708D"/>
    <w:rsid w:val="00E27A7F"/>
    <w:rsid w:val="00E30F41"/>
    <w:rsid w:val="00E370D0"/>
    <w:rsid w:val="00E37798"/>
    <w:rsid w:val="00E37BC4"/>
    <w:rsid w:val="00E41070"/>
    <w:rsid w:val="00E44BCB"/>
    <w:rsid w:val="00E503C9"/>
    <w:rsid w:val="00E52468"/>
    <w:rsid w:val="00E5337E"/>
    <w:rsid w:val="00E53832"/>
    <w:rsid w:val="00E552E0"/>
    <w:rsid w:val="00E55FFB"/>
    <w:rsid w:val="00E572E0"/>
    <w:rsid w:val="00E577BD"/>
    <w:rsid w:val="00E6182D"/>
    <w:rsid w:val="00E63C42"/>
    <w:rsid w:val="00E6731E"/>
    <w:rsid w:val="00E67E53"/>
    <w:rsid w:val="00E71421"/>
    <w:rsid w:val="00E75384"/>
    <w:rsid w:val="00E759EC"/>
    <w:rsid w:val="00E86245"/>
    <w:rsid w:val="00E90C7C"/>
    <w:rsid w:val="00E91F1C"/>
    <w:rsid w:val="00E93550"/>
    <w:rsid w:val="00E94165"/>
    <w:rsid w:val="00E94493"/>
    <w:rsid w:val="00E95386"/>
    <w:rsid w:val="00EA1B14"/>
    <w:rsid w:val="00EA3FDB"/>
    <w:rsid w:val="00EA52B1"/>
    <w:rsid w:val="00EA5825"/>
    <w:rsid w:val="00EA7048"/>
    <w:rsid w:val="00EB70C6"/>
    <w:rsid w:val="00EB7CDE"/>
    <w:rsid w:val="00EC0521"/>
    <w:rsid w:val="00EC1E05"/>
    <w:rsid w:val="00EC2B43"/>
    <w:rsid w:val="00EC373F"/>
    <w:rsid w:val="00ED1873"/>
    <w:rsid w:val="00ED3602"/>
    <w:rsid w:val="00ED43E3"/>
    <w:rsid w:val="00ED4DB5"/>
    <w:rsid w:val="00ED571C"/>
    <w:rsid w:val="00ED775B"/>
    <w:rsid w:val="00EE29C2"/>
    <w:rsid w:val="00F034B8"/>
    <w:rsid w:val="00F03B93"/>
    <w:rsid w:val="00F04302"/>
    <w:rsid w:val="00F064F0"/>
    <w:rsid w:val="00F107B9"/>
    <w:rsid w:val="00F11D7D"/>
    <w:rsid w:val="00F12C39"/>
    <w:rsid w:val="00F179CD"/>
    <w:rsid w:val="00F17EB2"/>
    <w:rsid w:val="00F212AB"/>
    <w:rsid w:val="00F247EC"/>
    <w:rsid w:val="00F27E17"/>
    <w:rsid w:val="00F30551"/>
    <w:rsid w:val="00F329D2"/>
    <w:rsid w:val="00F340F6"/>
    <w:rsid w:val="00F36CF7"/>
    <w:rsid w:val="00F42005"/>
    <w:rsid w:val="00F42A8E"/>
    <w:rsid w:val="00F46A41"/>
    <w:rsid w:val="00F56D12"/>
    <w:rsid w:val="00F571BD"/>
    <w:rsid w:val="00F60B95"/>
    <w:rsid w:val="00F6120B"/>
    <w:rsid w:val="00F61C50"/>
    <w:rsid w:val="00F6273C"/>
    <w:rsid w:val="00F62B55"/>
    <w:rsid w:val="00F664E3"/>
    <w:rsid w:val="00F750B6"/>
    <w:rsid w:val="00F76360"/>
    <w:rsid w:val="00F7654F"/>
    <w:rsid w:val="00F819DE"/>
    <w:rsid w:val="00F91A0D"/>
    <w:rsid w:val="00F9486F"/>
    <w:rsid w:val="00F95389"/>
    <w:rsid w:val="00F97080"/>
    <w:rsid w:val="00FA570A"/>
    <w:rsid w:val="00FA6ACF"/>
    <w:rsid w:val="00FA79B1"/>
    <w:rsid w:val="00FB482D"/>
    <w:rsid w:val="00FB571C"/>
    <w:rsid w:val="00FB5D18"/>
    <w:rsid w:val="00FB6234"/>
    <w:rsid w:val="00FB648B"/>
    <w:rsid w:val="00FB69AD"/>
    <w:rsid w:val="00FC11ED"/>
    <w:rsid w:val="00FC6208"/>
    <w:rsid w:val="00FC6D94"/>
    <w:rsid w:val="00FD2B45"/>
    <w:rsid w:val="00FD3405"/>
    <w:rsid w:val="00FD7018"/>
    <w:rsid w:val="00FD7DBF"/>
    <w:rsid w:val="00FE5A8B"/>
    <w:rsid w:val="00FE66B9"/>
    <w:rsid w:val="00FE6974"/>
    <w:rsid w:val="00FF1889"/>
    <w:rsid w:val="00FF5E1F"/>
    <w:rsid w:val="011253ED"/>
    <w:rsid w:val="0270061D"/>
    <w:rsid w:val="0293255D"/>
    <w:rsid w:val="02FA438B"/>
    <w:rsid w:val="03304250"/>
    <w:rsid w:val="03E05EE5"/>
    <w:rsid w:val="0414147C"/>
    <w:rsid w:val="047F2D99"/>
    <w:rsid w:val="04987AC1"/>
    <w:rsid w:val="05AD5928"/>
    <w:rsid w:val="05B80C59"/>
    <w:rsid w:val="05C13E91"/>
    <w:rsid w:val="05CF1AFF"/>
    <w:rsid w:val="060D6083"/>
    <w:rsid w:val="06477383"/>
    <w:rsid w:val="06913258"/>
    <w:rsid w:val="06E34F9B"/>
    <w:rsid w:val="0A0B2E5F"/>
    <w:rsid w:val="0B097861"/>
    <w:rsid w:val="0B867103"/>
    <w:rsid w:val="0C2B069A"/>
    <w:rsid w:val="0EB96F15"/>
    <w:rsid w:val="0F5A43D7"/>
    <w:rsid w:val="0FB86526"/>
    <w:rsid w:val="0FBD6E6C"/>
    <w:rsid w:val="0FE8213B"/>
    <w:rsid w:val="12C81DAF"/>
    <w:rsid w:val="13113756"/>
    <w:rsid w:val="138D51C5"/>
    <w:rsid w:val="14DC4FB4"/>
    <w:rsid w:val="156758B0"/>
    <w:rsid w:val="15FA02C4"/>
    <w:rsid w:val="160A26DF"/>
    <w:rsid w:val="16C44F84"/>
    <w:rsid w:val="172875AC"/>
    <w:rsid w:val="1774396B"/>
    <w:rsid w:val="17805CCB"/>
    <w:rsid w:val="17F3167D"/>
    <w:rsid w:val="188B7B07"/>
    <w:rsid w:val="18980476"/>
    <w:rsid w:val="1977008B"/>
    <w:rsid w:val="1B351FAC"/>
    <w:rsid w:val="1C4870D8"/>
    <w:rsid w:val="1CD852E5"/>
    <w:rsid w:val="1DB573D4"/>
    <w:rsid w:val="1E6037E4"/>
    <w:rsid w:val="202F16C0"/>
    <w:rsid w:val="2196789E"/>
    <w:rsid w:val="2217240B"/>
    <w:rsid w:val="221A6347"/>
    <w:rsid w:val="23A15B24"/>
    <w:rsid w:val="23C1129C"/>
    <w:rsid w:val="245242FF"/>
    <w:rsid w:val="248F097F"/>
    <w:rsid w:val="27BF157B"/>
    <w:rsid w:val="28C91F88"/>
    <w:rsid w:val="29502575"/>
    <w:rsid w:val="29FA0F90"/>
    <w:rsid w:val="2A19045F"/>
    <w:rsid w:val="2A6F6F94"/>
    <w:rsid w:val="2B5446D0"/>
    <w:rsid w:val="2BCF1FA9"/>
    <w:rsid w:val="2C7B7E09"/>
    <w:rsid w:val="2E450300"/>
    <w:rsid w:val="2ED36316"/>
    <w:rsid w:val="30D76603"/>
    <w:rsid w:val="32621481"/>
    <w:rsid w:val="334F4A78"/>
    <w:rsid w:val="340071A3"/>
    <w:rsid w:val="344F1ED9"/>
    <w:rsid w:val="3469433F"/>
    <w:rsid w:val="34E16FD5"/>
    <w:rsid w:val="353E28CA"/>
    <w:rsid w:val="35B03103"/>
    <w:rsid w:val="361B006D"/>
    <w:rsid w:val="361B02C4"/>
    <w:rsid w:val="3699743B"/>
    <w:rsid w:val="370C1236"/>
    <w:rsid w:val="37B02FA9"/>
    <w:rsid w:val="37BD39E1"/>
    <w:rsid w:val="383653CA"/>
    <w:rsid w:val="38BB18EB"/>
    <w:rsid w:val="38E52EA3"/>
    <w:rsid w:val="3939000A"/>
    <w:rsid w:val="39965EB4"/>
    <w:rsid w:val="39C742BF"/>
    <w:rsid w:val="39EB53CC"/>
    <w:rsid w:val="3A2A4861"/>
    <w:rsid w:val="3AF95075"/>
    <w:rsid w:val="3B9603ED"/>
    <w:rsid w:val="3C28373B"/>
    <w:rsid w:val="3C627238"/>
    <w:rsid w:val="3CAD08E8"/>
    <w:rsid w:val="3D567E34"/>
    <w:rsid w:val="3D712EC0"/>
    <w:rsid w:val="3D7C774C"/>
    <w:rsid w:val="3DEB4A20"/>
    <w:rsid w:val="3E662537"/>
    <w:rsid w:val="3F731D02"/>
    <w:rsid w:val="40167D4F"/>
    <w:rsid w:val="40CF3720"/>
    <w:rsid w:val="40D92CE0"/>
    <w:rsid w:val="40E80BF9"/>
    <w:rsid w:val="41A819EA"/>
    <w:rsid w:val="41AA69A0"/>
    <w:rsid w:val="41E33C60"/>
    <w:rsid w:val="42D64106"/>
    <w:rsid w:val="44C8378E"/>
    <w:rsid w:val="45014B29"/>
    <w:rsid w:val="45AA1B8E"/>
    <w:rsid w:val="464124E0"/>
    <w:rsid w:val="46917905"/>
    <w:rsid w:val="471C5C4A"/>
    <w:rsid w:val="47CF0F0F"/>
    <w:rsid w:val="48861F15"/>
    <w:rsid w:val="4A802994"/>
    <w:rsid w:val="4B00488A"/>
    <w:rsid w:val="4B054C48"/>
    <w:rsid w:val="4B906C07"/>
    <w:rsid w:val="4C52318E"/>
    <w:rsid w:val="4D65078D"/>
    <w:rsid w:val="4E396E82"/>
    <w:rsid w:val="4FC90F12"/>
    <w:rsid w:val="4FD25B89"/>
    <w:rsid w:val="50187EB7"/>
    <w:rsid w:val="50966A6E"/>
    <w:rsid w:val="513B75F8"/>
    <w:rsid w:val="517C4442"/>
    <w:rsid w:val="518B3B6F"/>
    <w:rsid w:val="52001A5E"/>
    <w:rsid w:val="52A4060F"/>
    <w:rsid w:val="52C553E8"/>
    <w:rsid w:val="537E32C6"/>
    <w:rsid w:val="541308B1"/>
    <w:rsid w:val="547122A1"/>
    <w:rsid w:val="54B20293"/>
    <w:rsid w:val="55A7357D"/>
    <w:rsid w:val="55E62245"/>
    <w:rsid w:val="564B20A8"/>
    <w:rsid w:val="571C3A45"/>
    <w:rsid w:val="574B0CB4"/>
    <w:rsid w:val="57D67DCF"/>
    <w:rsid w:val="580C7302"/>
    <w:rsid w:val="5988716F"/>
    <w:rsid w:val="5AF01470"/>
    <w:rsid w:val="5C270EC2"/>
    <w:rsid w:val="5C8648E5"/>
    <w:rsid w:val="5C900707"/>
    <w:rsid w:val="5DC6470A"/>
    <w:rsid w:val="5DD92690"/>
    <w:rsid w:val="5E194F85"/>
    <w:rsid w:val="60961818"/>
    <w:rsid w:val="60EE1D2B"/>
    <w:rsid w:val="617C2011"/>
    <w:rsid w:val="61FD7E96"/>
    <w:rsid w:val="62194055"/>
    <w:rsid w:val="624721CA"/>
    <w:rsid w:val="641A130C"/>
    <w:rsid w:val="643028DD"/>
    <w:rsid w:val="644F0FB6"/>
    <w:rsid w:val="64D140C0"/>
    <w:rsid w:val="64F70B9D"/>
    <w:rsid w:val="65187A32"/>
    <w:rsid w:val="6598698C"/>
    <w:rsid w:val="66C14CC1"/>
    <w:rsid w:val="67346B89"/>
    <w:rsid w:val="67C43A69"/>
    <w:rsid w:val="68437083"/>
    <w:rsid w:val="68882CEF"/>
    <w:rsid w:val="68AA1544"/>
    <w:rsid w:val="694C3C90"/>
    <w:rsid w:val="694D5CE0"/>
    <w:rsid w:val="6AF44665"/>
    <w:rsid w:val="6B811C71"/>
    <w:rsid w:val="6C156F89"/>
    <w:rsid w:val="6C89702F"/>
    <w:rsid w:val="6DDB1B0C"/>
    <w:rsid w:val="6EE61BEE"/>
    <w:rsid w:val="6EF03395"/>
    <w:rsid w:val="6F912DCA"/>
    <w:rsid w:val="6FDC5ED7"/>
    <w:rsid w:val="705F6A24"/>
    <w:rsid w:val="70836F6B"/>
    <w:rsid w:val="70AC3D3C"/>
    <w:rsid w:val="70C66CB0"/>
    <w:rsid w:val="71DA1AFA"/>
    <w:rsid w:val="72B666A4"/>
    <w:rsid w:val="72FF4302"/>
    <w:rsid w:val="733C4DFB"/>
    <w:rsid w:val="74B453E8"/>
    <w:rsid w:val="74E4407A"/>
    <w:rsid w:val="74E53270"/>
    <w:rsid w:val="74FA31C0"/>
    <w:rsid w:val="755C1784"/>
    <w:rsid w:val="759F6FFD"/>
    <w:rsid w:val="75DD1DC7"/>
    <w:rsid w:val="78AD0549"/>
    <w:rsid w:val="78FC3357"/>
    <w:rsid w:val="795B1D53"/>
    <w:rsid w:val="7C1728A9"/>
    <w:rsid w:val="7C4B2495"/>
    <w:rsid w:val="7C6A09A7"/>
    <w:rsid w:val="7D311748"/>
    <w:rsid w:val="7DAF266D"/>
    <w:rsid w:val="7DB639FC"/>
    <w:rsid w:val="7E4E1738"/>
    <w:rsid w:val="7E837705"/>
    <w:rsid w:val="7EB643A4"/>
    <w:rsid w:val="7EDC3936"/>
    <w:rsid w:val="7FA91A6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2"/>
      <w:lang w:val="en-US" w:eastAsia="zh-CN" w:bidi="ar-SA"/>
    </w:rPr>
  </w:style>
  <w:style w:type="paragraph" w:styleId="3">
    <w:name w:val="heading 1"/>
    <w:basedOn w:val="1"/>
    <w:next w:val="1"/>
    <w:link w:val="48"/>
    <w:qFormat/>
    <w:uiPriority w:val="9"/>
    <w:pPr>
      <w:keepNext/>
      <w:keepLines/>
      <w:spacing w:before="480" w:after="200"/>
      <w:outlineLvl w:val="0"/>
    </w:pPr>
    <w:rPr>
      <w:rFonts w:ascii="Arial" w:hAnsi="Arial" w:eastAsia="Arial"/>
      <w:sz w:val="40"/>
      <w:szCs w:val="40"/>
    </w:rPr>
  </w:style>
  <w:style w:type="paragraph" w:styleId="4">
    <w:name w:val="heading 2"/>
    <w:basedOn w:val="1"/>
    <w:next w:val="1"/>
    <w:link w:val="49"/>
    <w:qFormat/>
    <w:uiPriority w:val="9"/>
    <w:pPr>
      <w:keepNext/>
      <w:keepLines/>
      <w:spacing w:before="360" w:after="200"/>
      <w:outlineLvl w:val="1"/>
    </w:pPr>
    <w:rPr>
      <w:rFonts w:ascii="Arial" w:hAnsi="Arial" w:eastAsia="Arial"/>
      <w:sz w:val="34"/>
      <w:szCs w:val="20"/>
    </w:rPr>
  </w:style>
  <w:style w:type="paragraph" w:styleId="5">
    <w:name w:val="heading 3"/>
    <w:basedOn w:val="1"/>
    <w:next w:val="1"/>
    <w:link w:val="50"/>
    <w:qFormat/>
    <w:uiPriority w:val="9"/>
    <w:pPr>
      <w:keepNext/>
      <w:keepLines/>
      <w:spacing w:before="320" w:after="200"/>
      <w:outlineLvl w:val="2"/>
    </w:pPr>
    <w:rPr>
      <w:rFonts w:ascii="Arial" w:hAnsi="Arial" w:eastAsia="Arial"/>
      <w:sz w:val="30"/>
      <w:szCs w:val="30"/>
    </w:rPr>
  </w:style>
  <w:style w:type="paragraph" w:styleId="6">
    <w:name w:val="heading 4"/>
    <w:basedOn w:val="1"/>
    <w:next w:val="1"/>
    <w:link w:val="52"/>
    <w:qFormat/>
    <w:uiPriority w:val="0"/>
    <w:pPr>
      <w:keepNext/>
      <w:keepLines/>
      <w:spacing w:before="320" w:after="200"/>
      <w:outlineLvl w:val="3"/>
    </w:pPr>
    <w:rPr>
      <w:rFonts w:ascii="Arial" w:hAnsi="Arial" w:eastAsia="Arial"/>
      <w:b/>
      <w:bCs/>
      <w:sz w:val="26"/>
      <w:szCs w:val="26"/>
    </w:rPr>
  </w:style>
  <w:style w:type="paragraph" w:styleId="7">
    <w:name w:val="heading 5"/>
    <w:basedOn w:val="1"/>
    <w:next w:val="1"/>
    <w:link w:val="53"/>
    <w:qFormat/>
    <w:uiPriority w:val="9"/>
    <w:pPr>
      <w:keepNext/>
      <w:keepLines/>
      <w:spacing w:before="320" w:after="200"/>
      <w:outlineLvl w:val="4"/>
    </w:pPr>
    <w:rPr>
      <w:rFonts w:ascii="Arial" w:hAnsi="Arial" w:eastAsia="Arial"/>
      <w:b/>
      <w:bCs/>
      <w:sz w:val="24"/>
      <w:szCs w:val="24"/>
    </w:rPr>
  </w:style>
  <w:style w:type="paragraph" w:styleId="8">
    <w:name w:val="heading 6"/>
    <w:basedOn w:val="1"/>
    <w:next w:val="1"/>
    <w:link w:val="54"/>
    <w:qFormat/>
    <w:uiPriority w:val="9"/>
    <w:pPr>
      <w:keepNext/>
      <w:keepLines/>
      <w:spacing w:before="320" w:after="200"/>
      <w:outlineLvl w:val="5"/>
    </w:pPr>
    <w:rPr>
      <w:rFonts w:ascii="Arial" w:hAnsi="Arial" w:eastAsia="Arial"/>
      <w:b/>
      <w:bCs/>
      <w:sz w:val="22"/>
    </w:rPr>
  </w:style>
  <w:style w:type="paragraph" w:styleId="9">
    <w:name w:val="heading 7"/>
    <w:basedOn w:val="1"/>
    <w:next w:val="1"/>
    <w:link w:val="55"/>
    <w:qFormat/>
    <w:uiPriority w:val="9"/>
    <w:pPr>
      <w:keepNext/>
      <w:keepLines/>
      <w:spacing w:before="320" w:after="200"/>
      <w:outlineLvl w:val="6"/>
    </w:pPr>
    <w:rPr>
      <w:rFonts w:ascii="Arial" w:hAnsi="Arial" w:eastAsia="Arial"/>
      <w:b/>
      <w:bCs/>
      <w:i/>
      <w:iCs/>
      <w:sz w:val="22"/>
    </w:rPr>
  </w:style>
  <w:style w:type="paragraph" w:styleId="10">
    <w:name w:val="heading 8"/>
    <w:basedOn w:val="1"/>
    <w:next w:val="1"/>
    <w:link w:val="56"/>
    <w:qFormat/>
    <w:uiPriority w:val="9"/>
    <w:pPr>
      <w:keepNext/>
      <w:keepLines/>
      <w:spacing w:before="320" w:after="200"/>
      <w:outlineLvl w:val="7"/>
    </w:pPr>
    <w:rPr>
      <w:rFonts w:ascii="Arial" w:hAnsi="Arial" w:eastAsia="Arial"/>
      <w:i/>
      <w:iCs/>
      <w:sz w:val="22"/>
    </w:rPr>
  </w:style>
  <w:style w:type="paragraph" w:styleId="11">
    <w:name w:val="heading 9"/>
    <w:basedOn w:val="1"/>
    <w:next w:val="1"/>
    <w:link w:val="57"/>
    <w:qFormat/>
    <w:uiPriority w:val="9"/>
    <w:pPr>
      <w:keepNext/>
      <w:keepLines/>
      <w:spacing w:before="320" w:after="200"/>
      <w:outlineLvl w:val="8"/>
    </w:pPr>
    <w:rPr>
      <w:rFonts w:ascii="Arial" w:hAnsi="Arial" w:eastAsia="Arial"/>
      <w:i/>
      <w:iCs/>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1"/>
    <w:rPr>
      <w:rFonts w:ascii="楷体_GB2312" w:hAnsi="Arial" w:eastAsia="楷体_GB2312"/>
      <w:sz w:val="28"/>
      <w:szCs w:val="20"/>
    </w:rPr>
  </w:style>
  <w:style w:type="paragraph" w:styleId="12">
    <w:name w:val="toc 7"/>
    <w:basedOn w:val="1"/>
    <w:next w:val="1"/>
    <w:unhideWhenUsed/>
    <w:qFormat/>
    <w:uiPriority w:val="39"/>
    <w:pPr>
      <w:spacing w:after="57"/>
      <w:ind w:left="1701"/>
    </w:pPr>
  </w:style>
  <w:style w:type="paragraph" w:styleId="13">
    <w:name w:val="Normal Indent"/>
    <w:basedOn w:val="1"/>
    <w:link w:val="51"/>
    <w:qFormat/>
    <w:uiPriority w:val="0"/>
    <w:pPr>
      <w:spacing w:line="360" w:lineRule="atLeast"/>
      <w:ind w:firstLine="482"/>
    </w:pPr>
    <w:rPr>
      <w:rFonts w:ascii="Times New Roman" w:hAnsi="Times New Roman"/>
      <w:sz w:val="24"/>
      <w:szCs w:val="20"/>
    </w:rPr>
  </w:style>
  <w:style w:type="paragraph" w:styleId="14">
    <w:name w:val="caption"/>
    <w:basedOn w:val="1"/>
    <w:next w:val="1"/>
    <w:qFormat/>
    <w:uiPriority w:val="35"/>
    <w:pPr>
      <w:spacing w:line="276" w:lineRule="auto"/>
    </w:pPr>
    <w:rPr>
      <w:b/>
      <w:bCs/>
      <w:color w:val="4F81BD"/>
      <w:sz w:val="18"/>
      <w:szCs w:val="18"/>
    </w:rPr>
  </w:style>
  <w:style w:type="paragraph" w:styleId="15">
    <w:name w:val="Document Map"/>
    <w:basedOn w:val="1"/>
    <w:link w:val="1660"/>
    <w:semiHidden/>
    <w:unhideWhenUsed/>
    <w:qFormat/>
    <w:uiPriority w:val="99"/>
    <w:rPr>
      <w:rFonts w:ascii="宋体"/>
      <w:sz w:val="18"/>
      <w:szCs w:val="18"/>
    </w:rPr>
  </w:style>
  <w:style w:type="paragraph" w:styleId="16">
    <w:name w:val="annotation text"/>
    <w:basedOn w:val="1"/>
    <w:link w:val="58"/>
    <w:unhideWhenUsed/>
    <w:qFormat/>
    <w:uiPriority w:val="99"/>
    <w:pPr>
      <w:jc w:val="left"/>
    </w:pPr>
  </w:style>
  <w:style w:type="paragraph" w:styleId="17">
    <w:name w:val="Body Text Indent"/>
    <w:basedOn w:val="1"/>
    <w:qFormat/>
    <w:uiPriority w:val="99"/>
    <w:pPr>
      <w:ind w:firstLine="645"/>
    </w:pPr>
    <w:rPr>
      <w:rFonts w:ascii="楷体_GB2312" w:eastAsia="楷体_GB2312"/>
      <w:sz w:val="32"/>
      <w:szCs w:val="20"/>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link w:val="1661"/>
    <w:qFormat/>
    <w:uiPriority w:val="0"/>
    <w:pPr>
      <w:spacing w:line="360" w:lineRule="auto"/>
      <w:ind w:firstLine="420" w:firstLineChars="200"/>
    </w:pPr>
    <w:rPr>
      <w:rFonts w:ascii="宋体" w:hAnsi="Courier New" w:eastAsia="仿宋"/>
      <w:kern w:val="2"/>
      <w:sz w:val="24"/>
      <w:szCs w:val="21"/>
    </w:rPr>
  </w:style>
  <w:style w:type="paragraph" w:styleId="21">
    <w:name w:val="toc 8"/>
    <w:basedOn w:val="1"/>
    <w:next w:val="1"/>
    <w:unhideWhenUsed/>
    <w:qFormat/>
    <w:uiPriority w:val="39"/>
    <w:pPr>
      <w:spacing w:after="57"/>
      <w:ind w:left="1984"/>
    </w:pPr>
  </w:style>
  <w:style w:type="paragraph" w:styleId="22">
    <w:name w:val="Date"/>
    <w:basedOn w:val="1"/>
    <w:next w:val="1"/>
    <w:link w:val="1666"/>
    <w:semiHidden/>
    <w:unhideWhenUsed/>
    <w:qFormat/>
    <w:uiPriority w:val="99"/>
    <w:pPr>
      <w:ind w:left="100" w:leftChars="2500"/>
    </w:pPr>
  </w:style>
  <w:style w:type="paragraph" w:styleId="23">
    <w:name w:val="endnote text"/>
    <w:basedOn w:val="1"/>
    <w:link w:val="59"/>
    <w:unhideWhenUsed/>
    <w:qFormat/>
    <w:uiPriority w:val="99"/>
    <w:rPr>
      <w:rFonts w:ascii="Times New Roman" w:hAnsi="Times New Roman"/>
      <w:sz w:val="20"/>
      <w:szCs w:val="20"/>
    </w:rPr>
  </w:style>
  <w:style w:type="paragraph" w:styleId="24">
    <w:name w:val="Balloon Text"/>
    <w:basedOn w:val="1"/>
    <w:link w:val="1664"/>
    <w:semiHidden/>
    <w:unhideWhenUsed/>
    <w:qFormat/>
    <w:uiPriority w:val="99"/>
    <w:rPr>
      <w:sz w:val="18"/>
      <w:szCs w:val="18"/>
    </w:rPr>
  </w:style>
  <w:style w:type="paragraph" w:styleId="25">
    <w:name w:val="footer"/>
    <w:basedOn w:val="1"/>
    <w:link w:val="60"/>
    <w:unhideWhenUsed/>
    <w:qFormat/>
    <w:uiPriority w:val="99"/>
    <w:pPr>
      <w:tabs>
        <w:tab w:val="center" w:pos="7143"/>
        <w:tab w:val="right" w:pos="14287"/>
      </w:tabs>
    </w:pPr>
  </w:style>
  <w:style w:type="paragraph" w:styleId="26">
    <w:name w:val="header"/>
    <w:basedOn w:val="1"/>
    <w:link w:val="61"/>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62"/>
    <w:qFormat/>
    <w:uiPriority w:val="11"/>
    <w:pPr>
      <w:spacing w:before="200" w:after="200"/>
    </w:pPr>
    <w:rPr>
      <w:rFonts w:ascii="Times New Roman" w:hAnsi="Times New Roman"/>
      <w:sz w:val="24"/>
      <w:szCs w:val="24"/>
    </w:rPr>
  </w:style>
  <w:style w:type="paragraph" w:styleId="30">
    <w:name w:val="footnote text"/>
    <w:basedOn w:val="1"/>
    <w:link w:val="63"/>
    <w:unhideWhenUsed/>
    <w:qFormat/>
    <w:uiPriority w:val="99"/>
    <w:pPr>
      <w:spacing w:after="40"/>
    </w:pPr>
    <w:rPr>
      <w:rFonts w:ascii="Times New Roman" w:hAnsi="Times New Roman"/>
      <w:sz w:val="18"/>
      <w:szCs w:val="20"/>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Body Text 2"/>
    <w:basedOn w:val="1"/>
    <w:qFormat/>
    <w:uiPriority w:val="0"/>
    <w:pPr>
      <w:spacing w:after="120" w:line="480" w:lineRule="auto"/>
    </w:pPr>
  </w:style>
  <w:style w:type="paragraph" w:styleId="36">
    <w:name w:val="Normal (Web)"/>
    <w:basedOn w:val="1"/>
    <w:qFormat/>
    <w:uiPriority w:val="0"/>
    <w:pPr>
      <w:spacing w:before="100" w:beforeAutospacing="1" w:after="100" w:afterAutospacing="1" w:line="360" w:lineRule="auto"/>
      <w:ind w:firstLine="420" w:firstLineChars="200"/>
      <w:jc w:val="left"/>
    </w:pPr>
    <w:rPr>
      <w:rFonts w:ascii="Times New Roman" w:hAnsi="Times New Roman" w:eastAsia="仿宋"/>
      <w:sz w:val="24"/>
      <w:szCs w:val="24"/>
    </w:rPr>
  </w:style>
  <w:style w:type="paragraph" w:styleId="37">
    <w:name w:val="Title"/>
    <w:basedOn w:val="1"/>
    <w:next w:val="1"/>
    <w:link w:val="64"/>
    <w:qFormat/>
    <w:uiPriority w:val="10"/>
    <w:pPr>
      <w:spacing w:before="300" w:after="200"/>
      <w:contextualSpacing/>
    </w:pPr>
    <w:rPr>
      <w:rFonts w:ascii="Times New Roman" w:hAnsi="Times New Roman"/>
      <w:sz w:val="48"/>
      <w:szCs w:val="48"/>
    </w:rPr>
  </w:style>
  <w:style w:type="paragraph" w:styleId="38">
    <w:name w:val="annotation subject"/>
    <w:basedOn w:val="16"/>
    <w:next w:val="16"/>
    <w:link w:val="65"/>
    <w:unhideWhenUsed/>
    <w:qFormat/>
    <w:uiPriority w:val="99"/>
    <w:rPr>
      <w:b/>
      <w:bCs/>
    </w:rPr>
  </w:style>
  <w:style w:type="table" w:styleId="4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endnote reference"/>
    <w:unhideWhenUsed/>
    <w:qFormat/>
    <w:uiPriority w:val="99"/>
    <w:rPr>
      <w:vertAlign w:val="superscript"/>
    </w:rPr>
  </w:style>
  <w:style w:type="character" w:styleId="43">
    <w:name w:val="page number"/>
    <w:qFormat/>
    <w:uiPriority w:val="0"/>
  </w:style>
  <w:style w:type="character" w:styleId="44">
    <w:name w:val="Emphasis"/>
    <w:qFormat/>
    <w:uiPriority w:val="20"/>
    <w:rPr>
      <w:i/>
    </w:rPr>
  </w:style>
  <w:style w:type="character" w:styleId="45">
    <w:name w:val="Hyperlink"/>
    <w:unhideWhenUsed/>
    <w:qFormat/>
    <w:uiPriority w:val="99"/>
    <w:rPr>
      <w:color w:val="0000FF"/>
      <w:u w:val="single"/>
    </w:rPr>
  </w:style>
  <w:style w:type="character" w:styleId="46">
    <w:name w:val="annotation reference"/>
    <w:unhideWhenUsed/>
    <w:qFormat/>
    <w:uiPriority w:val="99"/>
    <w:rPr>
      <w:sz w:val="21"/>
      <w:szCs w:val="21"/>
    </w:rPr>
  </w:style>
  <w:style w:type="character" w:styleId="47">
    <w:name w:val="footnote reference"/>
    <w:unhideWhenUsed/>
    <w:qFormat/>
    <w:uiPriority w:val="99"/>
    <w:rPr>
      <w:vertAlign w:val="superscript"/>
    </w:rPr>
  </w:style>
  <w:style w:type="character" w:customStyle="1" w:styleId="48">
    <w:name w:val="标题 1 字符"/>
    <w:link w:val="3"/>
    <w:qFormat/>
    <w:uiPriority w:val="9"/>
    <w:rPr>
      <w:rFonts w:ascii="Arial" w:hAnsi="Arial" w:eastAsia="Arial" w:cs="Arial"/>
      <w:sz w:val="40"/>
      <w:szCs w:val="40"/>
    </w:rPr>
  </w:style>
  <w:style w:type="character" w:customStyle="1" w:styleId="49">
    <w:name w:val="标题 2 字符2"/>
    <w:link w:val="4"/>
    <w:qFormat/>
    <w:uiPriority w:val="9"/>
    <w:rPr>
      <w:rFonts w:ascii="Arial" w:hAnsi="Arial" w:eastAsia="Arial" w:cs="Arial"/>
      <w:sz w:val="34"/>
    </w:rPr>
  </w:style>
  <w:style w:type="character" w:customStyle="1" w:styleId="50">
    <w:name w:val="标题 3 字符2"/>
    <w:link w:val="5"/>
    <w:qFormat/>
    <w:uiPriority w:val="9"/>
    <w:rPr>
      <w:rFonts w:ascii="Arial" w:hAnsi="Arial" w:eastAsia="Arial" w:cs="Arial"/>
      <w:sz w:val="30"/>
      <w:szCs w:val="30"/>
    </w:rPr>
  </w:style>
  <w:style w:type="character" w:customStyle="1" w:styleId="51">
    <w:name w:val="正文缩进 字符"/>
    <w:link w:val="13"/>
    <w:qFormat/>
    <w:uiPriority w:val="0"/>
    <w:rPr>
      <w:rFonts w:ascii="Times New Roman" w:hAnsi="Times New Roman"/>
      <w:sz w:val="24"/>
    </w:rPr>
  </w:style>
  <w:style w:type="character" w:customStyle="1" w:styleId="52">
    <w:name w:val="标题 4 字符"/>
    <w:link w:val="6"/>
    <w:qFormat/>
    <w:uiPriority w:val="0"/>
    <w:rPr>
      <w:rFonts w:ascii="Arial" w:hAnsi="Arial" w:eastAsia="Arial" w:cs="Arial"/>
      <w:b/>
      <w:bCs/>
      <w:sz w:val="26"/>
      <w:szCs w:val="26"/>
    </w:rPr>
  </w:style>
  <w:style w:type="character" w:customStyle="1" w:styleId="53">
    <w:name w:val="标题 5 字符"/>
    <w:link w:val="7"/>
    <w:qFormat/>
    <w:uiPriority w:val="9"/>
    <w:rPr>
      <w:rFonts w:ascii="Arial" w:hAnsi="Arial" w:eastAsia="Arial" w:cs="Arial"/>
      <w:b/>
      <w:bCs/>
      <w:sz w:val="24"/>
      <w:szCs w:val="24"/>
    </w:rPr>
  </w:style>
  <w:style w:type="character" w:customStyle="1" w:styleId="54">
    <w:name w:val="标题 6 字符"/>
    <w:link w:val="8"/>
    <w:qFormat/>
    <w:uiPriority w:val="9"/>
    <w:rPr>
      <w:rFonts w:ascii="Arial" w:hAnsi="Arial" w:eastAsia="Arial" w:cs="Arial"/>
      <w:b/>
      <w:bCs/>
      <w:sz w:val="22"/>
      <w:szCs w:val="22"/>
    </w:rPr>
  </w:style>
  <w:style w:type="character" w:customStyle="1" w:styleId="55">
    <w:name w:val="标题 7 字符"/>
    <w:link w:val="9"/>
    <w:qFormat/>
    <w:uiPriority w:val="9"/>
    <w:rPr>
      <w:rFonts w:ascii="Arial" w:hAnsi="Arial" w:eastAsia="Arial" w:cs="Arial"/>
      <w:b/>
      <w:bCs/>
      <w:i/>
      <w:iCs/>
      <w:sz w:val="22"/>
      <w:szCs w:val="22"/>
    </w:rPr>
  </w:style>
  <w:style w:type="character" w:customStyle="1" w:styleId="56">
    <w:name w:val="标题 8 字符"/>
    <w:link w:val="10"/>
    <w:qFormat/>
    <w:uiPriority w:val="9"/>
    <w:rPr>
      <w:rFonts w:ascii="Arial" w:hAnsi="Arial" w:eastAsia="Arial" w:cs="Arial"/>
      <w:i/>
      <w:iCs/>
      <w:sz w:val="22"/>
      <w:szCs w:val="22"/>
    </w:rPr>
  </w:style>
  <w:style w:type="character" w:customStyle="1" w:styleId="57">
    <w:name w:val="标题 9 字符"/>
    <w:link w:val="11"/>
    <w:qFormat/>
    <w:uiPriority w:val="9"/>
    <w:rPr>
      <w:rFonts w:ascii="Arial" w:hAnsi="Arial" w:eastAsia="Arial" w:cs="Arial"/>
      <w:i/>
      <w:iCs/>
      <w:sz w:val="21"/>
      <w:szCs w:val="21"/>
    </w:rPr>
  </w:style>
  <w:style w:type="character" w:customStyle="1" w:styleId="58">
    <w:name w:val="批注文字 字符"/>
    <w:link w:val="16"/>
    <w:semiHidden/>
    <w:qFormat/>
    <w:uiPriority w:val="99"/>
    <w:rPr>
      <w:rFonts w:ascii="Calibri" w:hAnsi="Calibri" w:eastAsia="宋体"/>
      <w:sz w:val="21"/>
      <w:szCs w:val="22"/>
    </w:rPr>
  </w:style>
  <w:style w:type="character" w:customStyle="1" w:styleId="59">
    <w:name w:val="尾注文本 字符"/>
    <w:link w:val="23"/>
    <w:qFormat/>
    <w:uiPriority w:val="99"/>
    <w:rPr>
      <w:sz w:val="20"/>
    </w:rPr>
  </w:style>
  <w:style w:type="character" w:customStyle="1" w:styleId="60">
    <w:name w:val="页脚 字符2"/>
    <w:link w:val="25"/>
    <w:qFormat/>
    <w:uiPriority w:val="99"/>
  </w:style>
  <w:style w:type="character" w:customStyle="1" w:styleId="61">
    <w:name w:val="页眉 字符2"/>
    <w:link w:val="26"/>
    <w:qFormat/>
    <w:uiPriority w:val="99"/>
  </w:style>
  <w:style w:type="character" w:customStyle="1" w:styleId="62">
    <w:name w:val="副标题 字符"/>
    <w:link w:val="29"/>
    <w:qFormat/>
    <w:uiPriority w:val="11"/>
    <w:rPr>
      <w:sz w:val="24"/>
      <w:szCs w:val="24"/>
    </w:rPr>
  </w:style>
  <w:style w:type="character" w:customStyle="1" w:styleId="63">
    <w:name w:val="脚注文本 字符1"/>
    <w:link w:val="30"/>
    <w:qFormat/>
    <w:uiPriority w:val="99"/>
    <w:rPr>
      <w:sz w:val="18"/>
    </w:rPr>
  </w:style>
  <w:style w:type="character" w:customStyle="1" w:styleId="64">
    <w:name w:val="标题 字符"/>
    <w:link w:val="37"/>
    <w:qFormat/>
    <w:uiPriority w:val="10"/>
    <w:rPr>
      <w:sz w:val="48"/>
      <w:szCs w:val="48"/>
    </w:rPr>
  </w:style>
  <w:style w:type="character" w:customStyle="1" w:styleId="65">
    <w:name w:val="批注主题 字符"/>
    <w:link w:val="38"/>
    <w:semiHidden/>
    <w:qFormat/>
    <w:uiPriority w:val="99"/>
    <w:rPr>
      <w:rFonts w:ascii="Calibri" w:hAnsi="Calibri" w:eastAsia="宋体"/>
      <w:b/>
      <w:bCs/>
      <w:sz w:val="21"/>
      <w:szCs w:val="22"/>
    </w:rPr>
  </w:style>
  <w:style w:type="paragraph" w:customStyle="1" w:styleId="66">
    <w:name w:val="首行缩进"/>
    <w:qFormat/>
    <w:uiPriority w:val="0"/>
    <w:pPr>
      <w:widowControl w:val="0"/>
      <w:spacing w:line="360" w:lineRule="auto"/>
      <w:ind w:firstLine="420"/>
      <w:jc w:val="both"/>
    </w:pPr>
    <w:rPr>
      <w:rFonts w:ascii="Times New Roman" w:hAnsi="Times New Roman" w:eastAsia="宋体" w:cs="Times New Roman"/>
      <w:szCs w:val="21"/>
      <w:lang w:val="en-US" w:eastAsia="zh-CN" w:bidi="ar-SA"/>
    </w:rPr>
  </w:style>
  <w:style w:type="paragraph" w:customStyle="1" w:styleId="67">
    <w:name w:val="Normal_27"/>
    <w:qFormat/>
    <w:uiPriority w:val="0"/>
    <w:pPr>
      <w:widowControl w:val="0"/>
      <w:jc w:val="both"/>
    </w:pPr>
    <w:rPr>
      <w:rFonts w:ascii="Calibri" w:hAnsi="Calibri" w:eastAsia="宋体" w:cs="Times New Roman"/>
      <w:sz w:val="21"/>
      <w:szCs w:val="22"/>
      <w:lang w:val="en-US" w:eastAsia="zh-CN" w:bidi="ar-SA"/>
    </w:rPr>
  </w:style>
  <w:style w:type="paragraph" w:styleId="68">
    <w:name w:val="No Spacing"/>
    <w:qFormat/>
    <w:uiPriority w:val="1"/>
    <w:rPr>
      <w:rFonts w:ascii="等线" w:hAnsi="等线" w:eastAsia="等线" w:cs="Times New Roman"/>
      <w:lang w:val="en-US" w:eastAsia="zh-CN" w:bidi="ar-SA"/>
    </w:rPr>
  </w:style>
  <w:style w:type="paragraph" w:styleId="69">
    <w:name w:val="Quote"/>
    <w:basedOn w:val="1"/>
    <w:next w:val="1"/>
    <w:link w:val="70"/>
    <w:qFormat/>
    <w:uiPriority w:val="29"/>
    <w:pPr>
      <w:ind w:left="720" w:right="720"/>
    </w:pPr>
    <w:rPr>
      <w:rFonts w:ascii="Times New Roman" w:hAnsi="Times New Roman"/>
      <w:i/>
      <w:sz w:val="20"/>
      <w:szCs w:val="20"/>
    </w:rPr>
  </w:style>
  <w:style w:type="character" w:customStyle="1" w:styleId="70">
    <w:name w:val="引用 字符2"/>
    <w:link w:val="69"/>
    <w:qFormat/>
    <w:uiPriority w:val="29"/>
    <w:rPr>
      <w:i/>
    </w:rPr>
  </w:style>
  <w:style w:type="paragraph" w:styleId="71">
    <w:name w:val="Intense Quote"/>
    <w:basedOn w:val="1"/>
    <w:next w:val="1"/>
    <w:link w:val="7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i/>
      <w:sz w:val="20"/>
      <w:szCs w:val="20"/>
    </w:rPr>
  </w:style>
  <w:style w:type="character" w:customStyle="1" w:styleId="72">
    <w:name w:val="明显引用 字符2"/>
    <w:link w:val="71"/>
    <w:qFormat/>
    <w:uiPriority w:val="30"/>
    <w:rPr>
      <w:i/>
    </w:rPr>
  </w:style>
  <w:style w:type="character" w:customStyle="1" w:styleId="73">
    <w:name w:val="Footer Char"/>
    <w:qFormat/>
    <w:uiPriority w:val="99"/>
  </w:style>
  <w:style w:type="table" w:customStyle="1" w:styleId="74">
    <w:name w:val="Table Grid Light"/>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75">
    <w:name w:val="无格式表格 1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76">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77">
    <w:name w:val="无格式表格 31"/>
    <w:qFormat/>
    <w:uiPriority w:val="99"/>
    <w:tblPr>
      <w:tblCellMar>
        <w:top w:w="0" w:type="dxa"/>
        <w:left w:w="0" w:type="dxa"/>
        <w:bottom w:w="0" w:type="dxa"/>
        <w:right w:w="0" w:type="dxa"/>
      </w:tblCellMar>
    </w:tblPr>
  </w:style>
  <w:style w:type="table" w:customStyle="1" w:styleId="78">
    <w:name w:val="无格式表格 41"/>
    <w:qFormat/>
    <w:uiPriority w:val="99"/>
    <w:tblPr>
      <w:tblCellMar>
        <w:top w:w="0" w:type="dxa"/>
        <w:left w:w="0" w:type="dxa"/>
        <w:bottom w:w="0" w:type="dxa"/>
        <w:right w:w="0" w:type="dxa"/>
      </w:tblCellMar>
    </w:tblPr>
  </w:style>
  <w:style w:type="table" w:customStyle="1" w:styleId="79">
    <w:name w:val="无格式表格 51"/>
    <w:qFormat/>
    <w:uiPriority w:val="99"/>
    <w:tblPr>
      <w:tblCellMar>
        <w:top w:w="0" w:type="dxa"/>
        <w:left w:w="0" w:type="dxa"/>
        <w:bottom w:w="0" w:type="dxa"/>
        <w:right w:w="0" w:type="dxa"/>
      </w:tblCellMar>
    </w:tblPr>
  </w:style>
  <w:style w:type="table" w:customStyle="1" w:styleId="80">
    <w:name w:val="网格表 1 浅色1"/>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style>
  <w:style w:type="table" w:customStyle="1" w:styleId="81">
    <w:name w:val="Grid Table 1 Light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style>
  <w:style w:type="table" w:customStyle="1" w:styleId="82">
    <w:name w:val="Grid Table 1 Light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style>
  <w:style w:type="table" w:customStyle="1" w:styleId="83">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84">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85">
    <w:name w:val="Grid Table 1 Light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style>
  <w:style w:type="table" w:customStyle="1" w:styleId="86">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87">
    <w:name w:val="网格表 2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style>
  <w:style w:type="table" w:customStyle="1" w:styleId="88">
    <w:name w:val="Grid Table 2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style>
  <w:style w:type="table" w:customStyle="1" w:styleId="89">
    <w:name w:val="Grid Table 2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style>
  <w:style w:type="table" w:customStyle="1" w:styleId="90">
    <w:name w:val="Grid Table 2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style>
  <w:style w:type="table" w:customStyle="1" w:styleId="91">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2">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93">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4">
    <w:name w:val="网格表 3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style>
  <w:style w:type="table" w:customStyle="1" w:styleId="95">
    <w:name w:val="Grid Table 3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style>
  <w:style w:type="table" w:customStyle="1" w:styleId="96">
    <w:name w:val="Grid Table 3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style>
  <w:style w:type="table" w:customStyle="1" w:styleId="97">
    <w:name w:val="Grid Table 3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style>
  <w:style w:type="table" w:customStyle="1" w:styleId="98">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9">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0">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1">
    <w:name w:val="网格表 41"/>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style>
  <w:style w:type="table" w:customStyle="1" w:styleId="102">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03">
    <w:name w:val="Grid Table 4 - Accent 2"/>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style>
  <w:style w:type="table" w:customStyle="1" w:styleId="104">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05">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06">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07">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08">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9">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0">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1">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2">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3">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4">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5">
    <w:name w:val="网格表 6 彩色1"/>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style>
  <w:style w:type="table" w:customStyle="1" w:styleId="116">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7">
    <w:name w:val="Grid Table 6 Colorful - Accent 2"/>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style>
  <w:style w:type="table" w:customStyle="1" w:styleId="118">
    <w:name w:val="Grid Table 6 Colorful - Accent 3"/>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style>
  <w:style w:type="table" w:customStyle="1" w:styleId="119">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0">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1">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2">
    <w:name w:val="网格表 7 彩色1"/>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style>
  <w:style w:type="table" w:customStyle="1" w:styleId="123">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24">
    <w:name w:val="Grid Table 7 Colorful - Accent 2"/>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style>
  <w:style w:type="table" w:customStyle="1" w:styleId="125">
    <w:name w:val="Grid Table 7 Colorful - Accent 3"/>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style>
  <w:style w:type="table" w:customStyle="1" w:styleId="126">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7">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8">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9">
    <w:name w:val="清单表 1 浅色1"/>
    <w:qFormat/>
    <w:uiPriority w:val="99"/>
    <w:tblPr>
      <w:tblCellMar>
        <w:top w:w="0" w:type="dxa"/>
        <w:left w:w="0" w:type="dxa"/>
        <w:bottom w:w="0" w:type="dxa"/>
        <w:right w:w="0" w:type="dxa"/>
      </w:tblCellMar>
    </w:tblPr>
  </w:style>
  <w:style w:type="table" w:customStyle="1" w:styleId="130">
    <w:name w:val="List Table 1 Light - Accent 1"/>
    <w:qFormat/>
    <w:uiPriority w:val="99"/>
    <w:tblPr>
      <w:tblCellMar>
        <w:top w:w="0" w:type="dxa"/>
        <w:left w:w="0" w:type="dxa"/>
        <w:bottom w:w="0" w:type="dxa"/>
        <w:right w:w="0" w:type="dxa"/>
      </w:tblCellMar>
    </w:tblPr>
  </w:style>
  <w:style w:type="table" w:customStyle="1" w:styleId="131">
    <w:name w:val="List Table 1 Light - Accent 2"/>
    <w:qFormat/>
    <w:uiPriority w:val="99"/>
    <w:tblPr>
      <w:tblCellMar>
        <w:top w:w="0" w:type="dxa"/>
        <w:left w:w="0" w:type="dxa"/>
        <w:bottom w:w="0" w:type="dxa"/>
        <w:right w:w="0" w:type="dxa"/>
      </w:tblCellMar>
    </w:tblPr>
  </w:style>
  <w:style w:type="table" w:customStyle="1" w:styleId="132">
    <w:name w:val="List Table 1 Light - Accent 3"/>
    <w:qFormat/>
    <w:uiPriority w:val="99"/>
    <w:tblPr>
      <w:tblCellMar>
        <w:top w:w="0" w:type="dxa"/>
        <w:left w:w="0" w:type="dxa"/>
        <w:bottom w:w="0" w:type="dxa"/>
        <w:right w:w="0" w:type="dxa"/>
      </w:tblCellMar>
    </w:tblPr>
  </w:style>
  <w:style w:type="table" w:customStyle="1" w:styleId="133">
    <w:name w:val="List Table 1 Light - Accent 4"/>
    <w:qFormat/>
    <w:uiPriority w:val="99"/>
    <w:tblPr>
      <w:tblCellMar>
        <w:top w:w="0" w:type="dxa"/>
        <w:left w:w="0" w:type="dxa"/>
        <w:bottom w:w="0" w:type="dxa"/>
        <w:right w:w="0" w:type="dxa"/>
      </w:tblCellMar>
    </w:tblPr>
  </w:style>
  <w:style w:type="table" w:customStyle="1" w:styleId="134">
    <w:name w:val="List Table 1 Light - Accent 5"/>
    <w:qFormat/>
    <w:uiPriority w:val="99"/>
    <w:tblPr>
      <w:tblCellMar>
        <w:top w:w="0" w:type="dxa"/>
        <w:left w:w="0" w:type="dxa"/>
        <w:bottom w:w="0" w:type="dxa"/>
        <w:right w:w="0" w:type="dxa"/>
      </w:tblCellMar>
    </w:tblPr>
  </w:style>
  <w:style w:type="table" w:customStyle="1" w:styleId="135">
    <w:name w:val="List Table 1 Light - Accent 6"/>
    <w:qFormat/>
    <w:uiPriority w:val="99"/>
    <w:tblPr>
      <w:tblCellMar>
        <w:top w:w="0" w:type="dxa"/>
        <w:left w:w="0" w:type="dxa"/>
        <w:bottom w:w="0" w:type="dxa"/>
        <w:right w:w="0" w:type="dxa"/>
      </w:tblCellMar>
    </w:tblPr>
  </w:style>
  <w:style w:type="table" w:customStyle="1" w:styleId="136">
    <w:name w:val="清单表 21"/>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style>
  <w:style w:type="table" w:customStyle="1" w:styleId="137">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38">
    <w:name w:val="List Table 2 - Accent 2"/>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style>
  <w:style w:type="table" w:customStyle="1" w:styleId="139">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40">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41">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42">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43">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44">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45">
    <w:name w:val="List Table 3 - Accent 2"/>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style>
  <w:style w:type="table" w:customStyle="1" w:styleId="146">
    <w:name w:val="List Table 3 - Accent 3"/>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style>
  <w:style w:type="table" w:customStyle="1" w:styleId="147">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48">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49">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50">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51">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52">
    <w:name w:val="List Table 4 - Accent 2"/>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style>
  <w:style w:type="table" w:customStyle="1" w:styleId="153">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54">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55">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56">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57">
    <w:name w:val="清单表 5 深色1"/>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style>
  <w:style w:type="table" w:customStyle="1" w:styleId="158">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59">
    <w:name w:val="List Table 5 Dark - Accent 2"/>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style>
  <w:style w:type="table" w:customStyle="1" w:styleId="160">
    <w:name w:val="List Table 5 Dark - Accent 3"/>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style>
  <w:style w:type="table" w:customStyle="1" w:styleId="161">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62">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63">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64">
    <w:name w:val="清单表 6 彩色1"/>
    <w:qFormat/>
    <w:uiPriority w:val="99"/>
    <w:tblPr>
      <w:tblBorders>
        <w:top w:val="single" w:color="7E7E7E" w:sz="4" w:space="0"/>
        <w:bottom w:val="single" w:color="7E7E7E" w:sz="4" w:space="0"/>
      </w:tblBorders>
      <w:tblCellMar>
        <w:top w:w="0" w:type="dxa"/>
        <w:left w:w="0" w:type="dxa"/>
        <w:bottom w:w="0" w:type="dxa"/>
        <w:right w:w="0" w:type="dxa"/>
      </w:tblCellMar>
    </w:tblPr>
  </w:style>
  <w:style w:type="table" w:customStyle="1" w:styleId="165">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66">
    <w:name w:val="List Table 6 Colorful - Accent 2"/>
    <w:qFormat/>
    <w:uiPriority w:val="99"/>
    <w:tblPr>
      <w:tblBorders>
        <w:top w:val="single" w:color="D99795" w:sz="4" w:space="0"/>
        <w:bottom w:val="single" w:color="D99795" w:sz="4" w:space="0"/>
      </w:tblBorders>
      <w:tblCellMar>
        <w:top w:w="0" w:type="dxa"/>
        <w:left w:w="0" w:type="dxa"/>
        <w:bottom w:w="0" w:type="dxa"/>
        <w:right w:w="0" w:type="dxa"/>
      </w:tblCellMar>
    </w:tblPr>
  </w:style>
  <w:style w:type="table" w:customStyle="1" w:styleId="167">
    <w:name w:val="List Table 6 Colorful - Accent 3"/>
    <w:qFormat/>
    <w:uiPriority w:val="99"/>
    <w:tblPr>
      <w:tblBorders>
        <w:top w:val="single" w:color="C3D69C" w:sz="4" w:space="0"/>
        <w:bottom w:val="single" w:color="C3D69C" w:sz="4" w:space="0"/>
      </w:tblBorders>
      <w:tblCellMar>
        <w:top w:w="0" w:type="dxa"/>
        <w:left w:w="0" w:type="dxa"/>
        <w:bottom w:w="0" w:type="dxa"/>
        <w:right w:w="0" w:type="dxa"/>
      </w:tblCellMar>
    </w:tblPr>
  </w:style>
  <w:style w:type="table" w:customStyle="1" w:styleId="168">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69">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70">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71">
    <w:name w:val="清单表 7 彩色1"/>
    <w:qFormat/>
    <w:uiPriority w:val="99"/>
    <w:tblPr>
      <w:tblBorders>
        <w:right w:val="single" w:color="7E7E7E" w:sz="4" w:space="0"/>
      </w:tblBorders>
      <w:tblCellMar>
        <w:top w:w="0" w:type="dxa"/>
        <w:left w:w="0" w:type="dxa"/>
        <w:bottom w:w="0" w:type="dxa"/>
        <w:right w:w="0" w:type="dxa"/>
      </w:tblCellMar>
    </w:tblPr>
  </w:style>
  <w:style w:type="table" w:customStyle="1" w:styleId="172">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73">
    <w:name w:val="List Table 7 Colorful - Accent 2"/>
    <w:qFormat/>
    <w:uiPriority w:val="99"/>
    <w:tblPr>
      <w:tblBorders>
        <w:right w:val="single" w:color="D99795" w:sz="4" w:space="0"/>
      </w:tblBorders>
      <w:tblCellMar>
        <w:top w:w="0" w:type="dxa"/>
        <w:left w:w="0" w:type="dxa"/>
        <w:bottom w:w="0" w:type="dxa"/>
        <w:right w:w="0" w:type="dxa"/>
      </w:tblCellMar>
    </w:tblPr>
  </w:style>
  <w:style w:type="table" w:customStyle="1" w:styleId="174">
    <w:name w:val="List Table 7 Colorful - Accent 3"/>
    <w:qFormat/>
    <w:uiPriority w:val="99"/>
    <w:tblPr>
      <w:tblBorders>
        <w:right w:val="single" w:color="C3D69C" w:sz="4" w:space="0"/>
      </w:tblBorders>
      <w:tblCellMar>
        <w:top w:w="0" w:type="dxa"/>
        <w:left w:w="0" w:type="dxa"/>
        <w:bottom w:w="0" w:type="dxa"/>
        <w:right w:w="0" w:type="dxa"/>
      </w:tblCellMar>
    </w:tblPr>
  </w:style>
  <w:style w:type="table" w:customStyle="1" w:styleId="175">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76">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77">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78">
    <w:name w:val="Lined - Accent"/>
    <w:qFormat/>
    <w:uiPriority w:val="99"/>
    <w:rPr>
      <w:color w:val="404040"/>
    </w:rPr>
    <w:tblPr>
      <w:tblCellMar>
        <w:top w:w="0" w:type="dxa"/>
        <w:left w:w="0" w:type="dxa"/>
        <w:bottom w:w="0" w:type="dxa"/>
        <w:right w:w="0" w:type="dxa"/>
      </w:tblCellMar>
    </w:tblPr>
  </w:style>
  <w:style w:type="table" w:customStyle="1" w:styleId="179">
    <w:name w:val="Lined - Accent 1"/>
    <w:qFormat/>
    <w:uiPriority w:val="99"/>
    <w:rPr>
      <w:color w:val="404040"/>
    </w:rPr>
    <w:tblPr>
      <w:tblCellMar>
        <w:top w:w="0" w:type="dxa"/>
        <w:left w:w="0" w:type="dxa"/>
        <w:bottom w:w="0" w:type="dxa"/>
        <w:right w:w="0" w:type="dxa"/>
      </w:tblCellMar>
    </w:tblPr>
  </w:style>
  <w:style w:type="table" w:customStyle="1" w:styleId="180">
    <w:name w:val="Lined - Accent 2"/>
    <w:qFormat/>
    <w:uiPriority w:val="99"/>
    <w:rPr>
      <w:color w:val="404040"/>
    </w:rPr>
    <w:tblPr>
      <w:tblCellMar>
        <w:top w:w="0" w:type="dxa"/>
        <w:left w:w="0" w:type="dxa"/>
        <w:bottom w:w="0" w:type="dxa"/>
        <w:right w:w="0" w:type="dxa"/>
      </w:tblCellMar>
    </w:tblPr>
  </w:style>
  <w:style w:type="table" w:customStyle="1" w:styleId="181">
    <w:name w:val="Lined - Accent 3"/>
    <w:qFormat/>
    <w:uiPriority w:val="99"/>
    <w:rPr>
      <w:color w:val="404040"/>
    </w:rPr>
    <w:tblPr>
      <w:tblCellMar>
        <w:top w:w="0" w:type="dxa"/>
        <w:left w:w="0" w:type="dxa"/>
        <w:bottom w:w="0" w:type="dxa"/>
        <w:right w:w="0" w:type="dxa"/>
      </w:tblCellMar>
    </w:tblPr>
  </w:style>
  <w:style w:type="table" w:customStyle="1" w:styleId="182">
    <w:name w:val="Lined - Accent 4"/>
    <w:qFormat/>
    <w:uiPriority w:val="99"/>
    <w:rPr>
      <w:color w:val="404040"/>
    </w:rPr>
    <w:tblPr>
      <w:tblCellMar>
        <w:top w:w="0" w:type="dxa"/>
        <w:left w:w="0" w:type="dxa"/>
        <w:bottom w:w="0" w:type="dxa"/>
        <w:right w:w="0" w:type="dxa"/>
      </w:tblCellMar>
    </w:tblPr>
  </w:style>
  <w:style w:type="table" w:customStyle="1" w:styleId="183">
    <w:name w:val="Lined - Accent 5"/>
    <w:qFormat/>
    <w:uiPriority w:val="99"/>
    <w:rPr>
      <w:color w:val="404040"/>
    </w:rPr>
    <w:tblPr>
      <w:tblCellMar>
        <w:top w:w="0" w:type="dxa"/>
        <w:left w:w="0" w:type="dxa"/>
        <w:bottom w:w="0" w:type="dxa"/>
        <w:right w:w="0" w:type="dxa"/>
      </w:tblCellMar>
    </w:tblPr>
  </w:style>
  <w:style w:type="table" w:customStyle="1" w:styleId="184">
    <w:name w:val="Lined - Accent 6"/>
    <w:qFormat/>
    <w:uiPriority w:val="99"/>
    <w:rPr>
      <w:color w:val="404040"/>
    </w:rPr>
    <w:tblPr>
      <w:tblCellMar>
        <w:top w:w="0" w:type="dxa"/>
        <w:left w:w="0" w:type="dxa"/>
        <w:bottom w:w="0" w:type="dxa"/>
        <w:right w:w="0" w:type="dxa"/>
      </w:tblCellMar>
    </w:tblPr>
  </w:style>
  <w:style w:type="table" w:customStyle="1" w:styleId="185">
    <w:name w:val="Bordered &amp; Lined - Accent"/>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style>
  <w:style w:type="table" w:customStyle="1" w:styleId="186">
    <w:name w:val="Bordered &amp; Lined - Accent 1"/>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style>
  <w:style w:type="table" w:customStyle="1" w:styleId="187">
    <w:name w:val="Bordered &amp; Lined - Accent 2"/>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style>
  <w:style w:type="table" w:customStyle="1" w:styleId="188">
    <w:name w:val="Bordered &amp; Lined - Accent 3"/>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style>
  <w:style w:type="table" w:customStyle="1" w:styleId="189">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90">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91">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92">
    <w:name w:val="Bordered"/>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style>
  <w:style w:type="table" w:customStyle="1" w:styleId="193">
    <w:name w:val="Bordered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style>
  <w:style w:type="table" w:customStyle="1" w:styleId="194">
    <w:name w:val="Bordered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style>
  <w:style w:type="table" w:customStyle="1" w:styleId="195">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96">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97">
    <w:name w:val="Bordered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style>
  <w:style w:type="table" w:customStyle="1" w:styleId="198">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paragraph" w:customStyle="1" w:styleId="199">
    <w:name w:val="TOC 标题1"/>
    <w:unhideWhenUsed/>
    <w:qFormat/>
    <w:uiPriority w:val="39"/>
    <w:rPr>
      <w:rFonts w:ascii="等线" w:hAnsi="等线" w:eastAsia="等线" w:cs="Times New Roman"/>
      <w:lang w:val="en-US" w:eastAsia="zh-CN" w:bidi="ar-SA"/>
    </w:rPr>
  </w:style>
  <w:style w:type="paragraph" w:customStyle="1" w:styleId="200">
    <w:name w:val="标题 111"/>
    <w:basedOn w:val="1"/>
    <w:next w:val="1"/>
    <w:link w:val="201"/>
    <w:qFormat/>
    <w:uiPriority w:val="0"/>
    <w:pPr>
      <w:keepNext/>
      <w:outlineLvl w:val="0"/>
    </w:pPr>
    <w:rPr>
      <w:rFonts w:ascii="楷体_GB2312" w:hAnsi="Times New Roman" w:eastAsia="楷体_GB2312"/>
      <w:sz w:val="28"/>
      <w:szCs w:val="20"/>
    </w:rPr>
  </w:style>
  <w:style w:type="character" w:customStyle="1" w:styleId="201">
    <w:name w:val="标题 1 Char3"/>
    <w:link w:val="200"/>
    <w:qFormat/>
    <w:uiPriority w:val="0"/>
    <w:rPr>
      <w:rFonts w:ascii="楷体_GB2312" w:hAnsi="Times New Roman" w:eastAsia="楷体_GB2312" w:cs="Times New Roman"/>
      <w:sz w:val="28"/>
      <w:szCs w:val="20"/>
    </w:rPr>
  </w:style>
  <w:style w:type="paragraph" w:customStyle="1" w:styleId="202">
    <w:name w:val="标题 21"/>
    <w:basedOn w:val="1"/>
    <w:next w:val="203"/>
    <w:link w:val="204"/>
    <w:qFormat/>
    <w:uiPriority w:val="0"/>
    <w:pPr>
      <w:keepNext/>
      <w:keepLines/>
      <w:spacing w:before="260" w:after="260" w:line="416" w:lineRule="auto"/>
      <w:jc w:val="center"/>
      <w:outlineLvl w:val="1"/>
    </w:pPr>
    <w:rPr>
      <w:rFonts w:ascii="幼圆" w:hAnsi="Arial" w:eastAsia="楷体_GB2312"/>
      <w:b/>
      <w:sz w:val="44"/>
      <w:szCs w:val="20"/>
    </w:rPr>
  </w:style>
  <w:style w:type="paragraph" w:customStyle="1" w:styleId="203">
    <w:name w:val="正文缩进11"/>
    <w:basedOn w:val="1"/>
    <w:link w:val="205"/>
    <w:unhideWhenUsed/>
    <w:qFormat/>
    <w:uiPriority w:val="0"/>
    <w:pPr>
      <w:ind w:firstLine="420"/>
    </w:pPr>
    <w:rPr>
      <w:rFonts w:ascii="Times New Roman" w:hAnsi="Times New Roman"/>
      <w:sz w:val="20"/>
      <w:szCs w:val="24"/>
    </w:rPr>
  </w:style>
  <w:style w:type="character" w:customStyle="1" w:styleId="204">
    <w:name w:val="标题 2 Char"/>
    <w:link w:val="202"/>
    <w:qFormat/>
    <w:uiPriority w:val="0"/>
    <w:rPr>
      <w:rFonts w:ascii="幼圆" w:hAnsi="Arial" w:eastAsia="楷体_GB2312" w:cs="Times New Roman"/>
      <w:b/>
      <w:sz w:val="44"/>
      <w:szCs w:val="20"/>
    </w:rPr>
  </w:style>
  <w:style w:type="character" w:customStyle="1" w:styleId="205">
    <w:name w:val="正文缩进 Char1"/>
    <w:link w:val="203"/>
    <w:qFormat/>
    <w:uiPriority w:val="0"/>
    <w:rPr>
      <w:rFonts w:ascii="Times New Roman" w:hAnsi="Times New Roman" w:eastAsia="宋体" w:cs="Times New Roman"/>
      <w:szCs w:val="24"/>
    </w:rPr>
  </w:style>
  <w:style w:type="paragraph" w:customStyle="1" w:styleId="206">
    <w:name w:val="标题 31"/>
    <w:basedOn w:val="1"/>
    <w:next w:val="203"/>
    <w:link w:val="207"/>
    <w:qFormat/>
    <w:uiPriority w:val="0"/>
    <w:pPr>
      <w:keepNext/>
      <w:keepLines/>
      <w:spacing w:before="260" w:after="260" w:line="416" w:lineRule="auto"/>
      <w:outlineLvl w:val="2"/>
    </w:pPr>
    <w:rPr>
      <w:rFonts w:ascii="Times New Roman" w:hAnsi="Times New Roman"/>
      <w:b/>
      <w:sz w:val="32"/>
      <w:szCs w:val="20"/>
    </w:rPr>
  </w:style>
  <w:style w:type="character" w:customStyle="1" w:styleId="207">
    <w:name w:val="标题 3 Char3"/>
    <w:link w:val="206"/>
    <w:qFormat/>
    <w:uiPriority w:val="0"/>
    <w:rPr>
      <w:rFonts w:ascii="Times New Roman" w:hAnsi="Times New Roman" w:eastAsia="宋体" w:cs="Times New Roman"/>
      <w:b/>
      <w:sz w:val="32"/>
      <w:szCs w:val="20"/>
    </w:rPr>
  </w:style>
  <w:style w:type="paragraph" w:customStyle="1" w:styleId="208">
    <w:name w:val="标题 411"/>
    <w:basedOn w:val="1"/>
    <w:next w:val="1"/>
    <w:link w:val="209"/>
    <w:qFormat/>
    <w:uiPriority w:val="0"/>
    <w:pPr>
      <w:keepNext/>
      <w:keepLines/>
      <w:spacing w:before="280" w:after="290" w:line="376" w:lineRule="auto"/>
      <w:outlineLvl w:val="3"/>
    </w:pPr>
    <w:rPr>
      <w:rFonts w:ascii="Arial" w:hAnsi="Arial" w:eastAsia="黑体"/>
      <w:b/>
      <w:bCs/>
      <w:sz w:val="28"/>
      <w:szCs w:val="28"/>
    </w:rPr>
  </w:style>
  <w:style w:type="character" w:customStyle="1" w:styleId="209">
    <w:name w:val="标题 4 Char3"/>
    <w:link w:val="208"/>
    <w:qFormat/>
    <w:uiPriority w:val="0"/>
    <w:rPr>
      <w:rFonts w:ascii="Arial" w:hAnsi="Arial" w:eastAsia="黑体" w:cs="Times New Roman"/>
      <w:b/>
      <w:bCs/>
      <w:sz w:val="28"/>
      <w:szCs w:val="28"/>
    </w:rPr>
  </w:style>
  <w:style w:type="paragraph" w:customStyle="1" w:styleId="210">
    <w:name w:val="标题 51"/>
    <w:basedOn w:val="1"/>
    <w:next w:val="203"/>
    <w:link w:val="211"/>
    <w:qFormat/>
    <w:uiPriority w:val="0"/>
    <w:pPr>
      <w:keepNext/>
      <w:keepLines/>
      <w:tabs>
        <w:tab w:val="left" w:pos="1008"/>
      </w:tabs>
      <w:spacing w:before="280" w:after="290" w:line="376" w:lineRule="auto"/>
      <w:ind w:left="1008" w:hanging="1008"/>
      <w:outlineLvl w:val="4"/>
    </w:pPr>
    <w:rPr>
      <w:rFonts w:ascii="宋体" w:hAnsi="Times New Roman"/>
      <w:b/>
      <w:spacing w:val="-2"/>
      <w:position w:val="-6"/>
      <w:sz w:val="28"/>
      <w:szCs w:val="20"/>
    </w:rPr>
  </w:style>
  <w:style w:type="character" w:customStyle="1" w:styleId="211">
    <w:name w:val="标题 5 Char3"/>
    <w:link w:val="210"/>
    <w:qFormat/>
    <w:uiPriority w:val="0"/>
    <w:rPr>
      <w:rFonts w:ascii="宋体" w:hAnsi="Times New Roman" w:eastAsia="宋体" w:cs="Times New Roman"/>
      <w:b/>
      <w:spacing w:val="-2"/>
      <w:position w:val="-6"/>
      <w:sz w:val="28"/>
      <w:szCs w:val="20"/>
    </w:rPr>
  </w:style>
  <w:style w:type="paragraph" w:customStyle="1" w:styleId="212">
    <w:name w:val="标题 61"/>
    <w:basedOn w:val="1"/>
    <w:next w:val="203"/>
    <w:link w:val="213"/>
    <w:qFormat/>
    <w:uiPriority w:val="0"/>
    <w:pPr>
      <w:keepNext/>
      <w:keepLines/>
      <w:tabs>
        <w:tab w:val="left" w:pos="1152"/>
      </w:tabs>
      <w:spacing w:before="240" w:after="64" w:line="320" w:lineRule="auto"/>
      <w:ind w:left="1152" w:hanging="1152"/>
      <w:outlineLvl w:val="5"/>
    </w:pPr>
    <w:rPr>
      <w:rFonts w:ascii="Arial" w:hAnsi="Arial" w:eastAsia="黑体"/>
      <w:b/>
      <w:spacing w:val="-2"/>
      <w:position w:val="-6"/>
      <w:sz w:val="24"/>
      <w:szCs w:val="20"/>
    </w:rPr>
  </w:style>
  <w:style w:type="character" w:customStyle="1" w:styleId="213">
    <w:name w:val="标题 6 Char3"/>
    <w:link w:val="212"/>
    <w:qFormat/>
    <w:uiPriority w:val="0"/>
    <w:rPr>
      <w:rFonts w:ascii="Arial" w:hAnsi="Arial" w:eastAsia="黑体" w:cs="Times New Roman"/>
      <w:b/>
      <w:spacing w:val="-2"/>
      <w:position w:val="-6"/>
      <w:sz w:val="24"/>
      <w:szCs w:val="20"/>
    </w:rPr>
  </w:style>
  <w:style w:type="paragraph" w:customStyle="1" w:styleId="214">
    <w:name w:val="标题 71"/>
    <w:basedOn w:val="1"/>
    <w:next w:val="203"/>
    <w:link w:val="215"/>
    <w:qFormat/>
    <w:uiPriority w:val="0"/>
    <w:pPr>
      <w:keepNext/>
      <w:keepLines/>
      <w:tabs>
        <w:tab w:val="left" w:pos="1296"/>
      </w:tabs>
      <w:spacing w:before="240" w:after="64" w:line="320" w:lineRule="auto"/>
      <w:ind w:left="1296" w:hanging="1296"/>
      <w:outlineLvl w:val="6"/>
    </w:pPr>
    <w:rPr>
      <w:rFonts w:ascii="宋体" w:hAnsi="Times New Roman"/>
      <w:b/>
      <w:spacing w:val="-2"/>
      <w:position w:val="-6"/>
      <w:sz w:val="24"/>
      <w:szCs w:val="20"/>
    </w:rPr>
  </w:style>
  <w:style w:type="character" w:customStyle="1" w:styleId="215">
    <w:name w:val="标题 7 Char3"/>
    <w:link w:val="214"/>
    <w:qFormat/>
    <w:uiPriority w:val="0"/>
    <w:rPr>
      <w:rFonts w:ascii="宋体" w:hAnsi="Times New Roman" w:eastAsia="宋体" w:cs="Times New Roman"/>
      <w:b/>
      <w:spacing w:val="-2"/>
      <w:position w:val="-6"/>
      <w:sz w:val="24"/>
      <w:szCs w:val="20"/>
    </w:rPr>
  </w:style>
  <w:style w:type="paragraph" w:customStyle="1" w:styleId="216">
    <w:name w:val="标题 81"/>
    <w:basedOn w:val="1"/>
    <w:next w:val="203"/>
    <w:link w:val="217"/>
    <w:qFormat/>
    <w:uiPriority w:val="0"/>
    <w:pPr>
      <w:keepNext/>
      <w:keepLines/>
      <w:tabs>
        <w:tab w:val="left" w:pos="1440"/>
      </w:tabs>
      <w:spacing w:before="240" w:after="64" w:line="320" w:lineRule="auto"/>
      <w:ind w:left="1440" w:hanging="1440"/>
      <w:outlineLvl w:val="7"/>
    </w:pPr>
    <w:rPr>
      <w:rFonts w:ascii="Arial" w:hAnsi="Arial" w:eastAsia="黑体"/>
      <w:spacing w:val="-2"/>
      <w:position w:val="-6"/>
      <w:sz w:val="24"/>
      <w:szCs w:val="20"/>
    </w:rPr>
  </w:style>
  <w:style w:type="character" w:customStyle="1" w:styleId="217">
    <w:name w:val="标题 8 Char2"/>
    <w:link w:val="216"/>
    <w:qFormat/>
    <w:uiPriority w:val="0"/>
    <w:rPr>
      <w:rFonts w:ascii="Arial" w:hAnsi="Arial" w:eastAsia="黑体" w:cs="Times New Roman"/>
      <w:spacing w:val="-2"/>
      <w:position w:val="-6"/>
      <w:sz w:val="24"/>
      <w:szCs w:val="20"/>
    </w:rPr>
  </w:style>
  <w:style w:type="paragraph" w:customStyle="1" w:styleId="218">
    <w:name w:val="标题 91"/>
    <w:basedOn w:val="1"/>
    <w:next w:val="203"/>
    <w:link w:val="219"/>
    <w:qFormat/>
    <w:uiPriority w:val="0"/>
    <w:pPr>
      <w:keepNext/>
      <w:keepLines/>
      <w:tabs>
        <w:tab w:val="left" w:pos="1584"/>
      </w:tabs>
      <w:spacing w:before="240" w:after="64" w:line="320" w:lineRule="auto"/>
      <w:ind w:left="1584" w:hanging="1584"/>
      <w:outlineLvl w:val="8"/>
    </w:pPr>
    <w:rPr>
      <w:rFonts w:ascii="Arial" w:hAnsi="Arial" w:eastAsia="黑体"/>
      <w:spacing w:val="-2"/>
      <w:position w:val="-6"/>
      <w:sz w:val="28"/>
      <w:szCs w:val="20"/>
    </w:rPr>
  </w:style>
  <w:style w:type="character" w:customStyle="1" w:styleId="219">
    <w:name w:val="标题 9 Char3"/>
    <w:link w:val="218"/>
    <w:qFormat/>
    <w:uiPriority w:val="0"/>
    <w:rPr>
      <w:rFonts w:ascii="Arial" w:hAnsi="Arial" w:eastAsia="黑体" w:cs="Times New Roman"/>
      <w:spacing w:val="-2"/>
      <w:position w:val="-6"/>
      <w:sz w:val="28"/>
      <w:szCs w:val="20"/>
    </w:rPr>
  </w:style>
  <w:style w:type="character" w:customStyle="1" w:styleId="220">
    <w:name w:val="默认段落字体11"/>
    <w:unhideWhenUsed/>
    <w:qFormat/>
    <w:uiPriority w:val="1"/>
  </w:style>
  <w:style w:type="table" w:customStyle="1" w:styleId="221">
    <w:name w:val="普通表格1"/>
    <w:unhideWhenUsed/>
    <w:qFormat/>
    <w:uiPriority w:val="99"/>
    <w:tblPr>
      <w:tblCellMar>
        <w:top w:w="0" w:type="dxa"/>
        <w:left w:w="0" w:type="dxa"/>
        <w:bottom w:w="0" w:type="dxa"/>
        <w:right w:w="0" w:type="dxa"/>
      </w:tblCellMar>
    </w:tblPr>
  </w:style>
  <w:style w:type="paragraph" w:customStyle="1" w:styleId="222">
    <w:name w:val="目录 71"/>
    <w:basedOn w:val="1"/>
    <w:next w:val="1"/>
    <w:unhideWhenUsed/>
    <w:qFormat/>
    <w:uiPriority w:val="39"/>
    <w:pPr>
      <w:ind w:left="2520"/>
    </w:pPr>
    <w:rPr>
      <w:rFonts w:ascii="等线" w:hAnsi="等线" w:eastAsia="等线"/>
    </w:rPr>
  </w:style>
  <w:style w:type="paragraph" w:customStyle="1" w:styleId="223">
    <w:name w:val="列表编号 21"/>
    <w:basedOn w:val="1"/>
    <w:unhideWhenUsed/>
    <w:qFormat/>
    <w:uiPriority w:val="0"/>
    <w:pPr>
      <w:tabs>
        <w:tab w:val="left" w:pos="425"/>
        <w:tab w:val="left" w:pos="567"/>
      </w:tabs>
      <w:spacing w:line="300" w:lineRule="auto"/>
      <w:ind w:left="425" w:hanging="425"/>
    </w:pPr>
    <w:rPr>
      <w:sz w:val="28"/>
      <w:szCs w:val="20"/>
    </w:rPr>
  </w:style>
  <w:style w:type="paragraph" w:customStyle="1" w:styleId="224">
    <w:name w:val="注释标题1"/>
    <w:basedOn w:val="1"/>
    <w:next w:val="1"/>
    <w:link w:val="225"/>
    <w:qFormat/>
    <w:uiPriority w:val="0"/>
    <w:pPr>
      <w:jc w:val="center"/>
    </w:pPr>
    <w:rPr>
      <w:rFonts w:ascii="Times New Roman" w:hAnsi="Times New Roman"/>
      <w:sz w:val="20"/>
      <w:szCs w:val="24"/>
    </w:rPr>
  </w:style>
  <w:style w:type="character" w:customStyle="1" w:styleId="225">
    <w:name w:val="注释标题 Char2"/>
    <w:link w:val="224"/>
    <w:qFormat/>
    <w:uiPriority w:val="0"/>
    <w:rPr>
      <w:rFonts w:ascii="Times New Roman" w:hAnsi="Times New Roman" w:eastAsia="宋体" w:cs="Times New Roman"/>
      <w:szCs w:val="24"/>
    </w:rPr>
  </w:style>
  <w:style w:type="paragraph" w:customStyle="1" w:styleId="226">
    <w:name w:val="索引 81"/>
    <w:basedOn w:val="1"/>
    <w:next w:val="1"/>
    <w:qFormat/>
    <w:uiPriority w:val="0"/>
    <w:pPr>
      <w:ind w:left="1680" w:hanging="210"/>
      <w:jc w:val="left"/>
    </w:pPr>
    <w:rPr>
      <w:sz w:val="20"/>
      <w:szCs w:val="20"/>
    </w:rPr>
  </w:style>
  <w:style w:type="paragraph" w:customStyle="1" w:styleId="227">
    <w:name w:val="列表编号1"/>
    <w:basedOn w:val="228"/>
    <w:qFormat/>
    <w:uiPriority w:val="0"/>
    <w:pPr>
      <w:widowControl/>
      <w:spacing w:before="120" w:after="240" w:line="240" w:lineRule="atLeast"/>
      <w:ind w:left="720" w:right="720" w:hanging="360"/>
    </w:pPr>
    <w:rPr>
      <w:rFonts w:ascii="宋体" w:hAnsi="Garamond"/>
      <w:spacing w:val="-5"/>
      <w:sz w:val="24"/>
      <w:szCs w:val="20"/>
    </w:rPr>
  </w:style>
  <w:style w:type="paragraph" w:customStyle="1" w:styleId="228">
    <w:name w:val="列表11"/>
    <w:basedOn w:val="1"/>
    <w:qFormat/>
    <w:uiPriority w:val="0"/>
    <w:pPr>
      <w:ind w:left="200" w:hanging="200"/>
    </w:pPr>
  </w:style>
  <w:style w:type="paragraph" w:customStyle="1" w:styleId="229">
    <w:name w:val="题注11"/>
    <w:basedOn w:val="1"/>
    <w:next w:val="1"/>
    <w:link w:val="230"/>
    <w:qFormat/>
    <w:uiPriority w:val="0"/>
    <w:rPr>
      <w:rFonts w:ascii="Cambria" w:hAnsi="Cambria" w:eastAsia="黑体"/>
      <w:sz w:val="20"/>
      <w:szCs w:val="20"/>
    </w:rPr>
  </w:style>
  <w:style w:type="character" w:customStyle="1" w:styleId="230">
    <w:name w:val="题注 Char"/>
    <w:link w:val="229"/>
    <w:qFormat/>
    <w:uiPriority w:val="0"/>
    <w:rPr>
      <w:rFonts w:ascii="Cambria" w:hAnsi="Cambria" w:eastAsia="黑体"/>
    </w:rPr>
  </w:style>
  <w:style w:type="paragraph" w:customStyle="1" w:styleId="231">
    <w:name w:val="索引 51"/>
    <w:basedOn w:val="1"/>
    <w:next w:val="1"/>
    <w:qFormat/>
    <w:uiPriority w:val="0"/>
    <w:pPr>
      <w:ind w:left="1050" w:hanging="210"/>
      <w:jc w:val="left"/>
    </w:pPr>
    <w:rPr>
      <w:sz w:val="20"/>
      <w:szCs w:val="20"/>
    </w:rPr>
  </w:style>
  <w:style w:type="paragraph" w:customStyle="1" w:styleId="232">
    <w:name w:val="列表项目符号1"/>
    <w:basedOn w:val="1"/>
    <w:unhideWhenUsed/>
    <w:qFormat/>
    <w:uiPriority w:val="99"/>
    <w:pPr>
      <w:tabs>
        <w:tab w:val="left" w:pos="360"/>
      </w:tabs>
      <w:ind w:left="1236" w:hanging="1236"/>
      <w:contextualSpacing/>
    </w:pPr>
  </w:style>
  <w:style w:type="paragraph" w:customStyle="1" w:styleId="233">
    <w:name w:val="文档结构图11"/>
    <w:basedOn w:val="1"/>
    <w:link w:val="234"/>
    <w:qFormat/>
    <w:uiPriority w:val="99"/>
    <w:rPr>
      <w:rFonts w:ascii="宋体" w:hAnsi="Times New Roman"/>
      <w:sz w:val="18"/>
      <w:szCs w:val="18"/>
    </w:rPr>
  </w:style>
  <w:style w:type="character" w:customStyle="1" w:styleId="234">
    <w:name w:val="文档结构图 Char"/>
    <w:link w:val="233"/>
    <w:qFormat/>
    <w:uiPriority w:val="99"/>
    <w:rPr>
      <w:rFonts w:ascii="宋体" w:hAnsi="Times New Roman" w:eastAsia="宋体" w:cs="Times New Roman"/>
      <w:sz w:val="18"/>
      <w:szCs w:val="18"/>
    </w:rPr>
  </w:style>
  <w:style w:type="paragraph" w:customStyle="1" w:styleId="235">
    <w:name w:val="批注文字1"/>
    <w:basedOn w:val="1"/>
    <w:link w:val="236"/>
    <w:qFormat/>
    <w:uiPriority w:val="99"/>
    <w:pPr>
      <w:jc w:val="left"/>
    </w:pPr>
    <w:rPr>
      <w:rFonts w:ascii="Times New Roman" w:hAnsi="Times New Roman"/>
      <w:sz w:val="20"/>
      <w:szCs w:val="24"/>
    </w:rPr>
  </w:style>
  <w:style w:type="character" w:customStyle="1" w:styleId="236">
    <w:name w:val="批注文字 Char"/>
    <w:link w:val="235"/>
    <w:qFormat/>
    <w:uiPriority w:val="99"/>
    <w:rPr>
      <w:rFonts w:ascii="Times New Roman" w:hAnsi="Times New Roman" w:eastAsia="宋体" w:cs="Times New Roman"/>
      <w:szCs w:val="24"/>
    </w:rPr>
  </w:style>
  <w:style w:type="paragraph" w:customStyle="1" w:styleId="237">
    <w:name w:val="索引 61"/>
    <w:basedOn w:val="1"/>
    <w:next w:val="1"/>
    <w:qFormat/>
    <w:uiPriority w:val="0"/>
    <w:pPr>
      <w:ind w:left="1260" w:hanging="210"/>
      <w:jc w:val="left"/>
    </w:pPr>
    <w:rPr>
      <w:sz w:val="20"/>
      <w:szCs w:val="20"/>
    </w:rPr>
  </w:style>
  <w:style w:type="paragraph" w:customStyle="1" w:styleId="238">
    <w:name w:val="称呼1"/>
    <w:basedOn w:val="1"/>
    <w:next w:val="1"/>
    <w:link w:val="239"/>
    <w:unhideWhenUsed/>
    <w:qFormat/>
    <w:uiPriority w:val="0"/>
    <w:pPr>
      <w:spacing w:line="500" w:lineRule="exact"/>
      <w:ind w:firstLine="560"/>
    </w:pPr>
    <w:rPr>
      <w:rFonts w:ascii="Times New Roman" w:hAnsi="Times New Roman"/>
      <w:sz w:val="20"/>
      <w:szCs w:val="24"/>
    </w:rPr>
  </w:style>
  <w:style w:type="character" w:customStyle="1" w:styleId="239">
    <w:name w:val="称呼 Char2"/>
    <w:link w:val="238"/>
    <w:qFormat/>
    <w:uiPriority w:val="0"/>
    <w:rPr>
      <w:rFonts w:ascii="Times New Roman" w:hAnsi="Times New Roman" w:eastAsia="宋体" w:cs="Times New Roman"/>
      <w:szCs w:val="24"/>
    </w:rPr>
  </w:style>
  <w:style w:type="paragraph" w:customStyle="1" w:styleId="240">
    <w:name w:val="正文文本 311"/>
    <w:basedOn w:val="1"/>
    <w:link w:val="241"/>
    <w:qFormat/>
    <w:uiPriority w:val="0"/>
    <w:rPr>
      <w:rFonts w:ascii="Times New Roman" w:hAnsi="Times New Roman"/>
      <w:sz w:val="16"/>
      <w:szCs w:val="16"/>
    </w:rPr>
  </w:style>
  <w:style w:type="character" w:customStyle="1" w:styleId="241">
    <w:name w:val="正文文本 3 Char"/>
    <w:link w:val="240"/>
    <w:qFormat/>
    <w:uiPriority w:val="0"/>
    <w:rPr>
      <w:rFonts w:ascii="Times New Roman" w:hAnsi="Times New Roman" w:eastAsia="宋体" w:cs="Times New Roman"/>
      <w:sz w:val="16"/>
      <w:szCs w:val="16"/>
    </w:rPr>
  </w:style>
  <w:style w:type="paragraph" w:customStyle="1" w:styleId="242">
    <w:name w:val="列表项目符号 31"/>
    <w:basedOn w:val="1"/>
    <w:unhideWhenUsed/>
    <w:qFormat/>
    <w:uiPriority w:val="99"/>
    <w:pPr>
      <w:tabs>
        <w:tab w:val="left" w:pos="1200"/>
      </w:tabs>
      <w:ind w:left="1236" w:hanging="1236"/>
      <w:contextualSpacing/>
    </w:pPr>
  </w:style>
  <w:style w:type="paragraph" w:customStyle="1" w:styleId="243">
    <w:name w:val="正文文本11"/>
    <w:basedOn w:val="1"/>
    <w:link w:val="244"/>
    <w:qFormat/>
    <w:uiPriority w:val="0"/>
    <w:rPr>
      <w:rFonts w:ascii="Times New Roman" w:hAnsi="Times New Roman"/>
      <w:sz w:val="20"/>
      <w:szCs w:val="24"/>
    </w:rPr>
  </w:style>
  <w:style w:type="character" w:customStyle="1" w:styleId="244">
    <w:name w:val="正文文本 Char"/>
    <w:link w:val="243"/>
    <w:qFormat/>
    <w:uiPriority w:val="0"/>
    <w:rPr>
      <w:rFonts w:ascii="Times New Roman" w:hAnsi="Times New Roman" w:eastAsia="宋体" w:cs="Times New Roman"/>
      <w:szCs w:val="24"/>
    </w:rPr>
  </w:style>
  <w:style w:type="paragraph" w:customStyle="1" w:styleId="245">
    <w:name w:val="正文文本缩进11"/>
    <w:basedOn w:val="1"/>
    <w:link w:val="246"/>
    <w:qFormat/>
    <w:uiPriority w:val="0"/>
    <w:pPr>
      <w:ind w:firstLine="645"/>
    </w:pPr>
    <w:rPr>
      <w:rFonts w:ascii="Times New Roman" w:hAnsi="Times New Roman"/>
      <w:sz w:val="20"/>
      <w:szCs w:val="24"/>
    </w:rPr>
  </w:style>
  <w:style w:type="character" w:customStyle="1" w:styleId="246">
    <w:name w:val="正文文本缩进 Char"/>
    <w:link w:val="245"/>
    <w:qFormat/>
    <w:uiPriority w:val="0"/>
    <w:rPr>
      <w:rFonts w:ascii="Times New Roman" w:hAnsi="Times New Roman" w:eastAsia="宋体" w:cs="Times New Roman"/>
      <w:szCs w:val="24"/>
    </w:rPr>
  </w:style>
  <w:style w:type="paragraph" w:customStyle="1" w:styleId="247">
    <w:name w:val="列表编号 31"/>
    <w:basedOn w:val="1"/>
    <w:qFormat/>
    <w:uiPriority w:val="0"/>
    <w:pPr>
      <w:tabs>
        <w:tab w:val="left" w:pos="1200"/>
      </w:tabs>
      <w:ind w:left="720" w:hanging="720"/>
    </w:pPr>
  </w:style>
  <w:style w:type="paragraph" w:customStyle="1" w:styleId="248">
    <w:name w:val="列表 21"/>
    <w:basedOn w:val="1"/>
    <w:unhideWhenUsed/>
    <w:qFormat/>
    <w:uiPriority w:val="0"/>
    <w:pPr>
      <w:spacing w:line="500" w:lineRule="exact"/>
      <w:ind w:left="100" w:hanging="200"/>
    </w:pPr>
    <w:rPr>
      <w:rFonts w:ascii="Arial" w:hAnsi="Arial" w:eastAsia="仿宋" w:cs="Arial"/>
      <w:sz w:val="28"/>
    </w:rPr>
  </w:style>
  <w:style w:type="paragraph" w:customStyle="1" w:styleId="249">
    <w:name w:val="文本块11"/>
    <w:basedOn w:val="1"/>
    <w:qFormat/>
    <w:uiPriority w:val="0"/>
    <w:pPr>
      <w:ind w:left="630" w:right="630"/>
      <w:jc w:val="center"/>
    </w:pPr>
    <w:rPr>
      <w:rFonts w:ascii="宋体"/>
      <w:b/>
      <w:sz w:val="32"/>
    </w:rPr>
  </w:style>
  <w:style w:type="paragraph" w:customStyle="1" w:styleId="250">
    <w:name w:val="列表项目符号 21"/>
    <w:basedOn w:val="1"/>
    <w:qFormat/>
    <w:uiPriority w:val="0"/>
    <w:pPr>
      <w:tabs>
        <w:tab w:val="left" w:pos="780"/>
      </w:tabs>
      <w:ind w:left="1236" w:hanging="1236"/>
    </w:pPr>
  </w:style>
  <w:style w:type="paragraph" w:customStyle="1" w:styleId="251">
    <w:name w:val="HTML 地址1"/>
    <w:basedOn w:val="1"/>
    <w:link w:val="252"/>
    <w:qFormat/>
    <w:uiPriority w:val="0"/>
    <w:rPr>
      <w:rFonts w:ascii="Times New Roman" w:hAnsi="Times New Roman"/>
      <w:i/>
      <w:iCs/>
      <w:sz w:val="20"/>
      <w:szCs w:val="24"/>
    </w:rPr>
  </w:style>
  <w:style w:type="character" w:customStyle="1" w:styleId="252">
    <w:name w:val="HTML 地址 Char1"/>
    <w:link w:val="251"/>
    <w:qFormat/>
    <w:uiPriority w:val="0"/>
    <w:rPr>
      <w:rFonts w:ascii="Times New Roman" w:hAnsi="Times New Roman" w:eastAsia="宋体" w:cs="Times New Roman"/>
      <w:i/>
      <w:iCs/>
      <w:szCs w:val="24"/>
    </w:rPr>
  </w:style>
  <w:style w:type="paragraph" w:customStyle="1" w:styleId="253">
    <w:name w:val="索引 41"/>
    <w:basedOn w:val="1"/>
    <w:next w:val="1"/>
    <w:unhideWhenUsed/>
    <w:qFormat/>
    <w:uiPriority w:val="0"/>
    <w:pPr>
      <w:ind w:left="600"/>
    </w:pPr>
  </w:style>
  <w:style w:type="paragraph" w:customStyle="1" w:styleId="254">
    <w:name w:val="目录 51"/>
    <w:basedOn w:val="1"/>
    <w:next w:val="1"/>
    <w:unhideWhenUsed/>
    <w:qFormat/>
    <w:uiPriority w:val="39"/>
    <w:pPr>
      <w:ind w:left="1680"/>
    </w:pPr>
    <w:rPr>
      <w:rFonts w:ascii="等线" w:hAnsi="等线" w:eastAsia="等线"/>
    </w:rPr>
  </w:style>
  <w:style w:type="paragraph" w:customStyle="1" w:styleId="255">
    <w:name w:val="目录 31"/>
    <w:basedOn w:val="1"/>
    <w:next w:val="1"/>
    <w:unhideWhenUsed/>
    <w:qFormat/>
    <w:uiPriority w:val="39"/>
    <w:pPr>
      <w:ind w:left="840"/>
    </w:pPr>
  </w:style>
  <w:style w:type="paragraph" w:customStyle="1" w:styleId="256">
    <w:name w:val="纯文本11"/>
    <w:basedOn w:val="1"/>
    <w:link w:val="257"/>
    <w:qFormat/>
    <w:uiPriority w:val="0"/>
    <w:rPr>
      <w:rFonts w:ascii="宋体" w:hAnsi="Courier New"/>
      <w:sz w:val="20"/>
      <w:szCs w:val="21"/>
    </w:rPr>
  </w:style>
  <w:style w:type="character" w:customStyle="1" w:styleId="257">
    <w:name w:val="纯文本 Char"/>
    <w:link w:val="256"/>
    <w:qFormat/>
    <w:uiPriority w:val="0"/>
    <w:rPr>
      <w:rFonts w:ascii="宋体" w:hAnsi="Courier New" w:eastAsia="宋体" w:cs="Courier New"/>
      <w:szCs w:val="21"/>
    </w:rPr>
  </w:style>
  <w:style w:type="paragraph" w:customStyle="1" w:styleId="258">
    <w:name w:val="列表项目符号 51"/>
    <w:basedOn w:val="1"/>
    <w:qFormat/>
    <w:uiPriority w:val="0"/>
    <w:pPr>
      <w:spacing w:line="312" w:lineRule="atLeast"/>
    </w:pPr>
    <w:rPr>
      <w:szCs w:val="20"/>
    </w:rPr>
  </w:style>
  <w:style w:type="paragraph" w:customStyle="1" w:styleId="259">
    <w:name w:val="目录 81"/>
    <w:basedOn w:val="1"/>
    <w:next w:val="1"/>
    <w:unhideWhenUsed/>
    <w:qFormat/>
    <w:uiPriority w:val="39"/>
    <w:pPr>
      <w:ind w:left="2940"/>
    </w:pPr>
    <w:rPr>
      <w:rFonts w:ascii="等线" w:hAnsi="等线" w:eastAsia="等线"/>
    </w:rPr>
  </w:style>
  <w:style w:type="paragraph" w:customStyle="1" w:styleId="260">
    <w:name w:val="索引 31"/>
    <w:basedOn w:val="1"/>
    <w:next w:val="1"/>
    <w:qFormat/>
    <w:uiPriority w:val="0"/>
    <w:pPr>
      <w:ind w:left="630" w:hanging="210"/>
      <w:jc w:val="left"/>
    </w:pPr>
    <w:rPr>
      <w:sz w:val="20"/>
      <w:szCs w:val="20"/>
    </w:rPr>
  </w:style>
  <w:style w:type="paragraph" w:customStyle="1" w:styleId="261">
    <w:name w:val="日期11"/>
    <w:basedOn w:val="1"/>
    <w:next w:val="1"/>
    <w:link w:val="262"/>
    <w:qFormat/>
    <w:uiPriority w:val="0"/>
    <w:pPr>
      <w:ind w:left="100"/>
    </w:pPr>
    <w:rPr>
      <w:rFonts w:ascii="Times New Roman" w:hAnsi="Times New Roman"/>
      <w:sz w:val="20"/>
      <w:szCs w:val="24"/>
    </w:rPr>
  </w:style>
  <w:style w:type="character" w:customStyle="1" w:styleId="262">
    <w:name w:val="日期 Char"/>
    <w:link w:val="261"/>
    <w:qFormat/>
    <w:uiPriority w:val="0"/>
    <w:rPr>
      <w:rFonts w:ascii="Times New Roman" w:hAnsi="Times New Roman" w:eastAsia="宋体" w:cs="Times New Roman"/>
      <w:szCs w:val="24"/>
    </w:rPr>
  </w:style>
  <w:style w:type="paragraph" w:customStyle="1" w:styleId="263">
    <w:name w:val="正文文本缩进 211"/>
    <w:basedOn w:val="1"/>
    <w:link w:val="264"/>
    <w:qFormat/>
    <w:uiPriority w:val="0"/>
    <w:pPr>
      <w:spacing w:line="520" w:lineRule="exact"/>
      <w:ind w:firstLine="560"/>
    </w:pPr>
    <w:rPr>
      <w:rFonts w:ascii="Times New Roman" w:hAnsi="Times New Roman"/>
      <w:sz w:val="20"/>
      <w:szCs w:val="24"/>
    </w:rPr>
  </w:style>
  <w:style w:type="character" w:customStyle="1" w:styleId="264">
    <w:name w:val="正文文本缩进 2 Char"/>
    <w:link w:val="263"/>
    <w:qFormat/>
    <w:uiPriority w:val="0"/>
    <w:rPr>
      <w:rFonts w:ascii="Times New Roman" w:hAnsi="Times New Roman" w:eastAsia="宋体" w:cs="Times New Roman"/>
      <w:szCs w:val="24"/>
    </w:rPr>
  </w:style>
  <w:style w:type="paragraph" w:customStyle="1" w:styleId="265">
    <w:name w:val="尾注文本1"/>
    <w:basedOn w:val="1"/>
    <w:link w:val="266"/>
    <w:qFormat/>
    <w:uiPriority w:val="0"/>
    <w:pPr>
      <w:jc w:val="left"/>
    </w:pPr>
    <w:rPr>
      <w:rFonts w:ascii="Times New Roman" w:hAnsi="Times New Roman"/>
      <w:sz w:val="20"/>
      <w:szCs w:val="24"/>
    </w:rPr>
  </w:style>
  <w:style w:type="character" w:customStyle="1" w:styleId="266">
    <w:name w:val="尾注文本 Char"/>
    <w:link w:val="265"/>
    <w:qFormat/>
    <w:uiPriority w:val="0"/>
    <w:rPr>
      <w:rFonts w:ascii="Times New Roman" w:hAnsi="Times New Roman" w:eastAsia="宋体" w:cs="Times New Roman"/>
      <w:szCs w:val="24"/>
    </w:rPr>
  </w:style>
  <w:style w:type="paragraph" w:customStyle="1" w:styleId="267">
    <w:name w:val="批注框文本1"/>
    <w:basedOn w:val="1"/>
    <w:link w:val="268"/>
    <w:qFormat/>
    <w:uiPriority w:val="0"/>
    <w:rPr>
      <w:rFonts w:ascii="Times New Roman" w:hAnsi="Times New Roman"/>
      <w:sz w:val="18"/>
      <w:szCs w:val="18"/>
    </w:rPr>
  </w:style>
  <w:style w:type="character" w:customStyle="1" w:styleId="268">
    <w:name w:val="批注框文本 Char"/>
    <w:link w:val="267"/>
    <w:qFormat/>
    <w:uiPriority w:val="0"/>
    <w:rPr>
      <w:rFonts w:ascii="Times New Roman" w:hAnsi="Times New Roman" w:eastAsia="宋体" w:cs="Times New Roman"/>
      <w:sz w:val="18"/>
      <w:szCs w:val="18"/>
    </w:rPr>
  </w:style>
  <w:style w:type="paragraph" w:customStyle="1" w:styleId="269">
    <w:name w:val="页脚1"/>
    <w:basedOn w:val="1"/>
    <w:link w:val="270"/>
    <w:unhideWhenUsed/>
    <w:qFormat/>
    <w:uiPriority w:val="99"/>
    <w:pPr>
      <w:tabs>
        <w:tab w:val="center" w:pos="4153"/>
        <w:tab w:val="right" w:pos="8306"/>
      </w:tabs>
      <w:jc w:val="left"/>
    </w:pPr>
    <w:rPr>
      <w:rFonts w:ascii="Times New Roman" w:hAnsi="Times New Roman"/>
      <w:sz w:val="18"/>
      <w:szCs w:val="18"/>
    </w:rPr>
  </w:style>
  <w:style w:type="character" w:customStyle="1" w:styleId="270">
    <w:name w:val="页脚 Char"/>
    <w:link w:val="269"/>
    <w:qFormat/>
    <w:uiPriority w:val="99"/>
    <w:rPr>
      <w:rFonts w:ascii="Times New Roman" w:hAnsi="Times New Roman" w:eastAsia="宋体" w:cs="Times New Roman"/>
      <w:sz w:val="18"/>
      <w:szCs w:val="18"/>
    </w:rPr>
  </w:style>
  <w:style w:type="paragraph" w:customStyle="1" w:styleId="271">
    <w:name w:val="页眉1"/>
    <w:basedOn w:val="1"/>
    <w:link w:val="272"/>
    <w:unhideWhenUsed/>
    <w:qFormat/>
    <w:uiPriority w:val="99"/>
    <w:pPr>
      <w:pBdr>
        <w:bottom w:val="single" w:color="000000" w:sz="6" w:space="1"/>
      </w:pBdr>
      <w:tabs>
        <w:tab w:val="center" w:pos="4153"/>
        <w:tab w:val="right" w:pos="8306"/>
      </w:tabs>
      <w:jc w:val="center"/>
    </w:pPr>
    <w:rPr>
      <w:rFonts w:ascii="Times New Roman" w:hAnsi="Times New Roman"/>
      <w:sz w:val="18"/>
      <w:szCs w:val="18"/>
    </w:rPr>
  </w:style>
  <w:style w:type="character" w:customStyle="1" w:styleId="272">
    <w:name w:val="页眉 Char"/>
    <w:link w:val="271"/>
    <w:qFormat/>
    <w:uiPriority w:val="99"/>
    <w:rPr>
      <w:rFonts w:ascii="Times New Roman" w:hAnsi="Times New Roman" w:eastAsia="宋体" w:cs="Times New Roman"/>
      <w:sz w:val="18"/>
      <w:szCs w:val="18"/>
    </w:rPr>
  </w:style>
  <w:style w:type="paragraph" w:customStyle="1" w:styleId="273">
    <w:name w:val="目录 11"/>
    <w:basedOn w:val="1"/>
    <w:next w:val="1"/>
    <w:unhideWhenUsed/>
    <w:qFormat/>
    <w:uiPriority w:val="39"/>
  </w:style>
  <w:style w:type="paragraph" w:customStyle="1" w:styleId="274">
    <w:name w:val="目录 41"/>
    <w:basedOn w:val="1"/>
    <w:next w:val="1"/>
    <w:unhideWhenUsed/>
    <w:qFormat/>
    <w:uiPriority w:val="39"/>
    <w:pPr>
      <w:ind w:left="1260"/>
    </w:pPr>
    <w:rPr>
      <w:rFonts w:ascii="等线" w:hAnsi="等线" w:eastAsia="等线"/>
    </w:rPr>
  </w:style>
  <w:style w:type="paragraph" w:customStyle="1" w:styleId="275">
    <w:name w:val="索引标题1"/>
    <w:basedOn w:val="1"/>
    <w:next w:val="276"/>
    <w:unhideWhenUsed/>
    <w:qFormat/>
    <w:uiPriority w:val="0"/>
    <w:pPr>
      <w:spacing w:line="300" w:lineRule="auto"/>
    </w:pPr>
    <w:rPr>
      <w:rFonts w:eastAsia="楷体_GB2312"/>
      <w:sz w:val="24"/>
    </w:rPr>
  </w:style>
  <w:style w:type="paragraph" w:customStyle="1" w:styleId="276">
    <w:name w:val="索引 11"/>
    <w:basedOn w:val="1"/>
    <w:next w:val="1"/>
    <w:unhideWhenUsed/>
    <w:qFormat/>
    <w:uiPriority w:val="0"/>
  </w:style>
  <w:style w:type="paragraph" w:customStyle="1" w:styleId="277">
    <w:name w:val="副标题1"/>
    <w:basedOn w:val="1"/>
    <w:next w:val="1"/>
    <w:link w:val="278"/>
    <w:qFormat/>
    <w:uiPriority w:val="0"/>
    <w:pPr>
      <w:spacing w:before="240" w:after="60" w:line="312" w:lineRule="auto"/>
      <w:jc w:val="center"/>
      <w:outlineLvl w:val="1"/>
    </w:pPr>
    <w:rPr>
      <w:rFonts w:ascii="等线 Light" w:hAnsi="等线 Light"/>
      <w:b/>
      <w:bCs/>
      <w:sz w:val="32"/>
      <w:szCs w:val="32"/>
    </w:rPr>
  </w:style>
  <w:style w:type="character" w:customStyle="1" w:styleId="278">
    <w:name w:val="副标题 Char"/>
    <w:link w:val="277"/>
    <w:qFormat/>
    <w:uiPriority w:val="0"/>
    <w:rPr>
      <w:rFonts w:ascii="等线 Light" w:hAnsi="等线 Light" w:eastAsia="宋体" w:cs="Times New Roman"/>
      <w:b/>
      <w:bCs/>
      <w:sz w:val="32"/>
      <w:szCs w:val="32"/>
    </w:rPr>
  </w:style>
  <w:style w:type="paragraph" w:customStyle="1" w:styleId="279">
    <w:name w:val="脚注文本1"/>
    <w:basedOn w:val="1"/>
    <w:link w:val="280"/>
    <w:unhideWhenUsed/>
    <w:qFormat/>
    <w:uiPriority w:val="0"/>
    <w:pPr>
      <w:jc w:val="left"/>
    </w:pPr>
    <w:rPr>
      <w:rFonts w:ascii="Times New Roman" w:hAnsi="Times New Roman"/>
      <w:sz w:val="18"/>
      <w:szCs w:val="18"/>
    </w:rPr>
  </w:style>
  <w:style w:type="character" w:customStyle="1" w:styleId="280">
    <w:name w:val="脚注文本 Char"/>
    <w:link w:val="279"/>
    <w:qFormat/>
    <w:uiPriority w:val="0"/>
    <w:rPr>
      <w:rFonts w:ascii="Times New Roman" w:hAnsi="Times New Roman" w:eastAsia="宋体" w:cs="Times New Roman"/>
      <w:sz w:val="18"/>
      <w:szCs w:val="18"/>
    </w:rPr>
  </w:style>
  <w:style w:type="paragraph" w:customStyle="1" w:styleId="281">
    <w:name w:val="目录 61"/>
    <w:basedOn w:val="1"/>
    <w:next w:val="1"/>
    <w:unhideWhenUsed/>
    <w:qFormat/>
    <w:uiPriority w:val="39"/>
    <w:pPr>
      <w:ind w:left="2100"/>
    </w:pPr>
    <w:rPr>
      <w:rFonts w:ascii="等线" w:hAnsi="等线" w:eastAsia="等线"/>
    </w:rPr>
  </w:style>
  <w:style w:type="paragraph" w:customStyle="1" w:styleId="282">
    <w:name w:val="正文文本缩进 311"/>
    <w:basedOn w:val="1"/>
    <w:link w:val="283"/>
    <w:qFormat/>
    <w:uiPriority w:val="0"/>
    <w:pPr>
      <w:ind w:left="520" w:firstLine="425"/>
      <w:jc w:val="center"/>
    </w:pPr>
    <w:rPr>
      <w:rFonts w:ascii="Times New Roman" w:hAnsi="Times New Roman"/>
      <w:sz w:val="16"/>
      <w:szCs w:val="16"/>
    </w:rPr>
  </w:style>
  <w:style w:type="character" w:customStyle="1" w:styleId="283">
    <w:name w:val="正文文本缩进 3 Char"/>
    <w:link w:val="282"/>
    <w:qFormat/>
    <w:uiPriority w:val="0"/>
    <w:rPr>
      <w:rFonts w:ascii="Times New Roman" w:hAnsi="Times New Roman" w:eastAsia="宋体" w:cs="Times New Roman"/>
      <w:sz w:val="16"/>
      <w:szCs w:val="16"/>
    </w:rPr>
  </w:style>
  <w:style w:type="paragraph" w:customStyle="1" w:styleId="284">
    <w:name w:val="索引 71"/>
    <w:basedOn w:val="1"/>
    <w:next w:val="1"/>
    <w:qFormat/>
    <w:uiPriority w:val="0"/>
    <w:pPr>
      <w:ind w:left="1470" w:hanging="210"/>
      <w:jc w:val="left"/>
    </w:pPr>
    <w:rPr>
      <w:sz w:val="20"/>
      <w:szCs w:val="20"/>
    </w:rPr>
  </w:style>
  <w:style w:type="paragraph" w:customStyle="1" w:styleId="285">
    <w:name w:val="索引 91"/>
    <w:basedOn w:val="1"/>
    <w:next w:val="1"/>
    <w:qFormat/>
    <w:uiPriority w:val="0"/>
    <w:pPr>
      <w:ind w:left="1890" w:hanging="210"/>
      <w:jc w:val="left"/>
    </w:pPr>
    <w:rPr>
      <w:sz w:val="20"/>
      <w:szCs w:val="20"/>
    </w:rPr>
  </w:style>
  <w:style w:type="paragraph" w:customStyle="1" w:styleId="286">
    <w:name w:val="图表目录11"/>
    <w:basedOn w:val="1"/>
    <w:next w:val="1"/>
    <w:unhideWhenUsed/>
    <w:qFormat/>
    <w:uiPriority w:val="0"/>
    <w:pPr>
      <w:spacing w:line="500" w:lineRule="exact"/>
      <w:ind w:left="420" w:hanging="420"/>
      <w:jc w:val="left"/>
    </w:pPr>
    <w:rPr>
      <w:rFonts w:eastAsia="仿宋"/>
      <w:smallCaps/>
      <w:sz w:val="20"/>
      <w:szCs w:val="20"/>
    </w:rPr>
  </w:style>
  <w:style w:type="paragraph" w:customStyle="1" w:styleId="287">
    <w:name w:val="目录 21"/>
    <w:basedOn w:val="1"/>
    <w:next w:val="1"/>
    <w:unhideWhenUsed/>
    <w:qFormat/>
    <w:uiPriority w:val="39"/>
    <w:pPr>
      <w:ind w:left="420"/>
    </w:pPr>
  </w:style>
  <w:style w:type="paragraph" w:customStyle="1" w:styleId="288">
    <w:name w:val="目录 91"/>
    <w:basedOn w:val="1"/>
    <w:next w:val="1"/>
    <w:unhideWhenUsed/>
    <w:qFormat/>
    <w:uiPriority w:val="39"/>
    <w:pPr>
      <w:ind w:left="3360"/>
    </w:pPr>
  </w:style>
  <w:style w:type="paragraph" w:customStyle="1" w:styleId="289">
    <w:name w:val="正文文本 211"/>
    <w:basedOn w:val="1"/>
    <w:link w:val="290"/>
    <w:qFormat/>
    <w:uiPriority w:val="0"/>
    <w:pPr>
      <w:spacing w:after="120" w:line="480" w:lineRule="auto"/>
    </w:pPr>
    <w:rPr>
      <w:rFonts w:ascii="Times New Roman" w:hAnsi="Times New Roman"/>
      <w:sz w:val="20"/>
      <w:szCs w:val="24"/>
    </w:rPr>
  </w:style>
  <w:style w:type="character" w:customStyle="1" w:styleId="290">
    <w:name w:val="正文文本 2 Char"/>
    <w:link w:val="289"/>
    <w:qFormat/>
    <w:uiPriority w:val="0"/>
    <w:rPr>
      <w:rFonts w:ascii="Times New Roman" w:hAnsi="Times New Roman" w:eastAsia="宋体" w:cs="Times New Roman"/>
      <w:szCs w:val="24"/>
    </w:rPr>
  </w:style>
  <w:style w:type="paragraph" w:customStyle="1" w:styleId="291">
    <w:name w:val="HTML 预设格式1"/>
    <w:basedOn w:val="1"/>
    <w:link w:val="292"/>
    <w:qFormat/>
    <w:uiPriority w:val="0"/>
    <w:rPr>
      <w:rFonts w:ascii="Courier New" w:hAnsi="Courier New"/>
      <w:sz w:val="20"/>
      <w:szCs w:val="20"/>
    </w:rPr>
  </w:style>
  <w:style w:type="character" w:customStyle="1" w:styleId="292">
    <w:name w:val="HTML 预设格式 Char1"/>
    <w:link w:val="291"/>
    <w:qFormat/>
    <w:uiPriority w:val="0"/>
    <w:rPr>
      <w:rFonts w:ascii="Courier New" w:hAnsi="Courier New" w:eastAsia="宋体" w:cs="Courier New"/>
      <w:sz w:val="20"/>
      <w:szCs w:val="20"/>
    </w:rPr>
  </w:style>
  <w:style w:type="paragraph" w:customStyle="1" w:styleId="293">
    <w:name w:val="普通(网站)11"/>
    <w:basedOn w:val="1"/>
    <w:link w:val="294"/>
    <w:qFormat/>
    <w:uiPriority w:val="0"/>
    <w:pPr>
      <w:widowControl/>
      <w:spacing w:before="100" w:beforeAutospacing="1" w:after="100" w:afterAutospacing="1"/>
      <w:jc w:val="left"/>
    </w:pPr>
    <w:rPr>
      <w:rFonts w:ascii="宋体" w:hAnsi="宋体"/>
      <w:color w:val="000000"/>
      <w:sz w:val="24"/>
      <w:szCs w:val="24"/>
    </w:rPr>
  </w:style>
  <w:style w:type="character" w:customStyle="1" w:styleId="294">
    <w:name w:val="普通(网站) Char1"/>
    <w:link w:val="293"/>
    <w:qFormat/>
    <w:uiPriority w:val="0"/>
    <w:rPr>
      <w:rFonts w:ascii="宋体" w:hAnsi="宋体" w:cs="宋体"/>
      <w:color w:val="000000"/>
      <w:sz w:val="24"/>
      <w:szCs w:val="24"/>
    </w:rPr>
  </w:style>
  <w:style w:type="paragraph" w:customStyle="1" w:styleId="295">
    <w:name w:val="索引 21"/>
    <w:basedOn w:val="1"/>
    <w:next w:val="1"/>
    <w:qFormat/>
    <w:uiPriority w:val="0"/>
    <w:pPr>
      <w:ind w:left="420" w:hanging="210"/>
      <w:jc w:val="left"/>
    </w:pPr>
    <w:rPr>
      <w:sz w:val="20"/>
      <w:szCs w:val="20"/>
    </w:rPr>
  </w:style>
  <w:style w:type="paragraph" w:customStyle="1" w:styleId="296">
    <w:name w:val="标题111"/>
    <w:basedOn w:val="1"/>
    <w:next w:val="1"/>
    <w:link w:val="297"/>
    <w:qFormat/>
    <w:uiPriority w:val="10"/>
    <w:pPr>
      <w:spacing w:before="240" w:after="60"/>
      <w:jc w:val="center"/>
      <w:outlineLvl w:val="0"/>
    </w:pPr>
    <w:rPr>
      <w:rFonts w:ascii="等线 Light" w:hAnsi="等线 Light"/>
      <w:b/>
      <w:bCs/>
      <w:sz w:val="32"/>
      <w:szCs w:val="32"/>
    </w:rPr>
  </w:style>
  <w:style w:type="character" w:customStyle="1" w:styleId="297">
    <w:name w:val="标题 Char"/>
    <w:link w:val="296"/>
    <w:qFormat/>
    <w:uiPriority w:val="10"/>
    <w:rPr>
      <w:rFonts w:ascii="等线 Light" w:hAnsi="等线 Light" w:eastAsia="宋体" w:cs="Times New Roman"/>
      <w:b/>
      <w:bCs/>
      <w:sz w:val="32"/>
      <w:szCs w:val="32"/>
    </w:rPr>
  </w:style>
  <w:style w:type="paragraph" w:customStyle="1" w:styleId="298">
    <w:name w:val="批注主题11"/>
    <w:basedOn w:val="235"/>
    <w:next w:val="235"/>
    <w:link w:val="299"/>
    <w:qFormat/>
    <w:uiPriority w:val="99"/>
    <w:rPr>
      <w:b/>
      <w:bCs/>
    </w:rPr>
  </w:style>
  <w:style w:type="character" w:customStyle="1" w:styleId="299">
    <w:name w:val="批注主题 Char"/>
    <w:link w:val="298"/>
    <w:qFormat/>
    <w:uiPriority w:val="99"/>
    <w:rPr>
      <w:rFonts w:ascii="Times New Roman" w:hAnsi="Times New Roman" w:eastAsia="宋体" w:cs="Times New Roman"/>
      <w:b/>
      <w:bCs/>
      <w:szCs w:val="24"/>
    </w:rPr>
  </w:style>
  <w:style w:type="paragraph" w:customStyle="1" w:styleId="300">
    <w:name w:val="正文首行缩进11"/>
    <w:basedOn w:val="243"/>
    <w:link w:val="301"/>
    <w:unhideWhenUsed/>
    <w:qFormat/>
    <w:uiPriority w:val="0"/>
    <w:pPr>
      <w:spacing w:after="120"/>
      <w:ind w:firstLine="420"/>
    </w:pPr>
  </w:style>
  <w:style w:type="character" w:customStyle="1" w:styleId="301">
    <w:name w:val="正文首行缩进 Char"/>
    <w:link w:val="300"/>
    <w:semiHidden/>
    <w:qFormat/>
    <w:uiPriority w:val="0"/>
    <w:rPr>
      <w:rFonts w:ascii="Times New Roman" w:hAnsi="Times New Roman" w:eastAsia="宋体" w:cs="Times New Roman"/>
      <w:szCs w:val="24"/>
    </w:rPr>
  </w:style>
  <w:style w:type="paragraph" w:customStyle="1" w:styleId="302">
    <w:name w:val="正文首行缩进 21"/>
    <w:basedOn w:val="245"/>
    <w:link w:val="303"/>
    <w:unhideWhenUsed/>
    <w:qFormat/>
    <w:uiPriority w:val="0"/>
    <w:pPr>
      <w:spacing w:after="120"/>
      <w:ind w:left="420" w:firstLine="420"/>
    </w:pPr>
  </w:style>
  <w:style w:type="character" w:customStyle="1" w:styleId="303">
    <w:name w:val="正文首行缩进 2 Char2"/>
    <w:link w:val="302"/>
    <w:semiHidden/>
    <w:qFormat/>
    <w:uiPriority w:val="0"/>
    <w:rPr>
      <w:rFonts w:ascii="Times New Roman" w:hAnsi="Times New Roman" w:eastAsia="宋体" w:cs="Times New Roman"/>
      <w:szCs w:val="24"/>
    </w:rPr>
  </w:style>
  <w:style w:type="table" w:customStyle="1" w:styleId="304">
    <w:name w:val="网格型111"/>
    <w:basedOn w:val="221"/>
    <w:unhideWhenUsed/>
    <w:qFormat/>
    <w:uiPriority w:val="59"/>
  </w:style>
  <w:style w:type="table" w:customStyle="1" w:styleId="305">
    <w:name w:val="表格主题1"/>
    <w:basedOn w:val="221"/>
    <w:qFormat/>
    <w:uiPriority w:val="0"/>
    <w:pPr>
      <w:widowControl w:val="0"/>
      <w:jc w:val="both"/>
    </w:pPr>
  </w:style>
  <w:style w:type="table" w:customStyle="1" w:styleId="306">
    <w:name w:val="典雅型11"/>
    <w:basedOn w:val="221"/>
    <w:unhideWhenUsed/>
    <w:qFormat/>
    <w:uiPriority w:val="0"/>
    <w:pPr>
      <w:widowControl w:val="0"/>
      <w:jc w:val="both"/>
    </w:pPr>
  </w:style>
  <w:style w:type="character" w:customStyle="1" w:styleId="307">
    <w:name w:val="要点1"/>
    <w:qFormat/>
    <w:uiPriority w:val="0"/>
    <w:rPr>
      <w:b/>
      <w:bCs/>
    </w:rPr>
  </w:style>
  <w:style w:type="character" w:customStyle="1" w:styleId="308">
    <w:name w:val="尾注引用1"/>
    <w:qFormat/>
    <w:uiPriority w:val="0"/>
    <w:rPr>
      <w:vertAlign w:val="superscript"/>
    </w:rPr>
  </w:style>
  <w:style w:type="character" w:customStyle="1" w:styleId="309">
    <w:name w:val="页码11"/>
    <w:qFormat/>
    <w:uiPriority w:val="0"/>
  </w:style>
  <w:style w:type="character" w:customStyle="1" w:styleId="310">
    <w:name w:val="已访问的超链接1"/>
    <w:unhideWhenUsed/>
    <w:qFormat/>
    <w:uiPriority w:val="99"/>
    <w:rPr>
      <w:color w:val="954F72"/>
      <w:u w:val="single"/>
    </w:rPr>
  </w:style>
  <w:style w:type="character" w:customStyle="1" w:styleId="311">
    <w:name w:val="强调1"/>
    <w:qFormat/>
    <w:uiPriority w:val="20"/>
    <w:rPr>
      <w:color w:val="CC0000"/>
    </w:rPr>
  </w:style>
  <w:style w:type="character" w:customStyle="1" w:styleId="312">
    <w:name w:val="HTML 定义1"/>
    <w:unhideWhenUsed/>
    <w:qFormat/>
    <w:uiPriority w:val="0"/>
  </w:style>
  <w:style w:type="character" w:customStyle="1" w:styleId="313">
    <w:name w:val="HTML 打字机1"/>
    <w:unhideWhenUsed/>
    <w:qFormat/>
    <w:uiPriority w:val="0"/>
    <w:rPr>
      <w:rFonts w:ascii="Courier New" w:hAnsi="Courier New" w:eastAsia="Courier New" w:cs="Courier New"/>
      <w:sz w:val="24"/>
      <w:szCs w:val="24"/>
    </w:rPr>
  </w:style>
  <w:style w:type="character" w:customStyle="1" w:styleId="314">
    <w:name w:val="HTML 缩写1"/>
    <w:qFormat/>
    <w:uiPriority w:val="0"/>
  </w:style>
  <w:style w:type="character" w:customStyle="1" w:styleId="315">
    <w:name w:val="HTML 变量1"/>
    <w:unhideWhenUsed/>
    <w:qFormat/>
    <w:uiPriority w:val="0"/>
  </w:style>
  <w:style w:type="character" w:customStyle="1" w:styleId="316">
    <w:name w:val="超链接1"/>
    <w:qFormat/>
    <w:uiPriority w:val="99"/>
    <w:rPr>
      <w:color w:val="0000FF"/>
      <w:u w:val="single"/>
    </w:rPr>
  </w:style>
  <w:style w:type="character" w:customStyle="1" w:styleId="317">
    <w:name w:val="HTML 代码1"/>
    <w:unhideWhenUsed/>
    <w:qFormat/>
    <w:uiPriority w:val="0"/>
    <w:rPr>
      <w:rFonts w:ascii="Courier New" w:hAnsi="Courier New" w:eastAsia="Courier New" w:cs="Courier New"/>
      <w:sz w:val="24"/>
      <w:szCs w:val="24"/>
    </w:rPr>
  </w:style>
  <w:style w:type="character" w:customStyle="1" w:styleId="318">
    <w:name w:val="批注引用11"/>
    <w:qFormat/>
    <w:uiPriority w:val="99"/>
    <w:rPr>
      <w:sz w:val="21"/>
      <w:szCs w:val="21"/>
    </w:rPr>
  </w:style>
  <w:style w:type="character" w:customStyle="1" w:styleId="319">
    <w:name w:val="HTML 引文1"/>
    <w:unhideWhenUsed/>
    <w:qFormat/>
    <w:uiPriority w:val="0"/>
  </w:style>
  <w:style w:type="character" w:customStyle="1" w:styleId="320">
    <w:name w:val="脚注引用1"/>
    <w:unhideWhenUsed/>
    <w:qFormat/>
    <w:uiPriority w:val="0"/>
    <w:rPr>
      <w:vertAlign w:val="superscript"/>
    </w:rPr>
  </w:style>
  <w:style w:type="character" w:customStyle="1" w:styleId="321">
    <w:name w:val="HTML 键盘1"/>
    <w:unhideWhenUsed/>
    <w:qFormat/>
    <w:uiPriority w:val="0"/>
    <w:rPr>
      <w:rFonts w:ascii="Courier New" w:hAnsi="Courier New" w:eastAsia="Courier New" w:cs="Courier New"/>
      <w:sz w:val="24"/>
      <w:szCs w:val="24"/>
    </w:rPr>
  </w:style>
  <w:style w:type="character" w:customStyle="1" w:styleId="322">
    <w:name w:val="HTML 样本1"/>
    <w:unhideWhenUsed/>
    <w:qFormat/>
    <w:uiPriority w:val="0"/>
    <w:rPr>
      <w:rFonts w:ascii="Courier New" w:hAnsi="Courier New" w:eastAsia="Courier New" w:cs="Courier New"/>
    </w:rPr>
  </w:style>
  <w:style w:type="paragraph" w:customStyle="1" w:styleId="323">
    <w:name w:val="列表段落1"/>
    <w:basedOn w:val="1"/>
    <w:link w:val="324"/>
    <w:qFormat/>
    <w:uiPriority w:val="34"/>
    <w:pPr>
      <w:ind w:firstLine="420"/>
    </w:pPr>
    <w:rPr>
      <w:rFonts w:ascii="Times New Roman" w:hAnsi="Times New Roman"/>
      <w:sz w:val="20"/>
      <w:szCs w:val="24"/>
    </w:rPr>
  </w:style>
  <w:style w:type="character" w:customStyle="1" w:styleId="324">
    <w:name w:val="列出段落 Char"/>
    <w:link w:val="323"/>
    <w:qFormat/>
    <w:uiPriority w:val="34"/>
    <w:rPr>
      <w:rFonts w:ascii="Times New Roman" w:hAnsi="Times New Roman" w:eastAsia="宋体" w:cs="Times New Roman"/>
      <w:szCs w:val="24"/>
    </w:rPr>
  </w:style>
  <w:style w:type="paragraph" w:customStyle="1" w:styleId="325">
    <w:name w:val="_Style 18"/>
    <w:basedOn w:val="1"/>
    <w:next w:val="323"/>
    <w:qFormat/>
    <w:uiPriority w:val="34"/>
    <w:pPr>
      <w:ind w:firstLine="420"/>
    </w:pPr>
  </w:style>
  <w:style w:type="character" w:customStyle="1" w:styleId="326">
    <w:name w:val="htd0"/>
    <w:qFormat/>
    <w:uiPriority w:val="0"/>
  </w:style>
  <w:style w:type="character" w:customStyle="1" w:styleId="327">
    <w:name w:val="标题 1 Char"/>
    <w:qFormat/>
    <w:uiPriority w:val="9"/>
    <w:rPr>
      <w:rFonts w:ascii="Times New Roman" w:hAnsi="Times New Roman" w:eastAsia="宋体" w:cs="Times New Roman"/>
      <w:b/>
      <w:bCs/>
      <w:sz w:val="44"/>
      <w:szCs w:val="44"/>
    </w:rPr>
  </w:style>
  <w:style w:type="character" w:customStyle="1" w:styleId="328">
    <w:name w:val="标题 3 Char"/>
    <w:qFormat/>
    <w:uiPriority w:val="9"/>
    <w:rPr>
      <w:rFonts w:ascii="Times New Roman" w:hAnsi="Times New Roman" w:eastAsia="宋体" w:cs="Times New Roman"/>
      <w:b/>
      <w:bCs/>
      <w:sz w:val="32"/>
      <w:szCs w:val="32"/>
    </w:rPr>
  </w:style>
  <w:style w:type="character" w:customStyle="1" w:styleId="329">
    <w:name w:val="标题 4 Char"/>
    <w:semiHidden/>
    <w:qFormat/>
    <w:uiPriority w:val="9"/>
    <w:rPr>
      <w:rFonts w:ascii="等线 Light" w:hAnsi="等线 Light" w:eastAsia="等线 Light" w:cs="Times New Roman"/>
      <w:b/>
      <w:bCs/>
      <w:sz w:val="28"/>
      <w:szCs w:val="28"/>
    </w:rPr>
  </w:style>
  <w:style w:type="character" w:customStyle="1" w:styleId="330">
    <w:name w:val="标题 5 Char"/>
    <w:semiHidden/>
    <w:qFormat/>
    <w:uiPriority w:val="9"/>
    <w:rPr>
      <w:rFonts w:ascii="Times New Roman" w:hAnsi="Times New Roman" w:eastAsia="宋体" w:cs="Times New Roman"/>
      <w:b/>
      <w:bCs/>
      <w:sz w:val="28"/>
      <w:szCs w:val="28"/>
    </w:rPr>
  </w:style>
  <w:style w:type="character" w:customStyle="1" w:styleId="331">
    <w:name w:val="标题 6 Char"/>
    <w:semiHidden/>
    <w:qFormat/>
    <w:uiPriority w:val="9"/>
    <w:rPr>
      <w:rFonts w:ascii="等线 Light" w:hAnsi="等线 Light" w:eastAsia="等线 Light" w:cs="Times New Roman"/>
      <w:b/>
      <w:bCs/>
      <w:sz w:val="24"/>
      <w:szCs w:val="24"/>
    </w:rPr>
  </w:style>
  <w:style w:type="character" w:customStyle="1" w:styleId="332">
    <w:name w:val="标题 7 Char"/>
    <w:semiHidden/>
    <w:qFormat/>
    <w:uiPriority w:val="9"/>
    <w:rPr>
      <w:rFonts w:ascii="Times New Roman" w:hAnsi="Times New Roman" w:eastAsia="宋体" w:cs="Times New Roman"/>
      <w:b/>
      <w:bCs/>
      <w:sz w:val="24"/>
      <w:szCs w:val="24"/>
    </w:rPr>
  </w:style>
  <w:style w:type="character" w:customStyle="1" w:styleId="333">
    <w:name w:val="标题 8 Char"/>
    <w:semiHidden/>
    <w:qFormat/>
    <w:uiPriority w:val="9"/>
    <w:rPr>
      <w:rFonts w:ascii="等线 Light" w:hAnsi="等线 Light" w:eastAsia="等线 Light" w:cs="Times New Roman"/>
      <w:sz w:val="24"/>
      <w:szCs w:val="24"/>
    </w:rPr>
  </w:style>
  <w:style w:type="character" w:customStyle="1" w:styleId="334">
    <w:name w:val="标题 9 Char"/>
    <w:semiHidden/>
    <w:qFormat/>
    <w:uiPriority w:val="9"/>
    <w:rPr>
      <w:rFonts w:ascii="等线 Light" w:hAnsi="等线 Light" w:eastAsia="等线 Light" w:cs="Times New Roman"/>
      <w:szCs w:val="21"/>
    </w:rPr>
  </w:style>
  <w:style w:type="paragraph" w:customStyle="1" w:styleId="335">
    <w:name w:val="_Style 31"/>
    <w:basedOn w:val="1"/>
    <w:next w:val="323"/>
    <w:qFormat/>
    <w:uiPriority w:val="34"/>
    <w:pPr>
      <w:ind w:firstLine="420"/>
    </w:pPr>
  </w:style>
  <w:style w:type="character" w:customStyle="1" w:styleId="336">
    <w:name w:val="style31"/>
    <w:qFormat/>
    <w:uiPriority w:val="0"/>
    <w:rPr>
      <w:sz w:val="21"/>
      <w:szCs w:val="21"/>
    </w:rPr>
  </w:style>
  <w:style w:type="character" w:customStyle="1" w:styleId="337">
    <w:name w:val="页脚 字符"/>
    <w:qFormat/>
    <w:uiPriority w:val="99"/>
    <w:rPr>
      <w:sz w:val="18"/>
    </w:rPr>
  </w:style>
  <w:style w:type="character" w:customStyle="1" w:styleId="338">
    <w:name w:val="正文文本缩进 Char4"/>
    <w:qFormat/>
    <w:uiPriority w:val="0"/>
    <w:rPr>
      <w:rFonts w:ascii="楷体_GB2312" w:eastAsia="楷体_GB2312"/>
      <w:sz w:val="32"/>
    </w:rPr>
  </w:style>
  <w:style w:type="character" w:customStyle="1" w:styleId="339">
    <w:name w:val="普通文字 Char Char Char"/>
    <w:qFormat/>
    <w:uiPriority w:val="0"/>
    <w:rPr>
      <w:rFonts w:ascii="宋体" w:hAnsi="Courier New" w:eastAsia="宋体" w:cs="Courier New"/>
      <w:sz w:val="21"/>
      <w:szCs w:val="21"/>
      <w:lang w:val="en-US" w:eastAsia="zh-CN" w:bidi="ar-SA"/>
    </w:rPr>
  </w:style>
  <w:style w:type="character" w:customStyle="1" w:styleId="340">
    <w:name w:val="段落 Char1"/>
    <w:link w:val="341"/>
    <w:qFormat/>
    <w:uiPriority w:val="0"/>
    <w:rPr>
      <w:rFonts w:ascii="等线" w:hAnsi="等线" w:eastAsia="仿宋_GB2312"/>
      <w:sz w:val="24"/>
      <w:szCs w:val="24"/>
      <w:lang w:val="en-US" w:eastAsia="zh-CN" w:bidi="ar-SA"/>
    </w:rPr>
  </w:style>
  <w:style w:type="paragraph" w:customStyle="1" w:styleId="341">
    <w:name w:val="段落"/>
    <w:link w:val="340"/>
    <w:qFormat/>
    <w:uiPriority w:val="0"/>
    <w:pPr>
      <w:spacing w:before="120" w:after="120" w:line="360" w:lineRule="auto"/>
      <w:ind w:firstLine="420"/>
      <w:jc w:val="both"/>
    </w:pPr>
    <w:rPr>
      <w:rFonts w:ascii="等线" w:hAnsi="等线" w:eastAsia="仿宋_GB2312" w:cs="Times New Roman"/>
      <w:sz w:val="24"/>
      <w:szCs w:val="24"/>
      <w:lang w:val="en-US" w:eastAsia="zh-CN" w:bidi="ar-SA"/>
    </w:rPr>
  </w:style>
  <w:style w:type="character" w:customStyle="1" w:styleId="342">
    <w:name w:val="批注框文本 Char4"/>
    <w:qFormat/>
    <w:uiPriority w:val="0"/>
    <w:rPr>
      <w:sz w:val="18"/>
      <w:szCs w:val="18"/>
    </w:rPr>
  </w:style>
  <w:style w:type="character" w:customStyle="1" w:styleId="343">
    <w:name w:val="纯文本 Char3"/>
    <w:qFormat/>
    <w:uiPriority w:val="0"/>
    <w:rPr>
      <w:rFonts w:ascii="宋体" w:hAnsi="Courier New" w:cs="Courier New"/>
      <w:szCs w:val="21"/>
    </w:rPr>
  </w:style>
  <w:style w:type="character" w:customStyle="1" w:styleId="344">
    <w:name w:val="_正文段落 Char Char"/>
    <w:link w:val="345"/>
    <w:qFormat/>
    <w:uiPriority w:val="0"/>
    <w:rPr>
      <w:rFonts w:ascii="宋体" w:hAnsi="宋体"/>
      <w:sz w:val="24"/>
      <w:szCs w:val="28"/>
    </w:rPr>
  </w:style>
  <w:style w:type="paragraph" w:customStyle="1" w:styleId="345">
    <w:name w:val="_正文段落"/>
    <w:basedOn w:val="1"/>
    <w:link w:val="344"/>
    <w:qFormat/>
    <w:uiPriority w:val="0"/>
    <w:pPr>
      <w:spacing w:line="360" w:lineRule="auto"/>
      <w:ind w:firstLine="480"/>
    </w:pPr>
    <w:rPr>
      <w:rFonts w:ascii="宋体" w:hAnsi="宋体"/>
      <w:sz w:val="24"/>
      <w:szCs w:val="28"/>
    </w:rPr>
  </w:style>
  <w:style w:type="character" w:customStyle="1" w:styleId="346">
    <w:name w:val="正文文本 Char4"/>
    <w:qFormat/>
    <w:uiPriority w:val="0"/>
    <w:rPr>
      <w:rFonts w:ascii="楷体_GB2312" w:hAnsi="Arial" w:eastAsia="楷体_GB2312"/>
      <w:sz w:val="28"/>
    </w:rPr>
  </w:style>
  <w:style w:type="character" w:customStyle="1" w:styleId="347">
    <w:name w:val="标题 2 字符"/>
    <w:qFormat/>
    <w:uiPriority w:val="0"/>
    <w:rPr>
      <w:rFonts w:ascii="幼圆" w:hAnsi="Arial" w:eastAsia="楷体_GB2312"/>
      <w:b/>
      <w:sz w:val="44"/>
    </w:rPr>
  </w:style>
  <w:style w:type="character" w:customStyle="1" w:styleId="348">
    <w:name w:val="font"/>
    <w:qFormat/>
    <w:uiPriority w:val="0"/>
  </w:style>
  <w:style w:type="character" w:customStyle="1" w:styleId="349">
    <w:name w:val="pt9-hui-line201"/>
    <w:qFormat/>
    <w:uiPriority w:val="0"/>
    <w:rPr>
      <w:color w:val="333333"/>
      <w:spacing w:val="300"/>
      <w:sz w:val="18"/>
      <w:szCs w:val="18"/>
      <w:u w:val="none"/>
    </w:rPr>
  </w:style>
  <w:style w:type="character" w:customStyle="1" w:styleId="350">
    <w:name w:val="正文文本缩进 2 Char4"/>
    <w:qFormat/>
    <w:uiPriority w:val="0"/>
    <w:rPr>
      <w:rFonts w:ascii="楷体_GB2312" w:eastAsia="楷体_GB2312"/>
      <w:sz w:val="28"/>
      <w:szCs w:val="28"/>
    </w:rPr>
  </w:style>
  <w:style w:type="character" w:customStyle="1" w:styleId="351">
    <w:name w:val="批注主题 Char4"/>
    <w:qFormat/>
    <w:uiPriority w:val="99"/>
    <w:rPr>
      <w:rFonts w:ascii="Calibri" w:hAnsi="Calibri"/>
      <w:b/>
      <w:bCs/>
    </w:rPr>
  </w:style>
  <w:style w:type="character" w:customStyle="1" w:styleId="352">
    <w:name w:val="批注文字 Char4"/>
    <w:qFormat/>
    <w:uiPriority w:val="99"/>
    <w:rPr>
      <w:rFonts w:ascii="Calibri" w:hAnsi="Calibri"/>
    </w:rPr>
  </w:style>
  <w:style w:type="character" w:customStyle="1" w:styleId="353">
    <w:name w:val="样式 正文文本缩进 + 左  0 字符 Char Char"/>
    <w:link w:val="354"/>
    <w:qFormat/>
    <w:uiPriority w:val="0"/>
    <w:rPr>
      <w:rFonts w:cs="宋体"/>
      <w:sz w:val="24"/>
    </w:rPr>
  </w:style>
  <w:style w:type="paragraph" w:customStyle="1" w:styleId="354">
    <w:name w:val="样式 正文文本缩进 + 左  0 字符"/>
    <w:basedOn w:val="245"/>
    <w:link w:val="353"/>
    <w:qFormat/>
    <w:uiPriority w:val="0"/>
    <w:pPr>
      <w:spacing w:line="360" w:lineRule="auto"/>
      <w:ind w:firstLine="250"/>
    </w:pPr>
    <w:rPr>
      <w:sz w:val="24"/>
      <w:szCs w:val="20"/>
    </w:rPr>
  </w:style>
  <w:style w:type="character" w:customStyle="1" w:styleId="355">
    <w:name w:val="带缩进的正文 Char Char"/>
    <w:link w:val="356"/>
    <w:qFormat/>
    <w:uiPriority w:val="0"/>
    <w:rPr>
      <w:rFonts w:ascii="Calibri" w:hAnsi="Calibri"/>
      <w:sz w:val="24"/>
    </w:rPr>
  </w:style>
  <w:style w:type="paragraph" w:customStyle="1" w:styleId="356">
    <w:name w:val="带缩进的正文"/>
    <w:basedOn w:val="1"/>
    <w:link w:val="355"/>
    <w:qFormat/>
    <w:uiPriority w:val="0"/>
    <w:pPr>
      <w:spacing w:line="360" w:lineRule="auto"/>
      <w:ind w:firstLine="480"/>
    </w:pPr>
    <w:rPr>
      <w:sz w:val="24"/>
      <w:szCs w:val="20"/>
    </w:rPr>
  </w:style>
  <w:style w:type="character" w:customStyle="1" w:styleId="357">
    <w:name w:val="bodybold1"/>
    <w:qFormat/>
    <w:uiPriority w:val="0"/>
    <w:rPr>
      <w:rFonts w:ascii="Taipei" w:hAnsi="Taipei"/>
      <w:b/>
      <w:bCs/>
      <w:color w:val="0066FF"/>
      <w:sz w:val="26"/>
      <w:szCs w:val="26"/>
      <w:u w:val="none"/>
    </w:rPr>
  </w:style>
  <w:style w:type="character" w:customStyle="1" w:styleId="358">
    <w:name w:val="flname8"/>
    <w:qFormat/>
    <w:uiPriority w:val="0"/>
  </w:style>
  <w:style w:type="character" w:customStyle="1" w:styleId="359">
    <w:name w:val="正文（首行缩进两字） Char Char"/>
    <w:qFormat/>
    <w:uiPriority w:val="0"/>
    <w:rPr>
      <w:rFonts w:eastAsia="宋体"/>
      <w:sz w:val="24"/>
      <w:lang w:val="en-US" w:eastAsia="zh-CN" w:bidi="ar-SA"/>
    </w:rPr>
  </w:style>
  <w:style w:type="character" w:customStyle="1" w:styleId="360">
    <w:name w:val="标题 3 Char Char"/>
    <w:qFormat/>
    <w:uiPriority w:val="0"/>
    <w:rPr>
      <w:rFonts w:eastAsia="宋体"/>
      <w:b/>
      <w:sz w:val="32"/>
      <w:lang w:val="en-US" w:eastAsia="zh-CN" w:bidi="ar-SA"/>
    </w:rPr>
  </w:style>
  <w:style w:type="character" w:customStyle="1" w:styleId="361">
    <w:name w:val="样式6 Char Char"/>
    <w:link w:val="362"/>
    <w:qFormat/>
    <w:uiPriority w:val="0"/>
    <w:rPr>
      <w:rFonts w:ascii="宋体" w:hAnsi="宋体"/>
      <w:sz w:val="28"/>
      <w:szCs w:val="28"/>
    </w:rPr>
  </w:style>
  <w:style w:type="paragraph" w:customStyle="1" w:styleId="362">
    <w:name w:val="样式6"/>
    <w:basedOn w:val="1"/>
    <w:link w:val="361"/>
    <w:qFormat/>
    <w:uiPriority w:val="0"/>
    <w:pPr>
      <w:spacing w:line="360" w:lineRule="auto"/>
      <w:ind w:left="980" w:hanging="420"/>
    </w:pPr>
    <w:rPr>
      <w:rFonts w:ascii="宋体" w:hAnsi="宋体"/>
      <w:sz w:val="28"/>
      <w:szCs w:val="28"/>
    </w:rPr>
  </w:style>
  <w:style w:type="character" w:customStyle="1" w:styleId="363">
    <w:name w:val="页眉 字符"/>
    <w:qFormat/>
    <w:uiPriority w:val="99"/>
    <w:rPr>
      <w:sz w:val="18"/>
      <w:szCs w:val="18"/>
    </w:rPr>
  </w:style>
  <w:style w:type="character" w:customStyle="1" w:styleId="364">
    <w:name w:val="WW8Num11z1"/>
    <w:qFormat/>
    <w:uiPriority w:val="0"/>
    <w:rPr>
      <w:rFonts w:ascii="Wingdings" w:hAnsi="Wingdings"/>
    </w:rPr>
  </w:style>
  <w:style w:type="character" w:customStyle="1" w:styleId="365">
    <w:name w:val="样式 正文缩进 + 首行缩进:  2 字符 Char Char"/>
    <w:link w:val="366"/>
    <w:qFormat/>
    <w:uiPriority w:val="0"/>
    <w:rPr>
      <w:rFonts w:cs="宋体"/>
      <w:sz w:val="24"/>
    </w:rPr>
  </w:style>
  <w:style w:type="paragraph" w:customStyle="1" w:styleId="366">
    <w:name w:val="样式 正文缩进 + 首行缩进:  2 字符"/>
    <w:basedOn w:val="203"/>
    <w:link w:val="365"/>
    <w:qFormat/>
    <w:uiPriority w:val="0"/>
    <w:pPr>
      <w:spacing w:line="360" w:lineRule="auto"/>
      <w:ind w:firstLine="200"/>
    </w:pPr>
    <w:rPr>
      <w:sz w:val="24"/>
      <w:szCs w:val="20"/>
    </w:rPr>
  </w:style>
  <w:style w:type="character" w:customStyle="1" w:styleId="367">
    <w:name w:val="彩色网格 - 强调文字颜色 1 Char"/>
    <w:link w:val="368"/>
    <w:qFormat/>
    <w:uiPriority w:val="0"/>
    <w:rPr>
      <w:rFonts w:eastAsia="方正仿宋_GBK"/>
      <w:i/>
      <w:iCs/>
      <w:color w:val="000000"/>
      <w:szCs w:val="24"/>
    </w:rPr>
  </w:style>
  <w:style w:type="paragraph" w:customStyle="1" w:styleId="368">
    <w:name w:val="彩色网格 - 强调文字颜色 11"/>
    <w:basedOn w:val="1"/>
    <w:next w:val="1"/>
    <w:link w:val="367"/>
    <w:qFormat/>
    <w:uiPriority w:val="0"/>
    <w:pPr>
      <w:spacing w:line="360" w:lineRule="auto"/>
      <w:ind w:firstLine="560"/>
    </w:pPr>
    <w:rPr>
      <w:rFonts w:ascii="Times New Roman" w:hAnsi="Times New Roman" w:eastAsia="方正仿宋_GBK"/>
      <w:i/>
      <w:iCs/>
      <w:color w:val="000000"/>
      <w:sz w:val="20"/>
      <w:szCs w:val="24"/>
    </w:rPr>
  </w:style>
  <w:style w:type="character" w:customStyle="1" w:styleId="369">
    <w:name w:val="文档结构图 Char3"/>
    <w:qFormat/>
    <w:uiPriority w:val="99"/>
    <w:rPr>
      <w:rFonts w:ascii="宋体"/>
      <w:sz w:val="18"/>
      <w:szCs w:val="18"/>
    </w:rPr>
  </w:style>
  <w:style w:type="character" w:customStyle="1" w:styleId="370">
    <w:name w:val="正文首行缩进 2 Char3"/>
    <w:semiHidden/>
    <w:qFormat/>
    <w:uiPriority w:val="0"/>
    <w:rPr>
      <w:rFonts w:ascii="Arial" w:hAnsi="Arial" w:eastAsia="方正仿宋_GBK" w:cs="Arial"/>
      <w:szCs w:val="24"/>
    </w:rPr>
  </w:style>
  <w:style w:type="character" w:customStyle="1" w:styleId="371">
    <w:name w:val="样式7 Char Char"/>
    <w:link w:val="372"/>
    <w:qFormat/>
    <w:uiPriority w:val="0"/>
    <w:rPr>
      <w:rFonts w:ascii="宋体" w:hAnsi="宋体"/>
      <w:sz w:val="28"/>
      <w:szCs w:val="28"/>
    </w:rPr>
  </w:style>
  <w:style w:type="paragraph" w:customStyle="1" w:styleId="372">
    <w:name w:val="样式7"/>
    <w:basedOn w:val="1"/>
    <w:link w:val="371"/>
    <w:qFormat/>
    <w:uiPriority w:val="0"/>
    <w:pPr>
      <w:spacing w:line="360" w:lineRule="auto"/>
      <w:ind w:left="980" w:hanging="420"/>
    </w:pPr>
    <w:rPr>
      <w:rFonts w:ascii="宋体" w:hAnsi="宋体"/>
      <w:sz w:val="28"/>
      <w:szCs w:val="28"/>
    </w:rPr>
  </w:style>
  <w:style w:type="character" w:customStyle="1" w:styleId="373">
    <w:name w:val="WW-Absatz-Standardschriftart11"/>
    <w:qFormat/>
    <w:uiPriority w:val="0"/>
  </w:style>
  <w:style w:type="character" w:customStyle="1" w:styleId="374">
    <w:name w:val="正文文本 3 Char3"/>
    <w:qFormat/>
    <w:uiPriority w:val="0"/>
    <w:rPr>
      <w:rFonts w:ascii="仿宋_GB2312" w:hAnsi="Arial" w:eastAsia="仿宋_GB2312"/>
      <w:sz w:val="32"/>
    </w:rPr>
  </w:style>
  <w:style w:type="character" w:customStyle="1" w:styleId="375">
    <w:name w:val="WW8Num34z2"/>
    <w:qFormat/>
    <w:uiPriority w:val="0"/>
    <w:rPr>
      <w:rFonts w:ascii="StarSymbol" w:hAnsi="StarSymbol" w:cs="StarSymbol"/>
      <w:sz w:val="18"/>
      <w:szCs w:val="18"/>
    </w:rPr>
  </w:style>
  <w:style w:type="character" w:customStyle="1" w:styleId="376">
    <w:name w:val="日期 Char4"/>
    <w:qFormat/>
    <w:uiPriority w:val="0"/>
    <w:rPr>
      <w:rFonts w:ascii="仿宋_GB2312" w:eastAsia="仿宋_GB2312"/>
      <w:b/>
      <w:sz w:val="36"/>
      <w:szCs w:val="24"/>
    </w:rPr>
  </w:style>
  <w:style w:type="character" w:customStyle="1" w:styleId="377">
    <w:name w:val="正文文本缩进 3 字符1"/>
    <w:qFormat/>
    <w:uiPriority w:val="99"/>
    <w:rPr>
      <w:rFonts w:ascii="宋体" w:hAnsi="Times New Roman" w:eastAsia="方正仿宋_GBK" w:cs="Times New Roman"/>
      <w:sz w:val="16"/>
      <w:szCs w:val="16"/>
    </w:rPr>
  </w:style>
  <w:style w:type="character" w:customStyle="1" w:styleId="378">
    <w:name w:val="正文文本缩进 3 Char3"/>
    <w:qFormat/>
    <w:uiPriority w:val="0"/>
    <w:rPr>
      <w:rFonts w:ascii="方正行楷简体" w:hAnsi="Arial" w:eastAsia="方正行楷简体"/>
      <w:sz w:val="36"/>
    </w:rPr>
  </w:style>
  <w:style w:type="character" w:customStyle="1" w:styleId="379">
    <w:name w:val="WW8Num6z1"/>
    <w:qFormat/>
    <w:uiPriority w:val="0"/>
    <w:rPr>
      <w:rFonts w:ascii="Wingdings" w:hAnsi="Wingdings"/>
    </w:rPr>
  </w:style>
  <w:style w:type="character" w:customStyle="1" w:styleId="380">
    <w:name w:val="正文文本 2 Char3"/>
    <w:qFormat/>
    <w:uiPriority w:val="0"/>
    <w:rPr>
      <w:szCs w:val="24"/>
    </w:rPr>
  </w:style>
  <w:style w:type="character" w:customStyle="1" w:styleId="381">
    <w:name w:val="WW8Num32z2"/>
    <w:qFormat/>
    <w:uiPriority w:val="0"/>
    <w:rPr>
      <w:rFonts w:ascii="StarSymbol" w:hAnsi="StarSymbol" w:cs="StarSymbol"/>
      <w:sz w:val="18"/>
      <w:szCs w:val="18"/>
    </w:rPr>
  </w:style>
  <w:style w:type="character" w:customStyle="1" w:styleId="382">
    <w:name w:val="列表段落 字符1"/>
    <w:qFormat/>
    <w:uiPriority w:val="34"/>
    <w:rPr>
      <w:rFonts w:ascii="Calibri" w:hAnsi="Calibri"/>
      <w:sz w:val="21"/>
      <w:szCs w:val="22"/>
    </w:rPr>
  </w:style>
  <w:style w:type="character" w:customStyle="1" w:styleId="383">
    <w:name w:val="WW8Num28z0"/>
    <w:qFormat/>
    <w:uiPriority w:val="0"/>
    <w:rPr>
      <w:rFonts w:ascii="Wingdings" w:hAnsi="Wingdings" w:cs="StarSymbol"/>
      <w:sz w:val="18"/>
      <w:szCs w:val="18"/>
    </w:rPr>
  </w:style>
  <w:style w:type="character" w:customStyle="1" w:styleId="384">
    <w:name w:val="WW8Num2z2"/>
    <w:qFormat/>
    <w:uiPriority w:val="0"/>
    <w:rPr>
      <w:rFonts w:ascii="StarSymbol" w:hAnsi="StarSymbol" w:cs="StarSymbol"/>
      <w:sz w:val="18"/>
      <w:szCs w:val="18"/>
    </w:rPr>
  </w:style>
  <w:style w:type="character" w:customStyle="1" w:styleId="385">
    <w:name w:val="apple-converted-space"/>
    <w:qFormat/>
    <w:uiPriority w:val="0"/>
  </w:style>
  <w:style w:type="character" w:customStyle="1" w:styleId="386">
    <w:name w:val="WW8Num35z2"/>
    <w:qFormat/>
    <w:uiPriority w:val="0"/>
    <w:rPr>
      <w:rFonts w:ascii="StarSymbol" w:hAnsi="StarSymbol" w:cs="StarSymbol"/>
      <w:sz w:val="18"/>
      <w:szCs w:val="18"/>
    </w:rPr>
  </w:style>
  <w:style w:type="character" w:customStyle="1" w:styleId="387">
    <w:name w:val="标题 Char3"/>
    <w:qFormat/>
    <w:uiPriority w:val="10"/>
    <w:rPr>
      <w:rFonts w:ascii="Cambria" w:hAnsi="Cambria"/>
      <w:b/>
      <w:bCs/>
      <w:sz w:val="32"/>
      <w:szCs w:val="32"/>
    </w:rPr>
  </w:style>
  <w:style w:type="character" w:customStyle="1" w:styleId="388">
    <w:name w:val="WW8Num10z0"/>
    <w:qFormat/>
    <w:uiPriority w:val="0"/>
    <w:rPr>
      <w:rFonts w:ascii="Wingdings" w:hAnsi="Wingdings" w:cs="StarSymbol"/>
      <w:sz w:val="18"/>
      <w:szCs w:val="18"/>
    </w:rPr>
  </w:style>
  <w:style w:type="character" w:customStyle="1" w:styleId="389">
    <w:name w:val="正文首行缩进 Char5"/>
    <w:semiHidden/>
    <w:qFormat/>
    <w:uiPriority w:val="0"/>
    <w:rPr>
      <w:rFonts w:ascii="Arial" w:hAnsi="Arial"/>
      <w:szCs w:val="21"/>
    </w:rPr>
  </w:style>
  <w:style w:type="character" w:customStyle="1" w:styleId="390">
    <w:name w:val="WW8Num32z0"/>
    <w:qFormat/>
    <w:uiPriority w:val="0"/>
    <w:rPr>
      <w:rFonts w:ascii="Wingdings" w:hAnsi="Wingdings" w:cs="StarSymbol"/>
      <w:sz w:val="18"/>
      <w:szCs w:val="18"/>
    </w:rPr>
  </w:style>
  <w:style w:type="character" w:customStyle="1" w:styleId="391">
    <w:name w:val="正文首行缩进 Char1"/>
    <w:qFormat/>
    <w:uiPriority w:val="0"/>
    <w:rPr>
      <w:rFonts w:ascii="Times New Roman" w:hAnsi="Times New Roman" w:eastAsia="宋体" w:cs="Times New Roman"/>
      <w:szCs w:val="24"/>
    </w:rPr>
  </w:style>
  <w:style w:type="character" w:customStyle="1" w:styleId="392">
    <w:name w:val="标题 3 字符1"/>
    <w:qFormat/>
    <w:uiPriority w:val="0"/>
    <w:rPr>
      <w:rFonts w:ascii="仿宋" w:eastAsia="仿宋"/>
      <w:b/>
      <w:sz w:val="32"/>
      <w:szCs w:val="32"/>
    </w:rPr>
  </w:style>
  <w:style w:type="character" w:customStyle="1" w:styleId="393">
    <w:name w:val="正文首行缩进 Char2"/>
    <w:qFormat/>
    <w:uiPriority w:val="0"/>
    <w:rPr>
      <w:rFonts w:ascii="楷体_GB2312" w:hAnsi="Arial" w:eastAsia="楷体_GB2312"/>
      <w:sz w:val="21"/>
      <w:szCs w:val="24"/>
    </w:rPr>
  </w:style>
  <w:style w:type="character" w:customStyle="1" w:styleId="394">
    <w:name w:val="正文文本 2 字符1"/>
    <w:semiHidden/>
    <w:qFormat/>
    <w:uiPriority w:val="99"/>
    <w:rPr>
      <w:rFonts w:ascii="Times New Roman" w:hAnsi="Times New Roman" w:eastAsia="方正仿宋_GBK" w:cs="Times New Roman"/>
      <w:sz w:val="24"/>
      <w:szCs w:val="24"/>
    </w:rPr>
  </w:style>
  <w:style w:type="character" w:customStyle="1" w:styleId="395">
    <w:name w:val="Table Heading Char1"/>
    <w:link w:val="396"/>
    <w:qFormat/>
    <w:uiPriority w:val="0"/>
    <w:rPr>
      <w:rFonts w:ascii="Book Antiqua" w:hAnsi="Book Antiqua" w:eastAsia="黑体" w:cs="Book Antiqua"/>
      <w:bCs/>
      <w:szCs w:val="21"/>
    </w:rPr>
  </w:style>
  <w:style w:type="paragraph" w:customStyle="1" w:styleId="396">
    <w:name w:val="Table Heading"/>
    <w:basedOn w:val="1"/>
    <w:link w:val="395"/>
    <w:qFormat/>
    <w:uiPriority w:val="0"/>
    <w:pPr>
      <w:keepNext/>
      <w:spacing w:before="80" w:after="80" w:line="240" w:lineRule="atLeast"/>
      <w:jc w:val="left"/>
    </w:pPr>
    <w:rPr>
      <w:rFonts w:ascii="Book Antiqua" w:hAnsi="Book Antiqua" w:eastAsia="黑体"/>
      <w:bCs/>
      <w:sz w:val="20"/>
      <w:szCs w:val="21"/>
    </w:rPr>
  </w:style>
  <w:style w:type="character" w:customStyle="1" w:styleId="397">
    <w:name w:val="二级采标题 字符"/>
    <w:link w:val="398"/>
    <w:qFormat/>
    <w:uiPriority w:val="0"/>
    <w:rPr>
      <w:rFonts w:ascii="Calibri" w:hAnsi="Calibri" w:eastAsia="等线"/>
      <w:sz w:val="21"/>
      <w:szCs w:val="22"/>
      <w:lang w:val="en-US" w:eastAsia="zh-CN" w:bidi="ar-SA"/>
    </w:rPr>
  </w:style>
  <w:style w:type="paragraph" w:customStyle="1" w:styleId="398">
    <w:name w:val="二级采标题"/>
    <w:next w:val="399"/>
    <w:link w:val="397"/>
    <w:qFormat/>
    <w:uiPriority w:val="0"/>
    <w:pPr>
      <w:ind w:left="1134" w:hanging="1134"/>
    </w:pPr>
    <w:rPr>
      <w:rFonts w:ascii="Calibri" w:hAnsi="Calibri" w:eastAsia="等线" w:cs="Times New Roman"/>
      <w:sz w:val="21"/>
      <w:szCs w:val="22"/>
      <w:lang w:val="en-US" w:eastAsia="zh-CN" w:bidi="ar-SA"/>
    </w:rPr>
  </w:style>
  <w:style w:type="paragraph" w:customStyle="1" w:styleId="399">
    <w:name w:val="段"/>
    <w:qFormat/>
    <w:uiPriority w:val="0"/>
    <w:pPr>
      <w:ind w:firstLine="200"/>
      <w:jc w:val="both"/>
    </w:pPr>
    <w:rPr>
      <w:rFonts w:ascii="宋体" w:hAnsi="Times New Roman" w:eastAsia="宋体" w:cs="Times New Roman"/>
      <w:sz w:val="21"/>
      <w:lang w:val="en-US" w:eastAsia="zh-CN" w:bidi="ar-SA"/>
    </w:rPr>
  </w:style>
  <w:style w:type="character" w:customStyle="1" w:styleId="400">
    <w:name w:val="Table Text Char"/>
    <w:link w:val="401"/>
    <w:qFormat/>
    <w:uiPriority w:val="0"/>
    <w:rPr>
      <w:rFonts w:cs="Arial"/>
      <w:szCs w:val="21"/>
    </w:rPr>
  </w:style>
  <w:style w:type="paragraph" w:customStyle="1" w:styleId="401">
    <w:name w:val="Table Text"/>
    <w:basedOn w:val="1"/>
    <w:link w:val="400"/>
    <w:qFormat/>
    <w:uiPriority w:val="0"/>
    <w:pPr>
      <w:spacing w:before="80" w:after="80" w:line="240" w:lineRule="atLeast"/>
      <w:jc w:val="left"/>
    </w:pPr>
    <w:rPr>
      <w:rFonts w:ascii="Times New Roman" w:hAnsi="Times New Roman"/>
      <w:sz w:val="20"/>
      <w:szCs w:val="21"/>
    </w:rPr>
  </w:style>
  <w:style w:type="character" w:customStyle="1" w:styleId="402">
    <w:name w:val="WW8Num28z2"/>
    <w:qFormat/>
    <w:uiPriority w:val="0"/>
    <w:rPr>
      <w:rFonts w:ascii="StarSymbol" w:hAnsi="StarSymbol" w:cs="StarSymbol"/>
      <w:sz w:val="18"/>
      <w:szCs w:val="18"/>
    </w:rPr>
  </w:style>
  <w:style w:type="character" w:customStyle="1" w:styleId="403">
    <w:name w:val="标题2 Char"/>
    <w:link w:val="404"/>
    <w:qFormat/>
    <w:uiPriority w:val="0"/>
    <w:rPr>
      <w:rFonts w:ascii="宋体" w:hAnsi="宋体"/>
      <w:b/>
      <w:bCs/>
      <w:sz w:val="28"/>
      <w:szCs w:val="28"/>
    </w:rPr>
  </w:style>
  <w:style w:type="paragraph" w:customStyle="1" w:styleId="404">
    <w:name w:val="标题2"/>
    <w:basedOn w:val="202"/>
    <w:next w:val="1"/>
    <w:link w:val="403"/>
    <w:qFormat/>
    <w:uiPriority w:val="0"/>
    <w:pPr>
      <w:spacing w:before="0" w:after="0" w:line="360" w:lineRule="auto"/>
      <w:ind w:left="425"/>
      <w:jc w:val="left"/>
    </w:pPr>
    <w:rPr>
      <w:rFonts w:ascii="宋体" w:hAnsi="宋体" w:eastAsia="宋体"/>
      <w:bCs/>
      <w:sz w:val="28"/>
      <w:szCs w:val="28"/>
    </w:rPr>
  </w:style>
  <w:style w:type="character" w:customStyle="1" w:styleId="405">
    <w:name w:val="WW8Num17z1"/>
    <w:qFormat/>
    <w:uiPriority w:val="0"/>
    <w:rPr>
      <w:rFonts w:ascii="Wingdings 2" w:hAnsi="Wingdings 2" w:cs="StarSymbol"/>
      <w:sz w:val="18"/>
      <w:szCs w:val="18"/>
    </w:rPr>
  </w:style>
  <w:style w:type="character" w:customStyle="1" w:styleId="406">
    <w:name w:val="font01"/>
    <w:qFormat/>
    <w:uiPriority w:val="0"/>
    <w:rPr>
      <w:rFonts w:hint="eastAsia" w:ascii="楷体" w:hAnsi="楷体" w:eastAsia="楷体" w:cs="楷体"/>
      <w:color w:val="FF0000"/>
      <w:sz w:val="22"/>
      <w:szCs w:val="22"/>
      <w:u w:val="none"/>
    </w:rPr>
  </w:style>
  <w:style w:type="character" w:customStyle="1" w:styleId="407">
    <w:name w:val="WW8Num23z0"/>
    <w:qFormat/>
    <w:uiPriority w:val="0"/>
    <w:rPr>
      <w:rFonts w:ascii="Wingdings" w:hAnsi="Wingdings" w:cs="StarSymbol"/>
      <w:sz w:val="18"/>
      <w:szCs w:val="18"/>
    </w:rPr>
  </w:style>
  <w:style w:type="character" w:customStyle="1" w:styleId="408">
    <w:name w:val="font21"/>
    <w:qFormat/>
    <w:uiPriority w:val="0"/>
    <w:rPr>
      <w:rFonts w:hint="eastAsia" w:ascii="楷体" w:hAnsi="楷体" w:eastAsia="楷体" w:cs="楷体"/>
      <w:color w:val="000000"/>
      <w:sz w:val="22"/>
      <w:szCs w:val="22"/>
      <w:u w:val="none"/>
    </w:rPr>
  </w:style>
  <w:style w:type="character" w:customStyle="1" w:styleId="409">
    <w:name w:val="Absatz-Standardschriftart"/>
    <w:qFormat/>
    <w:uiPriority w:val="0"/>
  </w:style>
  <w:style w:type="character" w:customStyle="1" w:styleId="410">
    <w:name w:val="批注文字 Char1"/>
    <w:qFormat/>
    <w:uiPriority w:val="0"/>
    <w:rPr>
      <w:rFonts w:ascii="Times New Roman" w:hAnsi="Times New Roman" w:eastAsia="宋体" w:cs="Times New Roman"/>
      <w:szCs w:val="24"/>
    </w:rPr>
  </w:style>
  <w:style w:type="character" w:customStyle="1" w:styleId="411">
    <w:name w:val="WW8Num20z1"/>
    <w:qFormat/>
    <w:uiPriority w:val="0"/>
    <w:rPr>
      <w:rFonts w:ascii="Wingdings 2" w:hAnsi="Wingdings 2" w:cs="StarSymbol"/>
      <w:sz w:val="18"/>
      <w:szCs w:val="18"/>
    </w:rPr>
  </w:style>
  <w:style w:type="character" w:customStyle="1" w:styleId="412">
    <w:name w:val="font31"/>
    <w:qFormat/>
    <w:uiPriority w:val="0"/>
    <w:rPr>
      <w:rFonts w:hint="eastAsia" w:ascii="宋体" w:hAnsi="宋体" w:eastAsia="宋体" w:cs="宋体"/>
      <w:b/>
      <w:color w:val="000000"/>
      <w:sz w:val="24"/>
      <w:szCs w:val="24"/>
      <w:u w:val="none"/>
    </w:rPr>
  </w:style>
  <w:style w:type="character" w:customStyle="1" w:styleId="413">
    <w:name w:val="金宏发行正文 Char Char Char"/>
    <w:qFormat/>
    <w:uiPriority w:val="0"/>
    <w:rPr>
      <w:rFonts w:hint="eastAsia" w:ascii="仿宋_GB2312" w:eastAsia="仿宋_GB2312" w:cs="宋体"/>
      <w:sz w:val="28"/>
    </w:rPr>
  </w:style>
  <w:style w:type="character" w:customStyle="1" w:styleId="414">
    <w:name w:val="se11"/>
    <w:qFormat/>
    <w:uiPriority w:val="0"/>
    <w:rPr>
      <w:rFonts w:ascii="Tahoma" w:hAnsi="Tahoma" w:cs="Times New Roman"/>
      <w:color w:val="000000"/>
      <w:sz w:val="24"/>
      <w:lang w:bidi="ar-SA"/>
    </w:rPr>
  </w:style>
  <w:style w:type="character" w:customStyle="1" w:styleId="415">
    <w:name w:val="WW8Num6z2"/>
    <w:qFormat/>
    <w:uiPriority w:val="0"/>
    <w:rPr>
      <w:rFonts w:ascii="StarSymbol" w:hAnsi="StarSymbol" w:cs="StarSymbol"/>
      <w:sz w:val="18"/>
      <w:szCs w:val="18"/>
    </w:rPr>
  </w:style>
  <w:style w:type="character" w:customStyle="1" w:styleId="416">
    <w:name w:val="模板正文 Char"/>
    <w:link w:val="417"/>
    <w:qFormat/>
    <w:uiPriority w:val="0"/>
    <w:rPr>
      <w:rFonts w:ascii="Calibri" w:hAnsi="Calibri"/>
      <w:sz w:val="28"/>
      <w:szCs w:val="21"/>
    </w:rPr>
  </w:style>
  <w:style w:type="paragraph" w:customStyle="1" w:styleId="417">
    <w:name w:val="模板正文"/>
    <w:basedOn w:val="1"/>
    <w:link w:val="416"/>
    <w:qFormat/>
    <w:uiPriority w:val="0"/>
    <w:pPr>
      <w:spacing w:line="360" w:lineRule="auto"/>
      <w:ind w:firstLine="200"/>
    </w:pPr>
    <w:rPr>
      <w:sz w:val="28"/>
      <w:szCs w:val="21"/>
    </w:rPr>
  </w:style>
  <w:style w:type="character" w:customStyle="1" w:styleId="418">
    <w:name w:val="批注框文本 字符1"/>
    <w:qFormat/>
    <w:uiPriority w:val="99"/>
    <w:rPr>
      <w:rFonts w:ascii="Times New Roman" w:hAnsi="Times New Roman" w:eastAsia="方正仿宋_GBK" w:cs="Times New Roman"/>
      <w:sz w:val="18"/>
      <w:szCs w:val="18"/>
    </w:rPr>
  </w:style>
  <w:style w:type="character" w:customStyle="1" w:styleId="419">
    <w:name w:val="标书正文 Char"/>
    <w:link w:val="420"/>
    <w:qFormat/>
    <w:uiPriority w:val="0"/>
    <w:rPr>
      <w:rFonts w:ascii="Calibri" w:hAnsi="Calibri"/>
    </w:rPr>
  </w:style>
  <w:style w:type="paragraph" w:customStyle="1" w:styleId="420">
    <w:name w:val="标书正文"/>
    <w:basedOn w:val="1"/>
    <w:link w:val="419"/>
    <w:qFormat/>
    <w:uiPriority w:val="0"/>
    <w:pPr>
      <w:spacing w:before="120" w:line="360" w:lineRule="auto"/>
      <w:ind w:firstLine="200"/>
    </w:pPr>
    <w:rPr>
      <w:sz w:val="20"/>
      <w:szCs w:val="20"/>
    </w:rPr>
  </w:style>
  <w:style w:type="character" w:customStyle="1" w:styleId="421">
    <w:name w:val="二级条标题 字符"/>
    <w:link w:val="422"/>
    <w:qFormat/>
    <w:uiPriority w:val="0"/>
    <w:rPr>
      <w:rFonts w:ascii="黑体" w:eastAsia="黑体"/>
    </w:rPr>
  </w:style>
  <w:style w:type="paragraph" w:customStyle="1" w:styleId="422">
    <w:name w:val="二级条标题"/>
    <w:basedOn w:val="423"/>
    <w:next w:val="399"/>
    <w:link w:val="421"/>
    <w:qFormat/>
    <w:uiPriority w:val="0"/>
    <w:pPr>
      <w:tabs>
        <w:tab w:val="left" w:pos="567"/>
        <w:tab w:val="left" w:pos="780"/>
      </w:tabs>
      <w:ind w:left="630"/>
      <w:outlineLvl w:val="3"/>
    </w:pPr>
  </w:style>
  <w:style w:type="paragraph" w:customStyle="1" w:styleId="423">
    <w:name w:val="一级条标题"/>
    <w:basedOn w:val="424"/>
    <w:next w:val="399"/>
    <w:link w:val="426"/>
    <w:qFormat/>
    <w:uiPriority w:val="0"/>
    <w:pPr>
      <w:tabs>
        <w:tab w:val="left" w:pos="567"/>
        <w:tab w:val="left" w:pos="780"/>
      </w:tabs>
      <w:ind w:left="420" w:hanging="420"/>
      <w:outlineLvl w:val="2"/>
    </w:pPr>
  </w:style>
  <w:style w:type="paragraph" w:customStyle="1" w:styleId="424">
    <w:name w:val="章标题"/>
    <w:next w:val="399"/>
    <w:link w:val="425"/>
    <w:qFormat/>
    <w:uiPriority w:val="0"/>
    <w:pPr>
      <w:tabs>
        <w:tab w:val="left" w:pos="567"/>
        <w:tab w:val="left" w:pos="780"/>
      </w:tabs>
      <w:ind w:left="780" w:hanging="360"/>
      <w:jc w:val="both"/>
      <w:outlineLvl w:val="1"/>
    </w:pPr>
    <w:rPr>
      <w:rFonts w:ascii="黑体" w:hAnsi="Times New Roman" w:eastAsia="黑体" w:cs="Times New Roman"/>
      <w:lang w:val="en-US" w:eastAsia="zh-CN" w:bidi="ar-SA"/>
    </w:rPr>
  </w:style>
  <w:style w:type="character" w:customStyle="1" w:styleId="425">
    <w:name w:val="章标题 Char"/>
    <w:link w:val="424"/>
    <w:qFormat/>
    <w:uiPriority w:val="0"/>
    <w:rPr>
      <w:rFonts w:ascii="黑体" w:eastAsia="黑体"/>
      <w:lang w:val="en-US" w:eastAsia="zh-CN" w:bidi="ar-SA"/>
    </w:rPr>
  </w:style>
  <w:style w:type="character" w:customStyle="1" w:styleId="426">
    <w:name w:val="一级条标题 Char Char"/>
    <w:link w:val="423"/>
    <w:qFormat/>
    <w:uiPriority w:val="0"/>
    <w:rPr>
      <w:rFonts w:ascii="黑体" w:eastAsia="黑体"/>
    </w:rPr>
  </w:style>
  <w:style w:type="character" w:customStyle="1" w:styleId="427">
    <w:name w:val="页脚 Char1"/>
    <w:qFormat/>
    <w:uiPriority w:val="0"/>
    <w:rPr>
      <w:sz w:val="18"/>
      <w:szCs w:val="18"/>
    </w:rPr>
  </w:style>
  <w:style w:type="character" w:customStyle="1" w:styleId="428">
    <w:name w:val="WW8Num15z1"/>
    <w:qFormat/>
    <w:uiPriority w:val="0"/>
    <w:rPr>
      <w:rFonts w:ascii="Wingdings 2" w:hAnsi="Wingdings 2" w:cs="StarSymbol"/>
      <w:sz w:val="18"/>
      <w:szCs w:val="18"/>
    </w:rPr>
  </w:style>
  <w:style w:type="character" w:customStyle="1" w:styleId="429">
    <w:name w:val="n正文 Char"/>
    <w:link w:val="430"/>
    <w:qFormat/>
    <w:uiPriority w:val="0"/>
    <w:rPr>
      <w:rFonts w:ascii="等线" w:hAnsi="等线" w:eastAsia="仿宋_GB2312"/>
      <w:color w:val="000000"/>
      <w:sz w:val="28"/>
      <w:szCs w:val="28"/>
      <w:lang w:val="en-US" w:eastAsia="zh-CN" w:bidi="ar-SA"/>
    </w:rPr>
  </w:style>
  <w:style w:type="paragraph" w:customStyle="1" w:styleId="430">
    <w:name w:val="n正文"/>
    <w:link w:val="429"/>
    <w:qFormat/>
    <w:uiPriority w:val="0"/>
    <w:pPr>
      <w:spacing w:line="360" w:lineRule="auto"/>
      <w:ind w:firstLine="200"/>
    </w:pPr>
    <w:rPr>
      <w:rFonts w:ascii="等线" w:hAnsi="等线" w:eastAsia="仿宋_GB2312" w:cs="Times New Roman"/>
      <w:color w:val="000000"/>
      <w:sz w:val="28"/>
      <w:szCs w:val="28"/>
      <w:lang w:val="en-US" w:eastAsia="zh-CN" w:bidi="ar-SA"/>
    </w:rPr>
  </w:style>
  <w:style w:type="character" w:customStyle="1" w:styleId="431">
    <w:name w:val="Table Text Char1"/>
    <w:qFormat/>
    <w:uiPriority w:val="0"/>
    <w:rPr>
      <w:sz w:val="21"/>
      <w:szCs w:val="21"/>
    </w:rPr>
  </w:style>
  <w:style w:type="character" w:customStyle="1" w:styleId="432">
    <w:name w:val="正文文本缩进 Char1"/>
    <w:qFormat/>
    <w:uiPriority w:val="0"/>
    <w:rPr>
      <w:rFonts w:ascii="Calibri" w:hAnsi="Calibri" w:eastAsia="宋体" w:cs="Times New Roman"/>
    </w:rPr>
  </w:style>
  <w:style w:type="character" w:customStyle="1" w:styleId="433">
    <w:name w:val="文章正文 Char"/>
    <w:qFormat/>
    <w:uiPriority w:val="0"/>
    <w:rPr>
      <w:rFonts w:ascii="Calibri" w:hAnsi="Calibri"/>
      <w:sz w:val="21"/>
      <w:szCs w:val="24"/>
    </w:rPr>
  </w:style>
  <w:style w:type="character" w:customStyle="1" w:styleId="434">
    <w:name w:val="GEO正文 Char"/>
    <w:link w:val="435"/>
    <w:qFormat/>
    <w:uiPriority w:val="0"/>
    <w:rPr>
      <w:rFonts w:eastAsia="仿宋_GB2312"/>
      <w:sz w:val="28"/>
    </w:rPr>
  </w:style>
  <w:style w:type="paragraph" w:customStyle="1" w:styleId="435">
    <w:name w:val="GEO正文"/>
    <w:basedOn w:val="1"/>
    <w:link w:val="434"/>
    <w:qFormat/>
    <w:uiPriority w:val="0"/>
    <w:pPr>
      <w:spacing w:line="360" w:lineRule="auto"/>
      <w:ind w:firstLine="200"/>
    </w:pPr>
    <w:rPr>
      <w:rFonts w:ascii="Times New Roman" w:hAnsi="Times New Roman" w:eastAsia="仿宋_GB2312"/>
      <w:sz w:val="28"/>
      <w:szCs w:val="20"/>
    </w:rPr>
  </w:style>
  <w:style w:type="character" w:customStyle="1" w:styleId="436">
    <w:name w:val="WW8Num35z1"/>
    <w:qFormat/>
    <w:uiPriority w:val="0"/>
    <w:rPr>
      <w:rFonts w:ascii="Wingdings 2" w:hAnsi="Wingdings 2" w:cs="StarSymbol"/>
      <w:sz w:val="18"/>
      <w:szCs w:val="18"/>
    </w:rPr>
  </w:style>
  <w:style w:type="character" w:customStyle="1" w:styleId="437">
    <w:name w:val="页眉 Char1"/>
    <w:qFormat/>
    <w:uiPriority w:val="0"/>
    <w:rPr>
      <w:sz w:val="18"/>
      <w:szCs w:val="18"/>
    </w:rPr>
  </w:style>
  <w:style w:type="character" w:customStyle="1" w:styleId="438">
    <w:name w:val="WW8Num34z1"/>
    <w:qFormat/>
    <w:uiPriority w:val="0"/>
    <w:rPr>
      <w:rFonts w:ascii="Wingdings 2" w:hAnsi="Wingdings 2" w:cs="StarSymbol"/>
      <w:sz w:val="18"/>
      <w:szCs w:val="18"/>
    </w:rPr>
  </w:style>
  <w:style w:type="character" w:customStyle="1" w:styleId="439">
    <w:name w:val="文档结构图 Char1"/>
    <w:qFormat/>
    <w:uiPriority w:val="0"/>
    <w:rPr>
      <w:rFonts w:ascii="宋体" w:hAnsi="Calibri" w:eastAsia="宋体" w:cs="Times New Roman"/>
      <w:sz w:val="18"/>
      <w:szCs w:val="18"/>
    </w:rPr>
  </w:style>
  <w:style w:type="character" w:customStyle="1" w:styleId="440">
    <w:name w:val="WW8Num21z0"/>
    <w:qFormat/>
    <w:uiPriority w:val="0"/>
    <w:rPr>
      <w:rFonts w:ascii="Wingdings" w:hAnsi="Wingdings" w:cs="StarSymbol"/>
      <w:sz w:val="18"/>
      <w:szCs w:val="18"/>
    </w:rPr>
  </w:style>
  <w:style w:type="character" w:customStyle="1" w:styleId="441">
    <w:name w:val="页脚 Char2"/>
    <w:qFormat/>
    <w:uiPriority w:val="99"/>
    <w:rPr>
      <w:sz w:val="18"/>
      <w:szCs w:val="18"/>
    </w:rPr>
  </w:style>
  <w:style w:type="character" w:customStyle="1" w:styleId="442">
    <w:name w:val="WW8Num1z1"/>
    <w:qFormat/>
    <w:uiPriority w:val="0"/>
    <w:rPr>
      <w:rFonts w:ascii="Wingdings" w:hAnsi="Wingdings"/>
    </w:rPr>
  </w:style>
  <w:style w:type="character" w:customStyle="1" w:styleId="443">
    <w:name w:val="批注主题 Char1"/>
    <w:qFormat/>
    <w:uiPriority w:val="0"/>
    <w:rPr>
      <w:rFonts w:ascii="Calibri" w:hAnsi="Calibri" w:eastAsia="宋体" w:cs="Times New Roman"/>
      <w:b/>
      <w:bCs/>
      <w:sz w:val="21"/>
      <w:szCs w:val="22"/>
    </w:rPr>
  </w:style>
  <w:style w:type="character" w:customStyle="1" w:styleId="444">
    <w:name w:val="我的图表标题 Char"/>
    <w:qFormat/>
    <w:uiPriority w:val="0"/>
    <w:rPr>
      <w:rFonts w:ascii="Cambria" w:hAnsi="Cambria" w:eastAsia="黑体" w:cs="宋体"/>
      <w:sz w:val="24"/>
    </w:rPr>
  </w:style>
  <w:style w:type="character" w:customStyle="1" w:styleId="445">
    <w:name w:val="页眉 Char2"/>
    <w:qFormat/>
    <w:uiPriority w:val="99"/>
    <w:rPr>
      <w:sz w:val="18"/>
      <w:szCs w:val="18"/>
    </w:rPr>
  </w:style>
  <w:style w:type="character" w:customStyle="1" w:styleId="446">
    <w:name w:val="WW8Num14z2"/>
    <w:qFormat/>
    <w:uiPriority w:val="0"/>
    <w:rPr>
      <w:rFonts w:ascii="StarSymbol" w:hAnsi="StarSymbol" w:cs="StarSymbol"/>
      <w:sz w:val="18"/>
      <w:szCs w:val="18"/>
    </w:rPr>
  </w:style>
  <w:style w:type="character" w:customStyle="1" w:styleId="447">
    <w:name w:val="正文文本缩进 2 Char1"/>
    <w:qFormat/>
    <w:uiPriority w:val="0"/>
    <w:rPr>
      <w:rFonts w:ascii="Calibri" w:hAnsi="Calibri" w:eastAsia="宋体" w:cs="Times New Roman"/>
    </w:rPr>
  </w:style>
  <w:style w:type="character" w:customStyle="1" w:styleId="448">
    <w:name w:val="不明显强调1"/>
    <w:qFormat/>
    <w:uiPriority w:val="0"/>
    <w:rPr>
      <w:i/>
      <w:iCs/>
      <w:color w:val="808080"/>
    </w:rPr>
  </w:style>
  <w:style w:type="character" w:customStyle="1" w:styleId="449">
    <w:name w:val="正文文本缩进 3 Char1"/>
    <w:qFormat/>
    <w:uiPriority w:val="0"/>
    <w:rPr>
      <w:rFonts w:ascii="Calibri" w:hAnsi="Calibri" w:eastAsia="宋体" w:cs="Times New Roman"/>
      <w:sz w:val="16"/>
      <w:szCs w:val="16"/>
    </w:rPr>
  </w:style>
  <w:style w:type="character" w:customStyle="1" w:styleId="450">
    <w:name w:val="批注文字 字符1"/>
    <w:qFormat/>
    <w:uiPriority w:val="0"/>
    <w:rPr>
      <w:rFonts w:ascii="Times New Roman" w:hAnsi="Times New Roman" w:eastAsia="方正仿宋_GBK" w:cs="Times New Roman"/>
      <w:sz w:val="24"/>
      <w:szCs w:val="24"/>
    </w:rPr>
  </w:style>
  <w:style w:type="character" w:customStyle="1" w:styleId="451">
    <w:name w:val="纯文本 Char2"/>
    <w:qFormat/>
    <w:uiPriority w:val="0"/>
    <w:rPr>
      <w:rFonts w:ascii="宋体" w:hAnsi="Courier New" w:eastAsia="宋体" w:cs="Courier New"/>
      <w:szCs w:val="21"/>
    </w:rPr>
  </w:style>
  <w:style w:type="character" w:customStyle="1" w:styleId="452">
    <w:name w:val="WW8Num19z1"/>
    <w:qFormat/>
    <w:uiPriority w:val="0"/>
    <w:rPr>
      <w:rFonts w:ascii="Wingdings" w:hAnsi="Wingdings"/>
    </w:rPr>
  </w:style>
  <w:style w:type="character" w:customStyle="1" w:styleId="453">
    <w:name w:val="正文文本缩进 Char2"/>
    <w:semiHidden/>
    <w:qFormat/>
    <w:uiPriority w:val="99"/>
    <w:rPr>
      <w:sz w:val="21"/>
      <w:szCs w:val="22"/>
    </w:rPr>
  </w:style>
  <w:style w:type="character" w:customStyle="1" w:styleId="454">
    <w:name w:val="WW8Num14z7"/>
    <w:qFormat/>
    <w:uiPriority w:val="0"/>
    <w:rPr>
      <w:rFonts w:ascii="Wingdings" w:hAnsi="Wingdings"/>
    </w:rPr>
  </w:style>
  <w:style w:type="character" w:customStyle="1" w:styleId="455">
    <w:name w:val="正文文本缩进 2 Char2"/>
    <w:semiHidden/>
    <w:qFormat/>
    <w:uiPriority w:val="99"/>
    <w:rPr>
      <w:sz w:val="21"/>
      <w:szCs w:val="22"/>
    </w:rPr>
  </w:style>
  <w:style w:type="character" w:customStyle="1" w:styleId="456">
    <w:name w:val="WW8Num23z1"/>
    <w:qFormat/>
    <w:uiPriority w:val="0"/>
    <w:rPr>
      <w:rFonts w:ascii="Wingdings 2" w:hAnsi="Wingdings 2" w:cs="StarSymbol"/>
      <w:sz w:val="18"/>
      <w:szCs w:val="18"/>
    </w:rPr>
  </w:style>
  <w:style w:type="character" w:customStyle="1" w:styleId="457">
    <w:name w:val="批注框文本 Char1"/>
    <w:qFormat/>
    <w:uiPriority w:val="0"/>
    <w:rPr>
      <w:sz w:val="18"/>
      <w:szCs w:val="18"/>
    </w:rPr>
  </w:style>
  <w:style w:type="character" w:customStyle="1" w:styleId="458">
    <w:name w:val="WW8Num3z2"/>
    <w:qFormat/>
    <w:uiPriority w:val="0"/>
    <w:rPr>
      <w:rFonts w:ascii="StarSymbol" w:hAnsi="StarSymbol" w:cs="StarSymbol"/>
      <w:sz w:val="18"/>
      <w:szCs w:val="18"/>
    </w:rPr>
  </w:style>
  <w:style w:type="character" w:customStyle="1" w:styleId="459">
    <w:name w:val="文档结构图 Char2"/>
    <w:qFormat/>
    <w:uiPriority w:val="99"/>
    <w:rPr>
      <w:rFonts w:ascii="宋体"/>
      <w:sz w:val="18"/>
      <w:szCs w:val="18"/>
    </w:rPr>
  </w:style>
  <w:style w:type="character" w:customStyle="1" w:styleId="460">
    <w:name w:val="样式 InfoBlue + 倾斜 Char"/>
    <w:qFormat/>
    <w:uiPriority w:val="0"/>
    <w:rPr>
      <w:color w:val="0000FF"/>
      <w:sz w:val="21"/>
    </w:rPr>
  </w:style>
  <w:style w:type="character" w:customStyle="1" w:styleId="461">
    <w:name w:val="批注文字 Char2"/>
    <w:qFormat/>
    <w:uiPriority w:val="0"/>
    <w:rPr>
      <w:sz w:val="21"/>
      <w:szCs w:val="22"/>
    </w:rPr>
  </w:style>
  <w:style w:type="character" w:customStyle="1" w:styleId="462">
    <w:name w:val="批注主题 Char2"/>
    <w:qFormat/>
    <w:uiPriority w:val="0"/>
    <w:rPr>
      <w:b/>
      <w:bCs/>
      <w:sz w:val="21"/>
      <w:szCs w:val="22"/>
    </w:rPr>
  </w:style>
  <w:style w:type="character" w:customStyle="1" w:styleId="463">
    <w:name w:val="Char Char6"/>
    <w:qFormat/>
    <w:uiPriority w:val="0"/>
    <w:rPr>
      <w:b/>
      <w:bCs/>
      <w:sz w:val="44"/>
      <w:szCs w:val="44"/>
    </w:rPr>
  </w:style>
  <w:style w:type="character" w:customStyle="1" w:styleId="464">
    <w:name w:val="p0 Char"/>
    <w:link w:val="465"/>
    <w:qFormat/>
    <w:uiPriority w:val="0"/>
    <w:rPr>
      <w:szCs w:val="21"/>
    </w:rPr>
  </w:style>
  <w:style w:type="paragraph" w:customStyle="1" w:styleId="465">
    <w:name w:val="p0"/>
    <w:basedOn w:val="1"/>
    <w:link w:val="464"/>
    <w:qFormat/>
    <w:uiPriority w:val="0"/>
    <w:pPr>
      <w:widowControl/>
    </w:pPr>
    <w:rPr>
      <w:rFonts w:ascii="Times New Roman" w:hAnsi="Times New Roman"/>
      <w:sz w:val="20"/>
      <w:szCs w:val="21"/>
    </w:rPr>
  </w:style>
  <w:style w:type="character" w:customStyle="1" w:styleId="466">
    <w:name w:val="脚注文本 Char3"/>
    <w:qFormat/>
    <w:uiPriority w:val="0"/>
    <w:rPr>
      <w:rFonts w:ascii="Calibri" w:hAnsi="Calibri"/>
      <w:sz w:val="18"/>
      <w:szCs w:val="18"/>
    </w:rPr>
  </w:style>
  <w:style w:type="character" w:customStyle="1" w:styleId="467">
    <w:name w:val="标准文本 Char"/>
    <w:link w:val="468"/>
    <w:qFormat/>
    <w:uiPriority w:val="0"/>
    <w:rPr>
      <w:rFonts w:cs="宋体"/>
      <w:szCs w:val="21"/>
    </w:rPr>
  </w:style>
  <w:style w:type="paragraph" w:customStyle="1" w:styleId="468">
    <w:name w:val="标准文本"/>
    <w:basedOn w:val="1"/>
    <w:link w:val="467"/>
    <w:qFormat/>
    <w:uiPriority w:val="0"/>
    <w:pPr>
      <w:spacing w:line="360" w:lineRule="auto"/>
      <w:ind w:firstLine="420"/>
    </w:pPr>
    <w:rPr>
      <w:rFonts w:ascii="Times New Roman" w:hAnsi="Times New Roman"/>
      <w:sz w:val="20"/>
      <w:szCs w:val="21"/>
    </w:rPr>
  </w:style>
  <w:style w:type="character" w:customStyle="1" w:styleId="469">
    <w:name w:val="无间隔 Char"/>
    <w:link w:val="470"/>
    <w:qFormat/>
    <w:uiPriority w:val="0"/>
    <w:rPr>
      <w:rFonts w:ascii="Calibri" w:hAnsi="Calibri" w:eastAsia="等线"/>
      <w:sz w:val="21"/>
      <w:szCs w:val="22"/>
      <w:lang w:val="en-US" w:eastAsia="zh-CN" w:bidi="ar-SA"/>
    </w:rPr>
  </w:style>
  <w:style w:type="paragraph" w:customStyle="1" w:styleId="470">
    <w:name w:val="无间隔1"/>
    <w:link w:val="469"/>
    <w:qFormat/>
    <w:uiPriority w:val="0"/>
    <w:pPr>
      <w:widowControl w:val="0"/>
      <w:jc w:val="both"/>
    </w:pPr>
    <w:rPr>
      <w:rFonts w:ascii="Calibri" w:hAnsi="Calibri" w:eastAsia="等线" w:cs="Times New Roman"/>
      <w:sz w:val="21"/>
      <w:szCs w:val="22"/>
      <w:lang w:val="en-US" w:eastAsia="zh-CN" w:bidi="ar-SA"/>
    </w:rPr>
  </w:style>
  <w:style w:type="character" w:customStyle="1" w:styleId="471">
    <w:name w:val="页码1"/>
    <w:qFormat/>
    <w:uiPriority w:val="0"/>
  </w:style>
  <w:style w:type="character" w:customStyle="1" w:styleId="472">
    <w:name w:val="11111 Char"/>
    <w:qFormat/>
    <w:uiPriority w:val="0"/>
    <w:rPr>
      <w:rFonts w:hint="eastAsia" w:ascii="宋体" w:hAnsi="宋体" w:eastAsia="宋体" w:cs="宋体"/>
      <w:color w:val="000000"/>
      <w:sz w:val="24"/>
      <w:szCs w:val="24"/>
      <w:lang w:val="zh-CN"/>
    </w:rPr>
  </w:style>
  <w:style w:type="character" w:customStyle="1" w:styleId="473">
    <w:name w:val="正文文本 Char1"/>
    <w:qFormat/>
    <w:uiPriority w:val="0"/>
    <w:rPr>
      <w:rFonts w:ascii="Times New Roman" w:hAnsi="Times New Roman" w:eastAsia="宋体" w:cs="Times New Roman"/>
      <w:szCs w:val="24"/>
    </w:rPr>
  </w:style>
  <w:style w:type="character" w:customStyle="1" w:styleId="474">
    <w:name w:val="WW8Num26z1"/>
    <w:qFormat/>
    <w:uiPriority w:val="0"/>
    <w:rPr>
      <w:rFonts w:ascii="Wingdings 2" w:hAnsi="Wingdings 2" w:cs="StarSymbol"/>
      <w:sz w:val="18"/>
      <w:szCs w:val="18"/>
    </w:rPr>
  </w:style>
  <w:style w:type="character" w:customStyle="1" w:styleId="475">
    <w:name w:val="font51"/>
    <w:qFormat/>
    <w:uiPriority w:val="0"/>
    <w:rPr>
      <w:rFonts w:ascii="Arial" w:hAnsi="Arial" w:cs="Arial"/>
      <w:color w:val="000000"/>
      <w:sz w:val="20"/>
      <w:szCs w:val="20"/>
      <w:u w:val="none"/>
    </w:rPr>
  </w:style>
  <w:style w:type="character" w:customStyle="1" w:styleId="476">
    <w:name w:val="WW8Num25z0"/>
    <w:qFormat/>
    <w:uiPriority w:val="0"/>
    <w:rPr>
      <w:rFonts w:ascii="Wingdings" w:hAnsi="Wingdings" w:cs="StarSymbol"/>
      <w:sz w:val="18"/>
      <w:szCs w:val="18"/>
    </w:rPr>
  </w:style>
  <w:style w:type="character" w:customStyle="1" w:styleId="477">
    <w:name w:val="paramlista1"/>
    <w:qFormat/>
    <w:uiPriority w:val="0"/>
    <w:rPr>
      <w:rFonts w:ascii="Calibri" w:hAnsi="Calibri" w:eastAsia="宋体" w:cs="Times New Roman"/>
      <w:sz w:val="18"/>
      <w:szCs w:val="18"/>
    </w:rPr>
  </w:style>
  <w:style w:type="character" w:customStyle="1" w:styleId="478">
    <w:name w:val="high-light-bg4"/>
    <w:qFormat/>
    <w:uiPriority w:val="0"/>
  </w:style>
  <w:style w:type="character" w:customStyle="1" w:styleId="479">
    <w:name w:val="Char Char201"/>
    <w:qFormat/>
    <w:uiPriority w:val="0"/>
    <w:rPr>
      <w:rFonts w:ascii="楷体_GB2312" w:eastAsia="楷体_GB2312"/>
      <w:sz w:val="28"/>
    </w:rPr>
  </w:style>
  <w:style w:type="character" w:customStyle="1" w:styleId="480">
    <w:name w:val="页脚 字符1"/>
    <w:qFormat/>
    <w:uiPriority w:val="99"/>
    <w:rPr>
      <w:rFonts w:ascii="Times New Roman" w:hAnsi="Times New Roman" w:eastAsia="方正仿宋_GBK" w:cs="Times New Roman"/>
      <w:sz w:val="18"/>
      <w:szCs w:val="18"/>
    </w:rPr>
  </w:style>
  <w:style w:type="character" w:customStyle="1" w:styleId="481">
    <w:name w:val="font41"/>
    <w:qFormat/>
    <w:uiPriority w:val="0"/>
    <w:rPr>
      <w:rFonts w:hint="eastAsia" w:ascii="宋体" w:hAnsi="宋体" w:eastAsia="宋体" w:cs="宋体"/>
      <w:color w:val="000000"/>
      <w:sz w:val="20"/>
      <w:szCs w:val="20"/>
      <w:u w:val="none"/>
    </w:rPr>
  </w:style>
  <w:style w:type="character" w:customStyle="1" w:styleId="482">
    <w:name w:val="WW8Num38z0"/>
    <w:qFormat/>
    <w:uiPriority w:val="0"/>
    <w:rPr>
      <w:rFonts w:ascii="Wingdings" w:hAnsi="Wingdings" w:cs="StarSymbol"/>
      <w:sz w:val="18"/>
      <w:szCs w:val="18"/>
    </w:rPr>
  </w:style>
  <w:style w:type="character" w:customStyle="1" w:styleId="483">
    <w:name w:val="+正文 Char3"/>
    <w:link w:val="484"/>
    <w:qFormat/>
    <w:uiPriority w:val="0"/>
    <w:rPr>
      <w:sz w:val="28"/>
    </w:rPr>
  </w:style>
  <w:style w:type="paragraph" w:customStyle="1" w:styleId="484">
    <w:name w:val="+正文"/>
    <w:basedOn w:val="1"/>
    <w:link w:val="483"/>
    <w:qFormat/>
    <w:uiPriority w:val="0"/>
    <w:pPr>
      <w:spacing w:line="360" w:lineRule="auto"/>
      <w:ind w:firstLine="200"/>
    </w:pPr>
    <w:rPr>
      <w:rFonts w:ascii="Times New Roman" w:hAnsi="Times New Roman"/>
      <w:sz w:val="28"/>
      <w:szCs w:val="20"/>
    </w:rPr>
  </w:style>
  <w:style w:type="character" w:customStyle="1" w:styleId="485">
    <w:name w:val="正文文本 3 字符1"/>
    <w:qFormat/>
    <w:uiPriority w:val="99"/>
    <w:rPr>
      <w:rFonts w:ascii="Times New Roman" w:hAnsi="Times New Roman" w:eastAsia="方正仿宋_GBK" w:cs="Times New Roman"/>
      <w:sz w:val="16"/>
      <w:szCs w:val="16"/>
    </w:rPr>
  </w:style>
  <w:style w:type="character" w:customStyle="1" w:styleId="486">
    <w:name w:val="Char Char171"/>
    <w:qFormat/>
    <w:uiPriority w:val="0"/>
    <w:rPr>
      <w:rFonts w:ascii="Arial" w:hAnsi="Arial" w:eastAsia="黑体"/>
      <w:b/>
      <w:spacing w:val="-2"/>
      <w:position w:val="-6"/>
      <w:sz w:val="24"/>
    </w:rPr>
  </w:style>
  <w:style w:type="character" w:customStyle="1" w:styleId="487">
    <w:name w:val="style241"/>
    <w:qFormat/>
    <w:uiPriority w:val="0"/>
    <w:rPr>
      <w:rFonts w:hint="eastAsia" w:ascii="宋体" w:hAnsi="宋体" w:eastAsia="宋体"/>
      <w:color w:val="333333"/>
      <w:lang w:val="en-US" w:eastAsia="zh-CN" w:bidi="ar-SA"/>
    </w:rPr>
  </w:style>
  <w:style w:type="character" w:customStyle="1" w:styleId="488">
    <w:name w:val="fontstyle01"/>
    <w:qFormat/>
    <w:uiPriority w:val="0"/>
    <w:rPr>
      <w:rFonts w:ascii="楷体" w:hAnsi="楷体"/>
      <w:color w:val="000000"/>
      <w:sz w:val="24"/>
      <w:szCs w:val="24"/>
    </w:rPr>
  </w:style>
  <w:style w:type="character" w:customStyle="1" w:styleId="489">
    <w:name w:val="Numbering Symbols"/>
    <w:qFormat/>
    <w:uiPriority w:val="0"/>
  </w:style>
  <w:style w:type="character" w:customStyle="1" w:styleId="490">
    <w:name w:val="标题 1 Char1"/>
    <w:qFormat/>
    <w:uiPriority w:val="0"/>
    <w:rPr>
      <w:b/>
      <w:sz w:val="44"/>
    </w:rPr>
  </w:style>
  <w:style w:type="character" w:customStyle="1" w:styleId="491">
    <w:name w:val="引用 Char1"/>
    <w:qFormat/>
    <w:uiPriority w:val="29"/>
    <w:rPr>
      <w:i/>
      <w:iCs/>
      <w:color w:val="404040"/>
      <w:sz w:val="21"/>
    </w:rPr>
  </w:style>
  <w:style w:type="character" w:customStyle="1" w:styleId="492">
    <w:name w:val="Char Char181"/>
    <w:qFormat/>
    <w:uiPriority w:val="0"/>
    <w:rPr>
      <w:rFonts w:ascii="宋体"/>
      <w:b/>
      <w:spacing w:val="-2"/>
      <w:position w:val="-6"/>
      <w:sz w:val="28"/>
    </w:rPr>
  </w:style>
  <w:style w:type="character" w:customStyle="1" w:styleId="493">
    <w:name w:val="Table Heading Char"/>
    <w:qFormat/>
    <w:uiPriority w:val="0"/>
    <w:rPr>
      <w:rFonts w:ascii="Book Antiqua" w:hAnsi="Book Antiqua" w:eastAsia="黑体"/>
      <w:bCs/>
      <w:sz w:val="21"/>
      <w:szCs w:val="21"/>
    </w:rPr>
  </w:style>
  <w:style w:type="character" w:customStyle="1" w:styleId="494">
    <w:name w:val="Char Char151"/>
    <w:qFormat/>
    <w:uiPriority w:val="0"/>
    <w:rPr>
      <w:rFonts w:ascii="Arial" w:hAnsi="Arial" w:eastAsia="黑体"/>
      <w:spacing w:val="-2"/>
      <w:position w:val="-6"/>
      <w:sz w:val="24"/>
    </w:rPr>
  </w:style>
  <w:style w:type="character" w:customStyle="1" w:styleId="495">
    <w:name w:val="WW8Num14z1"/>
    <w:qFormat/>
    <w:uiPriority w:val="0"/>
    <w:rPr>
      <w:rFonts w:ascii="Wingdings 2" w:hAnsi="Wingdings 2" w:cs="StarSymbol"/>
      <w:sz w:val="18"/>
      <w:szCs w:val="18"/>
    </w:rPr>
  </w:style>
  <w:style w:type="character" w:customStyle="1" w:styleId="496">
    <w:name w:val="font111"/>
    <w:qFormat/>
    <w:uiPriority w:val="0"/>
    <w:rPr>
      <w:rFonts w:hint="eastAsia" w:ascii="宋体" w:hAnsi="宋体" w:eastAsia="宋体" w:cs="宋体"/>
      <w:color w:val="000000"/>
      <w:sz w:val="21"/>
      <w:szCs w:val="21"/>
      <w:u w:val="none"/>
    </w:rPr>
  </w:style>
  <w:style w:type="character" w:customStyle="1" w:styleId="497">
    <w:name w:val="样式2 Char"/>
    <w:qFormat/>
    <w:uiPriority w:val="0"/>
    <w:rPr>
      <w:rFonts w:hint="eastAsia" w:ascii="方正仿宋_GBK" w:eastAsia="方正仿宋_GBK"/>
      <w:bCs/>
      <w:sz w:val="32"/>
      <w:szCs w:val="24"/>
    </w:rPr>
  </w:style>
  <w:style w:type="character" w:customStyle="1" w:styleId="498">
    <w:name w:val="Char Char18"/>
    <w:qFormat/>
    <w:uiPriority w:val="0"/>
    <w:rPr>
      <w:rFonts w:ascii="宋体"/>
      <w:b/>
      <w:spacing w:val="-2"/>
      <w:position w:val="-6"/>
      <w:sz w:val="28"/>
    </w:rPr>
  </w:style>
  <w:style w:type="character" w:customStyle="1" w:styleId="499">
    <w:name w:val="WW8Num25z7"/>
    <w:qFormat/>
    <w:uiPriority w:val="0"/>
    <w:rPr>
      <w:rFonts w:ascii="Wingdings" w:hAnsi="Wingdings"/>
    </w:rPr>
  </w:style>
  <w:style w:type="character" w:customStyle="1" w:styleId="500">
    <w:name w:val="font71"/>
    <w:qFormat/>
    <w:uiPriority w:val="0"/>
    <w:rPr>
      <w:rFonts w:ascii="Arial" w:hAnsi="Arial" w:cs="Arial"/>
      <w:color w:val="000000"/>
      <w:sz w:val="20"/>
      <w:szCs w:val="20"/>
      <w:u w:val="none"/>
    </w:rPr>
  </w:style>
  <w:style w:type="character" w:customStyle="1" w:styleId="501">
    <w:name w:val="WW8Num8z0"/>
    <w:qFormat/>
    <w:uiPriority w:val="0"/>
    <w:rPr>
      <w:rFonts w:ascii="Wingdings" w:hAnsi="Wingdings" w:cs="StarSymbol"/>
      <w:sz w:val="18"/>
      <w:szCs w:val="18"/>
    </w:rPr>
  </w:style>
  <w:style w:type="character" w:customStyle="1" w:styleId="502">
    <w:name w:val="页码2"/>
    <w:qFormat/>
    <w:uiPriority w:val="0"/>
  </w:style>
  <w:style w:type="character" w:customStyle="1" w:styleId="503">
    <w:name w:val="WW8Num12z0"/>
    <w:qFormat/>
    <w:uiPriority w:val="0"/>
    <w:rPr>
      <w:rFonts w:ascii="Wingdings" w:hAnsi="Wingdings" w:cs="StarSymbol"/>
      <w:sz w:val="18"/>
      <w:szCs w:val="18"/>
    </w:rPr>
  </w:style>
  <w:style w:type="character" w:customStyle="1" w:styleId="504">
    <w:name w:val="方案文档 Char"/>
    <w:link w:val="505"/>
    <w:qFormat/>
    <w:uiPriority w:val="0"/>
    <w:rPr>
      <w:rFonts w:ascii="等线" w:hAnsi="等线" w:eastAsia="等线"/>
      <w:sz w:val="24"/>
      <w:szCs w:val="24"/>
      <w:lang w:val="en-US" w:eastAsia="zh-CN" w:bidi="ar-SA"/>
    </w:rPr>
  </w:style>
  <w:style w:type="paragraph" w:customStyle="1" w:styleId="505">
    <w:name w:val="方案文档"/>
    <w:link w:val="504"/>
    <w:qFormat/>
    <w:uiPriority w:val="0"/>
    <w:pPr>
      <w:spacing w:line="360" w:lineRule="auto"/>
      <w:ind w:firstLine="200"/>
    </w:pPr>
    <w:rPr>
      <w:rFonts w:ascii="等线" w:hAnsi="等线" w:eastAsia="等线" w:cs="Times New Roman"/>
      <w:sz w:val="24"/>
      <w:szCs w:val="24"/>
      <w:lang w:val="en-US" w:eastAsia="zh-CN" w:bidi="ar-SA"/>
    </w:rPr>
  </w:style>
  <w:style w:type="character" w:customStyle="1" w:styleId="506">
    <w:name w:val="称呼 Char3"/>
    <w:qFormat/>
    <w:uiPriority w:val="0"/>
    <w:rPr>
      <w:rFonts w:ascii="Arial" w:hAnsi="Arial" w:eastAsia="方正仿宋_GBK" w:cs="Arial"/>
    </w:rPr>
  </w:style>
  <w:style w:type="character" w:customStyle="1" w:styleId="507">
    <w:name w:val="font141"/>
    <w:qFormat/>
    <w:uiPriority w:val="0"/>
    <w:rPr>
      <w:rFonts w:hint="eastAsia" w:ascii="宋体" w:hAnsi="宋体" w:eastAsia="宋体" w:cs="宋体"/>
      <w:color w:val="000000"/>
      <w:sz w:val="20"/>
      <w:szCs w:val="20"/>
      <w:u w:val="none"/>
    </w:rPr>
  </w:style>
  <w:style w:type="character" w:customStyle="1" w:styleId="508">
    <w:name w:val="WW8Num13z2"/>
    <w:qFormat/>
    <w:uiPriority w:val="0"/>
    <w:rPr>
      <w:rFonts w:ascii="StarSymbol" w:hAnsi="StarSymbol" w:cs="StarSymbol"/>
      <w:sz w:val="18"/>
      <w:szCs w:val="18"/>
    </w:rPr>
  </w:style>
  <w:style w:type="character" w:customStyle="1" w:styleId="509">
    <w:name w:val="项目编号B Char"/>
    <w:link w:val="510"/>
    <w:qFormat/>
    <w:uiPriority w:val="0"/>
    <w:rPr>
      <w:rFonts w:ascii="等线" w:hAnsi="等线" w:eastAsia="等线"/>
      <w:sz w:val="24"/>
      <w:szCs w:val="24"/>
      <w:lang w:val="en-US" w:eastAsia="zh-CN" w:bidi="ar-SA"/>
    </w:rPr>
  </w:style>
  <w:style w:type="paragraph" w:customStyle="1" w:styleId="510">
    <w:name w:val="项目编号B"/>
    <w:link w:val="509"/>
    <w:qFormat/>
    <w:uiPriority w:val="0"/>
    <w:pPr>
      <w:tabs>
        <w:tab w:val="left" w:pos="432"/>
        <w:tab w:val="left" w:pos="960"/>
        <w:tab w:val="left" w:pos="1120"/>
        <w:tab w:val="left" w:pos="1260"/>
      </w:tabs>
      <w:spacing w:line="360" w:lineRule="auto"/>
      <w:ind w:firstLine="400"/>
    </w:pPr>
    <w:rPr>
      <w:rFonts w:ascii="等线" w:hAnsi="等线" w:eastAsia="等线" w:cs="Times New Roman"/>
      <w:sz w:val="24"/>
      <w:szCs w:val="24"/>
      <w:lang w:val="en-US" w:eastAsia="zh-CN" w:bidi="ar-SA"/>
    </w:rPr>
  </w:style>
  <w:style w:type="character" w:customStyle="1" w:styleId="511">
    <w:name w:val="WW8Num33z1"/>
    <w:qFormat/>
    <w:uiPriority w:val="0"/>
    <w:rPr>
      <w:rFonts w:ascii="Wingdings 2" w:hAnsi="Wingdings 2" w:cs="StarSymbol"/>
      <w:sz w:val="18"/>
      <w:szCs w:val="18"/>
    </w:rPr>
  </w:style>
  <w:style w:type="character" w:customStyle="1" w:styleId="512">
    <w:name w:val="项目编号A Char Char"/>
    <w:link w:val="513"/>
    <w:qFormat/>
    <w:uiPriority w:val="0"/>
    <w:rPr>
      <w:rFonts w:ascii="等线" w:hAnsi="等线" w:eastAsia="等线"/>
      <w:sz w:val="24"/>
      <w:szCs w:val="24"/>
      <w:lang w:val="en-US" w:eastAsia="zh-CN" w:bidi="ar-SA"/>
    </w:rPr>
  </w:style>
  <w:style w:type="paragraph" w:customStyle="1" w:styleId="513">
    <w:name w:val="项目编号A"/>
    <w:link w:val="512"/>
    <w:qFormat/>
    <w:uiPriority w:val="0"/>
    <w:pPr>
      <w:tabs>
        <w:tab w:val="left" w:pos="840"/>
      </w:tabs>
      <w:spacing w:line="360" w:lineRule="auto"/>
    </w:pPr>
    <w:rPr>
      <w:rFonts w:ascii="等线" w:hAnsi="等线" w:eastAsia="等线" w:cs="Times New Roman"/>
      <w:sz w:val="24"/>
      <w:szCs w:val="24"/>
      <w:lang w:val="en-US" w:eastAsia="zh-CN" w:bidi="ar-SA"/>
    </w:rPr>
  </w:style>
  <w:style w:type="character" w:customStyle="1" w:styleId="514">
    <w:name w:val="style11"/>
    <w:qFormat/>
    <w:uiPriority w:val="0"/>
    <w:rPr>
      <w:color w:val="FF0000"/>
    </w:rPr>
  </w:style>
  <w:style w:type="character" w:customStyle="1" w:styleId="515">
    <w:name w:val="Char Char15"/>
    <w:qFormat/>
    <w:uiPriority w:val="0"/>
    <w:rPr>
      <w:rFonts w:ascii="Arial" w:hAnsi="Arial" w:eastAsia="黑体"/>
      <w:spacing w:val="-2"/>
      <w:position w:val="-6"/>
      <w:sz w:val="24"/>
    </w:rPr>
  </w:style>
  <w:style w:type="character" w:customStyle="1" w:styleId="516">
    <w:name w:val="WW8Num14z0"/>
    <w:qFormat/>
    <w:uiPriority w:val="0"/>
    <w:rPr>
      <w:rFonts w:ascii="Wingdings" w:hAnsi="Wingdings" w:cs="StarSymbol"/>
      <w:sz w:val="18"/>
      <w:szCs w:val="18"/>
    </w:rPr>
  </w:style>
  <w:style w:type="character" w:customStyle="1" w:styleId="517">
    <w:name w:val="Char Char17"/>
    <w:qFormat/>
    <w:uiPriority w:val="0"/>
    <w:rPr>
      <w:rFonts w:ascii="Arial" w:hAnsi="Arial" w:eastAsia="黑体"/>
      <w:b/>
      <w:spacing w:val="-2"/>
      <w:position w:val="-6"/>
      <w:sz w:val="24"/>
    </w:rPr>
  </w:style>
  <w:style w:type="character" w:customStyle="1" w:styleId="518">
    <w:name w:val="表格内容 Char"/>
    <w:qFormat/>
    <w:uiPriority w:val="0"/>
    <w:rPr>
      <w:rFonts w:hint="eastAsia" w:ascii="微软雅黑" w:hAnsi="微软雅黑" w:eastAsia="微软雅黑"/>
      <w:sz w:val="18"/>
      <w:szCs w:val="24"/>
      <w:lang w:val="en-GB"/>
    </w:rPr>
  </w:style>
  <w:style w:type="character" w:customStyle="1" w:styleId="519">
    <w:name w:val="武汉表格 Char"/>
    <w:link w:val="520"/>
    <w:qFormat/>
    <w:uiPriority w:val="0"/>
    <w:rPr>
      <w:rFonts w:eastAsia="黑体"/>
      <w:szCs w:val="21"/>
    </w:rPr>
  </w:style>
  <w:style w:type="paragraph" w:customStyle="1" w:styleId="520">
    <w:name w:val="武汉表格"/>
    <w:basedOn w:val="1"/>
    <w:link w:val="519"/>
    <w:qFormat/>
    <w:uiPriority w:val="0"/>
    <w:rPr>
      <w:rFonts w:ascii="Times New Roman" w:hAnsi="Times New Roman" w:eastAsia="黑体"/>
      <w:sz w:val="20"/>
      <w:szCs w:val="21"/>
    </w:rPr>
  </w:style>
  <w:style w:type="character" w:customStyle="1" w:styleId="521">
    <w:name w:val="WW8Num12z1"/>
    <w:qFormat/>
    <w:uiPriority w:val="0"/>
    <w:rPr>
      <w:rFonts w:ascii="Wingdings 2" w:hAnsi="Wingdings 2" w:cs="StarSymbol"/>
      <w:sz w:val="18"/>
      <w:szCs w:val="18"/>
    </w:rPr>
  </w:style>
  <w:style w:type="character" w:customStyle="1" w:styleId="522">
    <w:name w:val="Char Char20"/>
    <w:qFormat/>
    <w:uiPriority w:val="0"/>
    <w:rPr>
      <w:rFonts w:ascii="楷体_GB2312" w:eastAsia="楷体_GB2312"/>
      <w:sz w:val="28"/>
    </w:rPr>
  </w:style>
  <w:style w:type="character" w:customStyle="1" w:styleId="523">
    <w:name w:val="con_text1"/>
    <w:qFormat/>
    <w:uiPriority w:val="0"/>
  </w:style>
  <w:style w:type="character" w:customStyle="1" w:styleId="524">
    <w:name w:val="批注引用2"/>
    <w:qFormat/>
    <w:uiPriority w:val="0"/>
    <w:rPr>
      <w:sz w:val="21"/>
      <w:szCs w:val="21"/>
    </w:rPr>
  </w:style>
  <w:style w:type="character" w:customStyle="1" w:styleId="525">
    <w:name w:val="WW8Num5z2"/>
    <w:qFormat/>
    <w:uiPriority w:val="0"/>
    <w:rPr>
      <w:rFonts w:ascii="StarSymbol" w:hAnsi="StarSymbol" w:cs="StarSymbol"/>
      <w:sz w:val="18"/>
      <w:szCs w:val="18"/>
    </w:rPr>
  </w:style>
  <w:style w:type="character" w:customStyle="1" w:styleId="526">
    <w:name w:val="正文缩进 Char2"/>
    <w:qFormat/>
    <w:uiPriority w:val="0"/>
    <w:rPr>
      <w:rFonts w:eastAsia="宋体"/>
      <w:sz w:val="21"/>
      <w:lang w:val="en-US" w:eastAsia="zh-CN" w:bidi="ar-SA"/>
    </w:rPr>
  </w:style>
  <w:style w:type="character" w:customStyle="1" w:styleId="527">
    <w:name w:val="正文首行缩进 Char2 Char1 Char Char1 Char2 Char Char Char Char Char Char Char Char Char Char Char"/>
    <w:qFormat/>
    <w:uiPriority w:val="0"/>
    <w:rPr>
      <w:rFonts w:ascii="Arial" w:hAnsi="Arial" w:eastAsia="宋体" w:cs="Arial"/>
      <w:b/>
      <w:sz w:val="21"/>
      <w:szCs w:val="21"/>
      <w:lang w:val="en-US" w:eastAsia="zh-CN" w:bidi="ar-SA"/>
    </w:rPr>
  </w:style>
  <w:style w:type="character" w:customStyle="1" w:styleId="528">
    <w:name w:val="Char Char16"/>
    <w:qFormat/>
    <w:uiPriority w:val="0"/>
    <w:rPr>
      <w:rFonts w:ascii="宋体"/>
      <w:b/>
      <w:spacing w:val="-2"/>
      <w:position w:val="-6"/>
      <w:sz w:val="24"/>
    </w:rPr>
  </w:style>
  <w:style w:type="character" w:customStyle="1" w:styleId="529">
    <w:name w:val="批注主题 字符1"/>
    <w:qFormat/>
    <w:uiPriority w:val="99"/>
    <w:rPr>
      <w:rFonts w:ascii="Times New Roman" w:hAnsi="Times New Roman" w:eastAsia="方正仿宋_GBK" w:cs="Times New Roman"/>
      <w:b/>
      <w:bCs/>
      <w:sz w:val="24"/>
      <w:szCs w:val="24"/>
    </w:rPr>
  </w:style>
  <w:style w:type="character" w:customStyle="1" w:styleId="530">
    <w:name w:val="Char Char161"/>
    <w:qFormat/>
    <w:uiPriority w:val="0"/>
    <w:rPr>
      <w:rFonts w:ascii="宋体"/>
      <w:b/>
      <w:spacing w:val="-2"/>
      <w:position w:val="-6"/>
      <w:sz w:val="24"/>
    </w:rPr>
  </w:style>
  <w:style w:type="character" w:customStyle="1" w:styleId="531">
    <w:name w:val="引用 Char"/>
    <w:qFormat/>
    <w:uiPriority w:val="0"/>
    <w:rPr>
      <w:rFonts w:ascii="Times New Roman" w:hAnsi="Times New Roman" w:eastAsia="方正仿宋_GBK" w:cs="Times New Roman"/>
      <w:i/>
      <w:iCs/>
      <w:color w:val="000000"/>
      <w:sz w:val="24"/>
      <w:szCs w:val="20"/>
    </w:rPr>
  </w:style>
  <w:style w:type="character" w:customStyle="1" w:styleId="532">
    <w:name w:val="标题 3 Char1"/>
    <w:qFormat/>
    <w:uiPriority w:val="0"/>
    <w:rPr>
      <w:b/>
      <w:sz w:val="32"/>
    </w:rPr>
  </w:style>
  <w:style w:type="character" w:customStyle="1" w:styleId="533">
    <w:name w:val="InfoBlue Char"/>
    <w:qFormat/>
    <w:uiPriority w:val="0"/>
    <w:rPr>
      <w:color w:val="0000FF"/>
      <w:sz w:val="21"/>
    </w:rPr>
  </w:style>
  <w:style w:type="character" w:customStyle="1" w:styleId="534">
    <w:name w:val="副标题 Char3"/>
    <w:qFormat/>
    <w:uiPriority w:val="0"/>
    <w:rPr>
      <w:b/>
      <w:bCs/>
      <w:sz w:val="32"/>
      <w:szCs w:val="32"/>
    </w:rPr>
  </w:style>
  <w:style w:type="character" w:customStyle="1" w:styleId="535">
    <w:name w:val="title_orange1"/>
    <w:qFormat/>
    <w:uiPriority w:val="0"/>
    <w:rPr>
      <w:b/>
      <w:bCs/>
      <w:color w:val="CC6600"/>
      <w:sz w:val="33"/>
      <w:szCs w:val="33"/>
      <w:u w:val="none"/>
    </w:rPr>
  </w:style>
  <w:style w:type="character" w:customStyle="1" w:styleId="536">
    <w:name w:val="font61"/>
    <w:qFormat/>
    <w:uiPriority w:val="0"/>
    <w:rPr>
      <w:rFonts w:ascii="Arial" w:hAnsi="Arial" w:cs="Arial"/>
      <w:b/>
      <w:color w:val="000000"/>
      <w:sz w:val="20"/>
      <w:szCs w:val="20"/>
      <w:u w:val="none"/>
    </w:rPr>
  </w:style>
  <w:style w:type="character" w:customStyle="1" w:styleId="537">
    <w:name w:val="Char Char191"/>
    <w:qFormat/>
    <w:uiPriority w:val="0"/>
    <w:rPr>
      <w:rFonts w:ascii="Arial" w:hAnsi="Arial" w:eastAsia="黑体"/>
      <w:b/>
      <w:bCs/>
      <w:sz w:val="28"/>
      <w:szCs w:val="28"/>
    </w:rPr>
  </w:style>
  <w:style w:type="character" w:customStyle="1" w:styleId="538">
    <w:name w:val="WW8Num33z0"/>
    <w:qFormat/>
    <w:uiPriority w:val="0"/>
    <w:rPr>
      <w:rFonts w:ascii="Wingdings" w:hAnsi="Wingdings" w:cs="StarSymbol"/>
      <w:sz w:val="18"/>
      <w:szCs w:val="18"/>
    </w:rPr>
  </w:style>
  <w:style w:type="character" w:customStyle="1" w:styleId="539">
    <w:name w:val="font91"/>
    <w:qFormat/>
    <w:uiPriority w:val="0"/>
    <w:rPr>
      <w:rFonts w:hint="eastAsia" w:ascii="宋体" w:hAnsi="宋体" w:eastAsia="宋体" w:cs="宋体"/>
      <w:color w:val="000000"/>
      <w:sz w:val="20"/>
      <w:szCs w:val="20"/>
      <w:u w:val="none"/>
    </w:rPr>
  </w:style>
  <w:style w:type="character" w:customStyle="1" w:styleId="540">
    <w:name w:val="op_dict_text21"/>
    <w:qFormat/>
    <w:uiPriority w:val="0"/>
  </w:style>
  <w:style w:type="character" w:customStyle="1" w:styleId="541">
    <w:name w:val="normal91"/>
    <w:qFormat/>
    <w:uiPriority w:val="0"/>
    <w:rPr>
      <w:rFonts w:ascii="Calibri" w:hAnsi="Calibri" w:eastAsia="宋体" w:cs="Times New Roman"/>
      <w:sz w:val="20"/>
      <w:szCs w:val="20"/>
    </w:rPr>
  </w:style>
  <w:style w:type="character" w:customStyle="1" w:styleId="542">
    <w:name w:val="WW8Num18z1"/>
    <w:qFormat/>
    <w:uiPriority w:val="0"/>
    <w:rPr>
      <w:rFonts w:ascii="Wingdings 2" w:hAnsi="Wingdings 2" w:cs="StarSymbol"/>
      <w:sz w:val="18"/>
      <w:szCs w:val="18"/>
    </w:rPr>
  </w:style>
  <w:style w:type="character" w:customStyle="1" w:styleId="543">
    <w:name w:val="font121"/>
    <w:qFormat/>
    <w:uiPriority w:val="0"/>
    <w:rPr>
      <w:rFonts w:hint="eastAsia" w:ascii="宋体" w:hAnsi="宋体" w:eastAsia="宋体" w:cs="宋体"/>
      <w:b/>
      <w:color w:val="000000"/>
      <w:sz w:val="20"/>
      <w:szCs w:val="20"/>
      <w:u w:val="none"/>
    </w:rPr>
  </w:style>
  <w:style w:type="character" w:customStyle="1" w:styleId="544">
    <w:name w:val="标题 4 Char1"/>
    <w:qFormat/>
    <w:uiPriority w:val="0"/>
    <w:rPr>
      <w:rFonts w:ascii="Cambria" w:hAnsi="Cambria" w:eastAsia="宋体" w:cs="Times New Roman"/>
      <w:b/>
      <w:bCs/>
      <w:sz w:val="28"/>
      <w:szCs w:val="28"/>
    </w:rPr>
  </w:style>
  <w:style w:type="character" w:customStyle="1" w:styleId="545">
    <w:name w:val="Char Char19"/>
    <w:qFormat/>
    <w:uiPriority w:val="0"/>
    <w:rPr>
      <w:rFonts w:ascii="Arial" w:hAnsi="Arial" w:eastAsia="黑体"/>
      <w:b/>
      <w:bCs/>
      <w:sz w:val="28"/>
      <w:szCs w:val="28"/>
    </w:rPr>
  </w:style>
  <w:style w:type="character" w:customStyle="1" w:styleId="546">
    <w:name w:val="标题 9 字符1"/>
    <w:qFormat/>
    <w:uiPriority w:val="9"/>
    <w:rPr>
      <w:rFonts w:ascii="Arial" w:hAnsi="Arial" w:eastAsia="黑体" w:cs="Times New Roman"/>
      <w:sz w:val="24"/>
      <w:szCs w:val="21"/>
    </w:rPr>
  </w:style>
  <w:style w:type="character" w:customStyle="1" w:styleId="547">
    <w:name w:val="font131"/>
    <w:qFormat/>
    <w:uiPriority w:val="0"/>
    <w:rPr>
      <w:rFonts w:hint="eastAsia" w:ascii="宋体" w:hAnsi="宋体" w:eastAsia="宋体" w:cs="宋体"/>
      <w:color w:val="000000"/>
      <w:sz w:val="18"/>
      <w:szCs w:val="18"/>
      <w:u w:val="none"/>
    </w:rPr>
  </w:style>
  <w:style w:type="character" w:customStyle="1" w:styleId="548">
    <w:name w:val="标题G Char"/>
    <w:qFormat/>
    <w:uiPriority w:val="0"/>
    <w:rPr>
      <w:rFonts w:hint="eastAsia" w:ascii="方正小标宋_GBK" w:hAnsi="方正小标宋_GBK" w:eastAsia="方正小标宋_GBK"/>
      <w:color w:val="000000"/>
      <w:spacing w:val="-20"/>
      <w:sz w:val="44"/>
      <w:szCs w:val="52"/>
    </w:rPr>
  </w:style>
  <w:style w:type="character" w:customStyle="1" w:styleId="549">
    <w:name w:val="批注引用1"/>
    <w:qFormat/>
    <w:uiPriority w:val="0"/>
    <w:rPr>
      <w:sz w:val="21"/>
      <w:szCs w:val="21"/>
    </w:rPr>
  </w:style>
  <w:style w:type="character" w:customStyle="1" w:styleId="550">
    <w:name w:val="WW-Absatz-Standardschriftart111"/>
    <w:qFormat/>
    <w:uiPriority w:val="0"/>
  </w:style>
  <w:style w:type="character" w:customStyle="1" w:styleId="551">
    <w:name w:val="font81"/>
    <w:qFormat/>
    <w:uiPriority w:val="0"/>
    <w:rPr>
      <w:rFonts w:hint="eastAsia" w:ascii="宋体" w:hAnsi="宋体" w:eastAsia="宋体" w:cs="宋体"/>
      <w:b/>
      <w:color w:val="000000"/>
      <w:sz w:val="20"/>
      <w:szCs w:val="20"/>
      <w:u w:val="none"/>
    </w:rPr>
  </w:style>
  <w:style w:type="character" w:customStyle="1" w:styleId="552">
    <w:name w:val="m1"/>
    <w:qFormat/>
    <w:uiPriority w:val="0"/>
    <w:rPr>
      <w:rFonts w:hint="eastAsia" w:ascii="宋体" w:hAnsi="宋体" w:eastAsia="宋体"/>
      <w:color w:val="0000FF"/>
      <w:lang w:val="en-US" w:eastAsia="zh-CN" w:bidi="ar-SA"/>
    </w:rPr>
  </w:style>
  <w:style w:type="character" w:customStyle="1" w:styleId="553">
    <w:name w:val="表格 Char Char"/>
    <w:link w:val="554"/>
    <w:qFormat/>
    <w:uiPriority w:val="0"/>
    <w:rPr>
      <w:rFonts w:ascii="Arial" w:hAnsi="Arial"/>
      <w:sz w:val="24"/>
      <w:szCs w:val="24"/>
    </w:rPr>
  </w:style>
  <w:style w:type="paragraph" w:customStyle="1" w:styleId="554">
    <w:name w:val="表格"/>
    <w:basedOn w:val="1"/>
    <w:link w:val="553"/>
    <w:qFormat/>
    <w:uiPriority w:val="0"/>
    <w:rPr>
      <w:rFonts w:ascii="Arial" w:hAnsi="Arial"/>
      <w:sz w:val="24"/>
      <w:szCs w:val="24"/>
    </w:rPr>
  </w:style>
  <w:style w:type="character" w:customStyle="1" w:styleId="555">
    <w:name w:val="WW8Num21z2"/>
    <w:qFormat/>
    <w:uiPriority w:val="0"/>
    <w:rPr>
      <w:rFonts w:ascii="StarSymbol" w:hAnsi="StarSymbol" w:cs="StarSymbol"/>
      <w:sz w:val="18"/>
      <w:szCs w:val="18"/>
    </w:rPr>
  </w:style>
  <w:style w:type="character" w:customStyle="1" w:styleId="556">
    <w:name w:val="副标题 Char1"/>
    <w:qFormat/>
    <w:uiPriority w:val="0"/>
    <w:rPr>
      <w:rFonts w:ascii="Cambria" w:hAnsi="Cambria" w:cs="Times New Roman"/>
      <w:b/>
      <w:bCs/>
      <w:sz w:val="32"/>
      <w:szCs w:val="32"/>
    </w:rPr>
  </w:style>
  <w:style w:type="character" w:customStyle="1" w:styleId="557">
    <w:name w:val="atitle31"/>
    <w:qFormat/>
    <w:uiPriority w:val="0"/>
    <w:rPr>
      <w:rFonts w:ascii="Arial" w:hAnsi="Arial" w:cs="Arial"/>
      <w:b/>
      <w:bCs/>
      <w:sz w:val="29"/>
      <w:szCs w:val="29"/>
    </w:rPr>
  </w:style>
  <w:style w:type="character" w:customStyle="1" w:styleId="558">
    <w:name w:val="副标题 Char2"/>
    <w:qFormat/>
    <w:uiPriority w:val="0"/>
    <w:rPr>
      <w:rFonts w:ascii="Cambria" w:hAnsi="Cambria" w:cs="Times New Roman"/>
      <w:b/>
      <w:bCs/>
      <w:sz w:val="32"/>
      <w:szCs w:val="32"/>
    </w:rPr>
  </w:style>
  <w:style w:type="character" w:customStyle="1" w:styleId="559">
    <w:name w:val="WW8Num21z1"/>
    <w:qFormat/>
    <w:uiPriority w:val="0"/>
    <w:rPr>
      <w:rFonts w:ascii="Wingdings" w:hAnsi="Wingdings"/>
    </w:rPr>
  </w:style>
  <w:style w:type="character" w:customStyle="1" w:styleId="560">
    <w:name w:val="font191"/>
    <w:qFormat/>
    <w:uiPriority w:val="0"/>
    <w:rPr>
      <w:rFonts w:ascii="Arial" w:hAnsi="Arial" w:cs="Arial"/>
      <w:b/>
      <w:color w:val="000000"/>
      <w:sz w:val="20"/>
      <w:szCs w:val="20"/>
      <w:u w:val="none"/>
    </w:rPr>
  </w:style>
  <w:style w:type="character" w:customStyle="1" w:styleId="561">
    <w:name w:val="MM Topic 2 Char"/>
    <w:link w:val="562"/>
    <w:qFormat/>
    <w:uiPriority w:val="0"/>
    <w:rPr>
      <w:rFonts w:ascii="Cambria" w:hAnsi="Cambria"/>
      <w:b/>
      <w:bCs/>
      <w:sz w:val="32"/>
      <w:szCs w:val="32"/>
      <w:lang w:val="zh-CN"/>
    </w:rPr>
  </w:style>
  <w:style w:type="paragraph" w:customStyle="1" w:styleId="562">
    <w:name w:val="MM Topic 2"/>
    <w:basedOn w:val="202"/>
    <w:link w:val="561"/>
    <w:qFormat/>
    <w:uiPriority w:val="0"/>
    <w:pPr>
      <w:tabs>
        <w:tab w:val="left" w:pos="0"/>
        <w:tab w:val="left" w:pos="420"/>
        <w:tab w:val="left" w:pos="840"/>
      </w:tabs>
      <w:ind w:left="840" w:hanging="420"/>
      <w:jc w:val="both"/>
    </w:pPr>
    <w:rPr>
      <w:rFonts w:ascii="Cambria" w:hAnsi="Cambria" w:eastAsia="宋体"/>
      <w:bCs/>
      <w:sz w:val="32"/>
      <w:szCs w:val="32"/>
      <w:lang w:val="zh-CN"/>
    </w:rPr>
  </w:style>
  <w:style w:type="character" w:customStyle="1" w:styleId="563">
    <w:name w:val="注释标题 Char"/>
    <w:qFormat/>
    <w:uiPriority w:val="0"/>
    <w:rPr>
      <w:sz w:val="21"/>
      <w:szCs w:val="24"/>
    </w:rPr>
  </w:style>
  <w:style w:type="character" w:customStyle="1" w:styleId="564">
    <w:name w:val="页眉 字符1"/>
    <w:qFormat/>
    <w:uiPriority w:val="0"/>
    <w:rPr>
      <w:rFonts w:ascii="Times New Roman" w:hAnsi="Times New Roman" w:eastAsia="方正仿宋_GBK" w:cs="Times New Roman"/>
      <w:sz w:val="18"/>
      <w:szCs w:val="18"/>
    </w:rPr>
  </w:style>
  <w:style w:type="character" w:customStyle="1" w:styleId="565">
    <w:name w:val="称呼 Char"/>
    <w:qFormat/>
    <w:uiPriority w:val="0"/>
    <w:rPr>
      <w:sz w:val="21"/>
      <w:szCs w:val="24"/>
    </w:rPr>
  </w:style>
  <w:style w:type="character" w:customStyle="1" w:styleId="566">
    <w:name w:val="WW8Num16z2"/>
    <w:qFormat/>
    <w:uiPriority w:val="0"/>
    <w:rPr>
      <w:rFonts w:ascii="StarSymbol" w:hAnsi="StarSymbol" w:cs="StarSymbol"/>
      <w:sz w:val="18"/>
      <w:szCs w:val="18"/>
    </w:rPr>
  </w:style>
  <w:style w:type="character" w:customStyle="1" w:styleId="567">
    <w:name w:val="HTML 地址 Char"/>
    <w:qFormat/>
    <w:uiPriority w:val="0"/>
    <w:rPr>
      <w:i/>
      <w:iCs/>
      <w:sz w:val="21"/>
      <w:szCs w:val="24"/>
    </w:rPr>
  </w:style>
  <w:style w:type="character" w:customStyle="1" w:styleId="568">
    <w:name w:val="WW8Num22z0"/>
    <w:qFormat/>
    <w:uiPriority w:val="0"/>
    <w:rPr>
      <w:rFonts w:ascii="Wingdings" w:hAnsi="Wingdings" w:cs="StarSymbol"/>
      <w:sz w:val="18"/>
      <w:szCs w:val="18"/>
    </w:rPr>
  </w:style>
  <w:style w:type="character" w:customStyle="1" w:styleId="569">
    <w:name w:val="尾注文本 Char1"/>
    <w:qFormat/>
    <w:uiPriority w:val="0"/>
    <w:rPr>
      <w:szCs w:val="24"/>
      <w:lang w:val="zh-CN"/>
    </w:rPr>
  </w:style>
  <w:style w:type="character" w:customStyle="1" w:styleId="570">
    <w:name w:val="WW8Num18z0"/>
    <w:qFormat/>
    <w:uiPriority w:val="0"/>
    <w:rPr>
      <w:rFonts w:ascii="Wingdings" w:hAnsi="Wingdings" w:cs="StarSymbol"/>
      <w:sz w:val="18"/>
      <w:szCs w:val="18"/>
    </w:rPr>
  </w:style>
  <w:style w:type="character" w:customStyle="1" w:styleId="571">
    <w:name w:val="HTML 预设格式 Char"/>
    <w:qFormat/>
    <w:uiPriority w:val="99"/>
    <w:rPr>
      <w:rFonts w:ascii="Courier New" w:hAnsi="Courier New" w:cs="Courier New"/>
    </w:rPr>
  </w:style>
  <w:style w:type="character" w:customStyle="1" w:styleId="572">
    <w:name w:val="WW8Num27z2"/>
    <w:qFormat/>
    <w:uiPriority w:val="0"/>
    <w:rPr>
      <w:rFonts w:ascii="StarSymbol" w:hAnsi="StarSymbol" w:cs="StarSymbol"/>
      <w:sz w:val="18"/>
      <w:szCs w:val="18"/>
    </w:rPr>
  </w:style>
  <w:style w:type="character" w:customStyle="1" w:styleId="573">
    <w:name w:val="正文首行缩进 2 Char"/>
    <w:qFormat/>
    <w:uiPriority w:val="0"/>
    <w:rPr>
      <w:rFonts w:ascii="楷体_GB2312" w:eastAsia="楷体_GB2312"/>
      <w:sz w:val="21"/>
      <w:szCs w:val="24"/>
    </w:rPr>
  </w:style>
  <w:style w:type="character" w:customStyle="1" w:styleId="574">
    <w:name w:val="atitle21"/>
    <w:qFormat/>
    <w:uiPriority w:val="0"/>
    <w:rPr>
      <w:rFonts w:ascii="Arial" w:hAnsi="Arial" w:cs="Arial"/>
      <w:b/>
      <w:bCs/>
      <w:sz w:val="35"/>
      <w:szCs w:val="35"/>
    </w:rPr>
  </w:style>
  <w:style w:type="character" w:customStyle="1" w:styleId="575">
    <w:name w:val="标题 1 Char2"/>
    <w:qFormat/>
    <w:uiPriority w:val="0"/>
    <w:rPr>
      <w:rFonts w:ascii="Times New Roman" w:hAnsi="Times New Roman" w:eastAsia="宋体" w:cs="Times New Roman"/>
      <w:b/>
      <w:bCs/>
      <w:sz w:val="32"/>
      <w:szCs w:val="28"/>
    </w:rPr>
  </w:style>
  <w:style w:type="character" w:customStyle="1" w:styleId="576">
    <w:name w:val="op_dict3_lineone_result_tip"/>
    <w:qFormat/>
    <w:uiPriority w:val="0"/>
    <w:rPr>
      <w:color w:val="999999"/>
    </w:rPr>
  </w:style>
  <w:style w:type="character" w:customStyle="1" w:styleId="577">
    <w:name w:val="标题 2 Char2"/>
    <w:qFormat/>
    <w:uiPriority w:val="0"/>
    <w:rPr>
      <w:rFonts w:ascii="Times New Roman" w:hAnsi="Times New Roman" w:eastAsia="宋体" w:cs="Times New Roman"/>
      <w:b/>
      <w:bCs/>
      <w:sz w:val="30"/>
      <w:szCs w:val="32"/>
    </w:rPr>
  </w:style>
  <w:style w:type="character" w:customStyle="1" w:styleId="578">
    <w:name w:val="标题 3 Char2"/>
    <w:qFormat/>
    <w:uiPriority w:val="0"/>
    <w:rPr>
      <w:rFonts w:ascii="Times New Roman" w:hAnsi="Times New Roman" w:eastAsia="宋体" w:cs="Times New Roman"/>
      <w:b/>
      <w:bCs/>
      <w:sz w:val="28"/>
      <w:szCs w:val="18"/>
    </w:rPr>
  </w:style>
  <w:style w:type="character" w:customStyle="1" w:styleId="579">
    <w:name w:val="WW8Num9z2"/>
    <w:qFormat/>
    <w:uiPriority w:val="0"/>
    <w:rPr>
      <w:rFonts w:ascii="StarSymbol" w:hAnsi="StarSymbol" w:cs="StarSymbol"/>
      <w:sz w:val="18"/>
      <w:szCs w:val="18"/>
    </w:rPr>
  </w:style>
  <w:style w:type="character" w:customStyle="1" w:styleId="580">
    <w:name w:val="标题 4 Char2"/>
    <w:qFormat/>
    <w:uiPriority w:val="0"/>
    <w:rPr>
      <w:rFonts w:ascii="Times New Roman" w:hAnsi="Times New Roman" w:eastAsia="宋体" w:cs="Times New Roman"/>
      <w:b/>
      <w:bCs/>
      <w:sz w:val="24"/>
      <w:szCs w:val="28"/>
    </w:rPr>
  </w:style>
  <w:style w:type="character" w:customStyle="1" w:styleId="581">
    <w:name w:val="WW8Num13z1"/>
    <w:qFormat/>
    <w:uiPriority w:val="0"/>
    <w:rPr>
      <w:rFonts w:ascii="Wingdings 2" w:hAnsi="Wingdings 2" w:cs="StarSymbol"/>
      <w:sz w:val="18"/>
      <w:szCs w:val="18"/>
    </w:rPr>
  </w:style>
  <w:style w:type="character" w:customStyle="1" w:styleId="582">
    <w:name w:val="标题 5 Char2"/>
    <w:qFormat/>
    <w:uiPriority w:val="0"/>
    <w:rPr>
      <w:rFonts w:ascii="Times New Roman" w:hAnsi="Times New Roman" w:eastAsia="宋体" w:cs="Times New Roman"/>
      <w:b/>
      <w:bCs/>
      <w:sz w:val="21"/>
      <w:szCs w:val="28"/>
      <w:lang w:val="zh-CN"/>
    </w:rPr>
  </w:style>
  <w:style w:type="character" w:customStyle="1" w:styleId="583">
    <w:name w:val="WW8Num15z7"/>
    <w:qFormat/>
    <w:uiPriority w:val="0"/>
    <w:rPr>
      <w:rFonts w:ascii="Wingdings" w:hAnsi="Wingdings"/>
    </w:rPr>
  </w:style>
  <w:style w:type="character" w:customStyle="1" w:styleId="584">
    <w:name w:val="标题 6 Char2"/>
    <w:qFormat/>
    <w:uiPriority w:val="0"/>
    <w:rPr>
      <w:rFonts w:ascii="Cambria" w:hAnsi="Cambria" w:eastAsia="宋体" w:cs="Times New Roman"/>
      <w:b/>
      <w:bCs/>
      <w:sz w:val="24"/>
      <w:szCs w:val="24"/>
      <w:lang w:val="zh-CN"/>
    </w:rPr>
  </w:style>
  <w:style w:type="character" w:customStyle="1" w:styleId="585">
    <w:name w:val="WW8Num26z0"/>
    <w:qFormat/>
    <w:uiPriority w:val="0"/>
    <w:rPr>
      <w:rFonts w:ascii="Wingdings" w:hAnsi="Wingdings" w:cs="StarSymbol"/>
      <w:sz w:val="18"/>
      <w:szCs w:val="18"/>
    </w:rPr>
  </w:style>
  <w:style w:type="character" w:customStyle="1" w:styleId="586">
    <w:name w:val="正文文本缩进 Char3"/>
    <w:qFormat/>
    <w:uiPriority w:val="0"/>
    <w:rPr>
      <w:rFonts w:ascii="Times New Roman" w:hAnsi="Times New Roman" w:eastAsia="宋体" w:cs="Times New Roman"/>
      <w:szCs w:val="24"/>
      <w:lang w:val="zh-CN" w:eastAsia="zh-CN"/>
    </w:rPr>
  </w:style>
  <w:style w:type="character" w:customStyle="1" w:styleId="587">
    <w:name w:val="WW8Num26z2"/>
    <w:qFormat/>
    <w:uiPriority w:val="0"/>
    <w:rPr>
      <w:rFonts w:ascii="StarSymbol" w:hAnsi="StarSymbol" w:cs="StarSymbol"/>
      <w:sz w:val="18"/>
      <w:szCs w:val="18"/>
    </w:rPr>
  </w:style>
  <w:style w:type="character" w:customStyle="1" w:styleId="588">
    <w:name w:val="批注框文本 Char3"/>
    <w:qFormat/>
    <w:uiPriority w:val="99"/>
    <w:rPr>
      <w:rFonts w:ascii="Times New Roman" w:hAnsi="Times New Roman" w:eastAsia="宋体" w:cs="Times New Roman"/>
      <w:sz w:val="18"/>
      <w:szCs w:val="18"/>
    </w:rPr>
  </w:style>
  <w:style w:type="character" w:customStyle="1" w:styleId="589">
    <w:name w:val="bz-content"/>
    <w:qFormat/>
    <w:uiPriority w:val="0"/>
  </w:style>
  <w:style w:type="character" w:customStyle="1" w:styleId="590">
    <w:name w:val="标题 Char2"/>
    <w:qFormat/>
    <w:uiPriority w:val="0"/>
    <w:rPr>
      <w:rFonts w:ascii="Cambria" w:hAnsi="Cambria" w:eastAsia="黑体" w:cs="Times New Roman"/>
      <w:b/>
      <w:bCs/>
      <w:sz w:val="52"/>
      <w:szCs w:val="32"/>
    </w:rPr>
  </w:style>
  <w:style w:type="character" w:customStyle="1" w:styleId="591">
    <w:name w:val="标题 字符1"/>
    <w:qFormat/>
    <w:uiPriority w:val="0"/>
    <w:rPr>
      <w:rFonts w:ascii="宋体" w:hAnsi="宋体" w:eastAsia="方正小标宋_GBK" w:cs="Times New Roman"/>
      <w:color w:val="000000"/>
      <w:sz w:val="52"/>
      <w:szCs w:val="52"/>
    </w:rPr>
  </w:style>
  <w:style w:type="character" w:customStyle="1" w:styleId="592">
    <w:name w:val="正文2 字符"/>
    <w:link w:val="593"/>
    <w:qFormat/>
    <w:uiPriority w:val="0"/>
    <w:rPr>
      <w:szCs w:val="24"/>
    </w:rPr>
  </w:style>
  <w:style w:type="paragraph" w:customStyle="1" w:styleId="593">
    <w:name w:val="正文2"/>
    <w:basedOn w:val="1"/>
    <w:link w:val="592"/>
    <w:qFormat/>
    <w:uiPriority w:val="0"/>
    <w:pPr>
      <w:spacing w:line="360" w:lineRule="auto"/>
      <w:ind w:firstLine="420"/>
    </w:pPr>
    <w:rPr>
      <w:rFonts w:ascii="Times New Roman" w:hAnsi="Times New Roman"/>
      <w:sz w:val="20"/>
      <w:szCs w:val="24"/>
    </w:rPr>
  </w:style>
  <w:style w:type="character" w:customStyle="1" w:styleId="594">
    <w:name w:val="WW8Num4z2"/>
    <w:qFormat/>
    <w:uiPriority w:val="0"/>
    <w:rPr>
      <w:rFonts w:ascii="StarSymbol" w:hAnsi="StarSymbol" w:cs="StarSymbol"/>
      <w:sz w:val="18"/>
      <w:szCs w:val="18"/>
    </w:rPr>
  </w:style>
  <w:style w:type="character" w:customStyle="1" w:styleId="595">
    <w:name w:val="标题 7 Char2"/>
    <w:qFormat/>
    <w:uiPriority w:val="0"/>
    <w:rPr>
      <w:rFonts w:ascii="Times New Roman" w:hAnsi="Times New Roman" w:eastAsia="宋体" w:cs="Times New Roman"/>
      <w:b/>
      <w:bCs/>
      <w:sz w:val="24"/>
      <w:szCs w:val="24"/>
    </w:rPr>
  </w:style>
  <w:style w:type="character" w:customStyle="1" w:styleId="596">
    <w:name w:val="WW-Absatz-Standardschriftart1"/>
    <w:qFormat/>
    <w:uiPriority w:val="0"/>
  </w:style>
  <w:style w:type="character" w:customStyle="1" w:styleId="597">
    <w:name w:val="标题 9 Char2"/>
    <w:qFormat/>
    <w:uiPriority w:val="0"/>
    <w:rPr>
      <w:rFonts w:ascii="Times New Roman" w:hAnsi="Times New Roman" w:eastAsia="宋体" w:cs="Times New Roman"/>
      <w:b/>
      <w:bCs/>
      <w:sz w:val="30"/>
      <w:szCs w:val="18"/>
    </w:rPr>
  </w:style>
  <w:style w:type="character" w:customStyle="1" w:styleId="598">
    <w:name w:val="WW8Num3z1"/>
    <w:qFormat/>
    <w:uiPriority w:val="0"/>
    <w:rPr>
      <w:rFonts w:ascii="Wingdings 2" w:hAnsi="Wingdings 2" w:cs="StarSymbol"/>
      <w:sz w:val="18"/>
      <w:szCs w:val="18"/>
    </w:rPr>
  </w:style>
  <w:style w:type="character" w:customStyle="1" w:styleId="599">
    <w:name w:val="批注文字 Char3"/>
    <w:qFormat/>
    <w:uiPriority w:val="99"/>
    <w:rPr>
      <w:rFonts w:ascii="Times New Roman" w:hAnsi="Times New Roman" w:eastAsia="宋体" w:cs="Times New Roman"/>
      <w:szCs w:val="24"/>
      <w:lang w:val="zh-CN"/>
    </w:rPr>
  </w:style>
  <w:style w:type="character" w:customStyle="1" w:styleId="600">
    <w:name w:val="WW8Num29z1"/>
    <w:qFormat/>
    <w:uiPriority w:val="0"/>
    <w:rPr>
      <w:rFonts w:ascii="Wingdings 2" w:hAnsi="Wingdings 2" w:cs="StarSymbol"/>
      <w:sz w:val="18"/>
      <w:szCs w:val="18"/>
    </w:rPr>
  </w:style>
  <w:style w:type="character" w:customStyle="1" w:styleId="601">
    <w:name w:val="正文文本 Char3"/>
    <w:qFormat/>
    <w:uiPriority w:val="0"/>
    <w:rPr>
      <w:rFonts w:ascii="Times New Roman" w:hAnsi="Times New Roman" w:eastAsia="宋体" w:cs="Times New Roman"/>
      <w:szCs w:val="24"/>
    </w:rPr>
  </w:style>
  <w:style w:type="character" w:customStyle="1" w:styleId="602">
    <w:name w:val="WW8Num9z1"/>
    <w:qFormat/>
    <w:uiPriority w:val="0"/>
    <w:rPr>
      <w:rFonts w:ascii="Wingdings 2" w:hAnsi="Wingdings 2" w:cs="StarSymbol"/>
      <w:sz w:val="18"/>
      <w:szCs w:val="18"/>
    </w:rPr>
  </w:style>
  <w:style w:type="character" w:customStyle="1" w:styleId="603">
    <w:name w:val="日期 Char3"/>
    <w:qFormat/>
    <w:uiPriority w:val="0"/>
    <w:rPr>
      <w:rFonts w:ascii="Times New Roman" w:hAnsi="Times New Roman" w:eastAsia="宋体" w:cs="Times New Roman"/>
      <w:szCs w:val="24"/>
    </w:rPr>
  </w:style>
  <w:style w:type="character" w:customStyle="1" w:styleId="604">
    <w:name w:val="WW8Num5z1"/>
    <w:qFormat/>
    <w:uiPriority w:val="0"/>
    <w:rPr>
      <w:rFonts w:ascii="Wingdings 2" w:hAnsi="Wingdings 2" w:cs="StarSymbol"/>
      <w:sz w:val="18"/>
      <w:szCs w:val="18"/>
    </w:rPr>
  </w:style>
  <w:style w:type="character" w:customStyle="1" w:styleId="605">
    <w:name w:val="正文首行缩进 Char4"/>
    <w:qFormat/>
    <w:uiPriority w:val="0"/>
    <w:rPr>
      <w:rFonts w:ascii="Times New Roman" w:hAnsi="Times New Roman" w:eastAsia="宋体" w:cs="Times New Roman"/>
      <w:szCs w:val="24"/>
    </w:rPr>
  </w:style>
  <w:style w:type="character" w:customStyle="1" w:styleId="606">
    <w:name w:val="标题 4 字符1"/>
    <w:qFormat/>
    <w:uiPriority w:val="9"/>
    <w:rPr>
      <w:rFonts w:ascii="仿宋" w:hAnsi="仿宋" w:eastAsia="仿宋"/>
      <w:b/>
      <w:bCs/>
      <w:sz w:val="32"/>
      <w:szCs w:val="32"/>
    </w:rPr>
  </w:style>
  <w:style w:type="character" w:customStyle="1" w:styleId="607">
    <w:name w:val="正文文本 2 Char2"/>
    <w:qFormat/>
    <w:uiPriority w:val="0"/>
    <w:rPr>
      <w:rFonts w:ascii="Times New Roman" w:hAnsi="Times New Roman" w:eastAsia="宋体" w:cs="Times New Roman"/>
      <w:szCs w:val="24"/>
    </w:rPr>
  </w:style>
  <w:style w:type="character" w:customStyle="1" w:styleId="608">
    <w:name w:val="Bullets"/>
    <w:qFormat/>
    <w:uiPriority w:val="0"/>
    <w:rPr>
      <w:rFonts w:ascii="StarSymbol" w:hAnsi="StarSymbol" w:eastAsia="StarSymbol" w:cs="StarSymbol"/>
      <w:sz w:val="18"/>
      <w:szCs w:val="18"/>
    </w:rPr>
  </w:style>
  <w:style w:type="character" w:customStyle="1" w:styleId="609">
    <w:name w:val="正文文本 3 Char2"/>
    <w:qFormat/>
    <w:uiPriority w:val="0"/>
    <w:rPr>
      <w:rFonts w:ascii="Times New Roman" w:hAnsi="Times New Roman" w:eastAsia="宋体" w:cs="Times New Roman"/>
      <w:sz w:val="16"/>
      <w:szCs w:val="16"/>
    </w:rPr>
  </w:style>
  <w:style w:type="character" w:customStyle="1" w:styleId="610">
    <w:name w:val="WW8Num39z2"/>
    <w:qFormat/>
    <w:uiPriority w:val="0"/>
    <w:rPr>
      <w:rFonts w:ascii="StarSymbol" w:hAnsi="StarSymbol" w:cs="StarSymbol"/>
      <w:sz w:val="18"/>
      <w:szCs w:val="18"/>
    </w:rPr>
  </w:style>
  <w:style w:type="character" w:customStyle="1" w:styleId="611">
    <w:name w:val="正文文本缩进 2 Char3"/>
    <w:qFormat/>
    <w:uiPriority w:val="0"/>
    <w:rPr>
      <w:rFonts w:ascii="Times New Roman" w:hAnsi="Times New Roman" w:eastAsia="楷体_GB2312" w:cs="Times New Roman"/>
      <w:sz w:val="24"/>
      <w:szCs w:val="24"/>
    </w:rPr>
  </w:style>
  <w:style w:type="character" w:customStyle="1" w:styleId="612">
    <w:name w:val="WW8Num11z2"/>
    <w:qFormat/>
    <w:uiPriority w:val="0"/>
    <w:rPr>
      <w:rFonts w:ascii="StarSymbol" w:hAnsi="StarSymbol" w:cs="StarSymbol"/>
      <w:sz w:val="18"/>
      <w:szCs w:val="18"/>
    </w:rPr>
  </w:style>
  <w:style w:type="character" w:customStyle="1" w:styleId="613">
    <w:name w:val="正文文本缩进 3 Char2"/>
    <w:qFormat/>
    <w:uiPriority w:val="0"/>
    <w:rPr>
      <w:rFonts w:ascii="Times New Roman" w:hAnsi="Times New Roman" w:eastAsia="宋体" w:cs="Times New Roman"/>
      <w:sz w:val="16"/>
      <w:szCs w:val="16"/>
    </w:rPr>
  </w:style>
  <w:style w:type="character" w:customStyle="1" w:styleId="614">
    <w:name w:val="WW8Num4z1"/>
    <w:qFormat/>
    <w:uiPriority w:val="0"/>
    <w:rPr>
      <w:rFonts w:ascii="Wingdings" w:hAnsi="Wingdings"/>
    </w:rPr>
  </w:style>
  <w:style w:type="character" w:customStyle="1" w:styleId="615">
    <w:name w:val="方案正文 Char1"/>
    <w:link w:val="616"/>
    <w:qFormat/>
    <w:uiPriority w:val="0"/>
    <w:rPr>
      <w:rFonts w:ascii="宋体" w:hAnsi="宋体" w:cs="宋体"/>
      <w:szCs w:val="28"/>
    </w:rPr>
  </w:style>
  <w:style w:type="paragraph" w:customStyle="1" w:styleId="616">
    <w:name w:val="方案正文"/>
    <w:basedOn w:val="1"/>
    <w:next w:val="1"/>
    <w:link w:val="615"/>
    <w:qFormat/>
    <w:uiPriority w:val="0"/>
    <w:pPr>
      <w:spacing w:line="440" w:lineRule="exact"/>
      <w:ind w:firstLine="200"/>
      <w:jc w:val="left"/>
    </w:pPr>
    <w:rPr>
      <w:rFonts w:ascii="宋体" w:hAnsi="宋体"/>
      <w:sz w:val="20"/>
      <w:szCs w:val="28"/>
    </w:rPr>
  </w:style>
  <w:style w:type="character" w:customStyle="1" w:styleId="617">
    <w:name w:val="标题 8 字符1"/>
    <w:qFormat/>
    <w:uiPriority w:val="9"/>
    <w:rPr>
      <w:rFonts w:ascii="Arial" w:hAnsi="Arial" w:eastAsia="黑体" w:cs="Times New Roman"/>
      <w:sz w:val="24"/>
      <w:szCs w:val="24"/>
    </w:rPr>
  </w:style>
  <w:style w:type="character" w:customStyle="1" w:styleId="618">
    <w:name w:val="FA正文 Char"/>
    <w:link w:val="619"/>
    <w:qFormat/>
    <w:uiPriority w:val="0"/>
    <w:rPr>
      <w:rFonts w:ascii="宋体" w:hAnsi="宋体"/>
      <w:spacing w:val="10"/>
      <w:sz w:val="24"/>
      <w:szCs w:val="24"/>
    </w:rPr>
  </w:style>
  <w:style w:type="paragraph" w:customStyle="1" w:styleId="619">
    <w:name w:val="FA正文"/>
    <w:basedOn w:val="1"/>
    <w:link w:val="618"/>
    <w:qFormat/>
    <w:uiPriority w:val="0"/>
    <w:pPr>
      <w:tabs>
        <w:tab w:val="left" w:pos="3375"/>
      </w:tabs>
      <w:spacing w:line="360" w:lineRule="auto"/>
      <w:ind w:firstLine="520"/>
    </w:pPr>
    <w:rPr>
      <w:rFonts w:ascii="宋体" w:hAnsi="宋体"/>
      <w:spacing w:val="10"/>
      <w:sz w:val="24"/>
      <w:szCs w:val="24"/>
    </w:rPr>
  </w:style>
  <w:style w:type="character" w:customStyle="1" w:styleId="620">
    <w:name w:val="WW8Num18z7"/>
    <w:qFormat/>
    <w:uiPriority w:val="0"/>
    <w:rPr>
      <w:rFonts w:ascii="Wingdings" w:hAnsi="Wingdings"/>
    </w:rPr>
  </w:style>
  <w:style w:type="character" w:customStyle="1" w:styleId="621">
    <w:name w:val="方案正文-样式 小四 行距: 1.5 倍行距 Char"/>
    <w:link w:val="622"/>
    <w:qFormat/>
    <w:uiPriority w:val="0"/>
    <w:rPr>
      <w:sz w:val="24"/>
      <w:lang w:val="zh-CN"/>
    </w:rPr>
  </w:style>
  <w:style w:type="paragraph" w:customStyle="1" w:styleId="622">
    <w:name w:val="方案正文-样式 小四 行距: 1.5 倍行距"/>
    <w:basedOn w:val="1"/>
    <w:link w:val="621"/>
    <w:qFormat/>
    <w:uiPriority w:val="0"/>
    <w:pPr>
      <w:spacing w:before="260" w:after="260" w:line="360" w:lineRule="auto"/>
      <w:ind w:left="1134" w:firstLine="480"/>
    </w:pPr>
    <w:rPr>
      <w:rFonts w:ascii="Times New Roman" w:hAnsi="Times New Roman"/>
      <w:sz w:val="24"/>
      <w:szCs w:val="20"/>
      <w:lang w:val="zh-CN"/>
    </w:rPr>
  </w:style>
  <w:style w:type="character" w:customStyle="1" w:styleId="623">
    <w:name w:val="WW8Num36z2"/>
    <w:qFormat/>
    <w:uiPriority w:val="0"/>
    <w:rPr>
      <w:rFonts w:ascii="StarSymbol" w:hAnsi="StarSymbol" w:cs="StarSymbol"/>
      <w:sz w:val="18"/>
      <w:szCs w:val="18"/>
    </w:rPr>
  </w:style>
  <w:style w:type="character" w:customStyle="1" w:styleId="624">
    <w:name w:val="label_list1"/>
    <w:qFormat/>
    <w:uiPriority w:val="0"/>
  </w:style>
  <w:style w:type="character" w:customStyle="1" w:styleId="625">
    <w:name w:val="WW8Num9z0"/>
    <w:qFormat/>
    <w:uiPriority w:val="0"/>
    <w:rPr>
      <w:rFonts w:ascii="Wingdings" w:hAnsi="Wingdings" w:cs="StarSymbol"/>
      <w:sz w:val="18"/>
      <w:szCs w:val="18"/>
    </w:rPr>
  </w:style>
  <w:style w:type="character" w:customStyle="1" w:styleId="626">
    <w:name w:val="p11b1"/>
    <w:qFormat/>
    <w:uiPriority w:val="0"/>
    <w:rPr>
      <w:color w:val="000000"/>
      <w:spacing w:val="320"/>
      <w:sz w:val="20"/>
      <w:szCs w:val="20"/>
      <w:u w:val="none"/>
    </w:rPr>
  </w:style>
  <w:style w:type="character" w:customStyle="1" w:styleId="627">
    <w:name w:val="WW8Num8z1"/>
    <w:qFormat/>
    <w:uiPriority w:val="0"/>
    <w:rPr>
      <w:rFonts w:ascii="Wingdings 2" w:hAnsi="Wingdings 2" w:cs="StarSymbol"/>
      <w:sz w:val="18"/>
      <w:szCs w:val="18"/>
    </w:rPr>
  </w:style>
  <w:style w:type="character" w:customStyle="1" w:styleId="628">
    <w:name w:val="Indent Normal Char"/>
    <w:qFormat/>
    <w:uiPriority w:val="0"/>
    <w:rPr>
      <w:rFonts w:hint="eastAsia" w:ascii="宋体" w:hAnsi="宋体" w:eastAsia="宋体"/>
      <w:sz w:val="21"/>
      <w:szCs w:val="24"/>
      <w:lang w:val="en-US" w:eastAsia="zh-CN" w:bidi="ar-SA"/>
    </w:rPr>
  </w:style>
  <w:style w:type="character" w:customStyle="1" w:styleId="629">
    <w:name w:val="标题 2 字符1"/>
    <w:qFormat/>
    <w:uiPriority w:val="0"/>
    <w:rPr>
      <w:rFonts w:ascii="楷体" w:eastAsia="楷体"/>
      <w:b/>
      <w:bCs/>
      <w:color w:val="000000"/>
      <w:sz w:val="32"/>
      <w:szCs w:val="28"/>
    </w:rPr>
  </w:style>
  <w:style w:type="character" w:customStyle="1" w:styleId="630">
    <w:name w:val="large1"/>
    <w:qFormat/>
    <w:uiPriority w:val="0"/>
    <w:rPr>
      <w:rFonts w:hint="eastAsia" w:ascii="宋体" w:hAnsi="宋体" w:eastAsia="宋体"/>
      <w:sz w:val="22"/>
      <w:szCs w:val="22"/>
    </w:rPr>
  </w:style>
  <w:style w:type="character" w:customStyle="1" w:styleId="631">
    <w:name w:val="WW8Num32z1"/>
    <w:qFormat/>
    <w:uiPriority w:val="0"/>
    <w:rPr>
      <w:rFonts w:ascii="Wingdings 2" w:hAnsi="Wingdings 2" w:cs="StarSymbol"/>
      <w:sz w:val="18"/>
      <w:szCs w:val="18"/>
    </w:rPr>
  </w:style>
  <w:style w:type="character" w:customStyle="1" w:styleId="632">
    <w:name w:val="f141"/>
    <w:qFormat/>
    <w:uiPriority w:val="0"/>
    <w:rPr>
      <w:sz w:val="21"/>
      <w:szCs w:val="21"/>
    </w:rPr>
  </w:style>
  <w:style w:type="character" w:customStyle="1" w:styleId="633">
    <w:name w:val="WW8Num25z2"/>
    <w:qFormat/>
    <w:uiPriority w:val="0"/>
    <w:rPr>
      <w:rFonts w:ascii="StarSymbol" w:hAnsi="StarSymbol" w:cs="StarSymbol"/>
      <w:sz w:val="18"/>
      <w:szCs w:val="18"/>
    </w:rPr>
  </w:style>
  <w:style w:type="character" w:customStyle="1" w:styleId="634">
    <w:name w:val="14_black1"/>
    <w:qFormat/>
    <w:uiPriority w:val="0"/>
    <w:rPr>
      <w:color w:val="000000"/>
      <w:sz w:val="23"/>
      <w:szCs w:val="23"/>
    </w:rPr>
  </w:style>
  <w:style w:type="character" w:customStyle="1" w:styleId="635">
    <w:name w:val="WW8Num20z0"/>
    <w:qFormat/>
    <w:uiPriority w:val="0"/>
    <w:rPr>
      <w:rFonts w:ascii="Wingdings" w:hAnsi="Wingdings"/>
    </w:rPr>
  </w:style>
  <w:style w:type="character" w:customStyle="1" w:styleId="636">
    <w:name w:val="正文2 Char Char"/>
    <w:qFormat/>
    <w:uiPriority w:val="0"/>
    <w:rPr>
      <w:rFonts w:hint="eastAsia" w:ascii="仿宋_GB2312" w:eastAsia="仿宋_GB2312"/>
      <w:sz w:val="24"/>
    </w:rPr>
  </w:style>
  <w:style w:type="character" w:customStyle="1" w:styleId="637">
    <w:name w:val="WW8Num2z0"/>
    <w:qFormat/>
    <w:uiPriority w:val="0"/>
    <w:rPr>
      <w:rFonts w:ascii="Wingdings" w:hAnsi="Wingdings" w:cs="StarSymbol"/>
      <w:sz w:val="18"/>
      <w:szCs w:val="18"/>
    </w:rPr>
  </w:style>
  <w:style w:type="character" w:customStyle="1" w:styleId="638">
    <w:name w:val="mini-tree-nodetext2"/>
    <w:qFormat/>
    <w:uiPriority w:val="0"/>
  </w:style>
  <w:style w:type="character" w:customStyle="1" w:styleId="639">
    <w:name w:val="WW8Num8z2"/>
    <w:qFormat/>
    <w:uiPriority w:val="0"/>
    <w:rPr>
      <w:rFonts w:ascii="StarSymbol" w:hAnsi="StarSymbol" w:cs="StarSymbol"/>
      <w:sz w:val="18"/>
      <w:szCs w:val="18"/>
    </w:rPr>
  </w:style>
  <w:style w:type="character" w:customStyle="1" w:styleId="640">
    <w:name w:val="before"/>
    <w:qFormat/>
    <w:uiPriority w:val="0"/>
  </w:style>
  <w:style w:type="character" w:customStyle="1" w:styleId="641">
    <w:name w:val="WW8Num39z0"/>
    <w:qFormat/>
    <w:uiPriority w:val="0"/>
    <w:rPr>
      <w:rFonts w:ascii="Wingdings" w:hAnsi="Wingdings" w:cs="StarSymbol"/>
      <w:sz w:val="18"/>
      <w:szCs w:val="18"/>
    </w:rPr>
  </w:style>
  <w:style w:type="character" w:customStyle="1" w:styleId="642">
    <w:name w:val="first-child"/>
    <w:qFormat/>
    <w:uiPriority w:val="0"/>
  </w:style>
  <w:style w:type="character" w:customStyle="1" w:styleId="643">
    <w:name w:val="WW8Num6z0"/>
    <w:qFormat/>
    <w:uiPriority w:val="0"/>
    <w:rPr>
      <w:rFonts w:ascii="Wingdings" w:hAnsi="Wingdings" w:cs="StarSymbol"/>
      <w:sz w:val="18"/>
      <w:szCs w:val="18"/>
    </w:rPr>
  </w:style>
  <w:style w:type="character" w:customStyle="1" w:styleId="644">
    <w:name w:val="icon501"/>
    <w:qFormat/>
    <w:uiPriority w:val="0"/>
    <w:rPr>
      <w:color w:val="A6A6A6"/>
      <w:sz w:val="27"/>
      <w:szCs w:val="27"/>
    </w:rPr>
  </w:style>
  <w:style w:type="character" w:customStyle="1" w:styleId="645">
    <w:name w:val="WW8Num36z0"/>
    <w:qFormat/>
    <w:uiPriority w:val="0"/>
    <w:rPr>
      <w:rFonts w:ascii="Wingdings" w:hAnsi="Wingdings" w:cs="StarSymbol"/>
      <w:sz w:val="18"/>
      <w:szCs w:val="18"/>
    </w:rPr>
  </w:style>
  <w:style w:type="character" w:customStyle="1" w:styleId="646">
    <w:name w:val="range-menu-item-main-content"/>
    <w:qFormat/>
    <w:uiPriority w:val="0"/>
  </w:style>
  <w:style w:type="character" w:customStyle="1" w:styleId="647">
    <w:name w:val="WW8Num37z2"/>
    <w:qFormat/>
    <w:uiPriority w:val="0"/>
    <w:rPr>
      <w:rFonts w:ascii="StarSymbol" w:hAnsi="StarSymbol" w:cs="StarSymbol"/>
      <w:sz w:val="18"/>
      <w:szCs w:val="18"/>
    </w:rPr>
  </w:style>
  <w:style w:type="character" w:customStyle="1" w:styleId="648">
    <w:name w:val="first-child1"/>
    <w:qFormat/>
    <w:uiPriority w:val="0"/>
  </w:style>
  <w:style w:type="character" w:customStyle="1" w:styleId="649">
    <w:name w:val="默认段落字体1"/>
    <w:qFormat/>
    <w:uiPriority w:val="0"/>
  </w:style>
  <w:style w:type="character" w:customStyle="1" w:styleId="650">
    <w:name w:val="active__1oyv"/>
    <w:qFormat/>
    <w:uiPriority w:val="0"/>
    <w:rPr>
      <w:color w:val="383838"/>
    </w:rPr>
  </w:style>
  <w:style w:type="character" w:customStyle="1" w:styleId="651">
    <w:name w:val="WW8Num36z1"/>
    <w:qFormat/>
    <w:uiPriority w:val="0"/>
    <w:rPr>
      <w:rFonts w:ascii="Wingdings 2" w:hAnsi="Wingdings 2" w:cs="StarSymbol"/>
      <w:sz w:val="18"/>
      <w:szCs w:val="18"/>
    </w:rPr>
  </w:style>
  <w:style w:type="character" w:customStyle="1" w:styleId="652">
    <w:name w:val="icon499"/>
    <w:qFormat/>
    <w:uiPriority w:val="0"/>
    <w:rPr>
      <w:color w:val="A6A6A6"/>
      <w:sz w:val="27"/>
      <w:szCs w:val="27"/>
    </w:rPr>
  </w:style>
  <w:style w:type="character" w:customStyle="1" w:styleId="653">
    <w:name w:val="main1"/>
    <w:qFormat/>
    <w:uiPriority w:val="0"/>
    <w:rPr>
      <w:rFonts w:ascii="ˎ̥" w:hAnsi="ˎ̥" w:eastAsia="宋体"/>
      <w:b/>
      <w:sz w:val="21"/>
      <w:szCs w:val="21"/>
      <w:lang w:val="en-US" w:eastAsia="zh-CN" w:bidi="ar-SA"/>
    </w:rPr>
  </w:style>
  <w:style w:type="character" w:customStyle="1" w:styleId="654">
    <w:name w:val="first-child2"/>
    <w:qFormat/>
    <w:uiPriority w:val="0"/>
  </w:style>
  <w:style w:type="character" w:customStyle="1" w:styleId="655">
    <w:name w:val="文档结构图 字符1"/>
    <w:semiHidden/>
    <w:qFormat/>
    <w:uiPriority w:val="99"/>
    <w:rPr>
      <w:rFonts w:ascii="Times New Roman" w:hAnsi="Times New Roman" w:eastAsia="方正仿宋_GBK" w:cs="Times New Roman"/>
      <w:sz w:val="24"/>
      <w:szCs w:val="24"/>
      <w:shd w:val="clear" w:color="auto" w:fill="000080"/>
    </w:rPr>
  </w:style>
  <w:style w:type="character" w:customStyle="1" w:styleId="656">
    <w:name w:val="icon500"/>
    <w:qFormat/>
    <w:uiPriority w:val="0"/>
  </w:style>
  <w:style w:type="character" w:customStyle="1" w:styleId="657">
    <w:name w:val="WW8Num15z2"/>
    <w:qFormat/>
    <w:uiPriority w:val="0"/>
    <w:rPr>
      <w:rFonts w:ascii="StarSymbol" w:hAnsi="StarSymbol" w:cs="StarSymbol"/>
      <w:sz w:val="18"/>
      <w:szCs w:val="18"/>
    </w:rPr>
  </w:style>
  <w:style w:type="character" w:customStyle="1" w:styleId="658">
    <w:name w:val="range-menu-item-main-content1"/>
    <w:qFormat/>
    <w:uiPriority w:val="0"/>
  </w:style>
  <w:style w:type="character" w:customStyle="1" w:styleId="659">
    <w:name w:val="WW8Num3z0"/>
    <w:qFormat/>
    <w:uiPriority w:val="0"/>
    <w:rPr>
      <w:rFonts w:ascii="Wingdings" w:hAnsi="Wingdings" w:cs="StarSymbol"/>
      <w:sz w:val="18"/>
      <w:szCs w:val="18"/>
    </w:rPr>
  </w:style>
  <w:style w:type="character" w:customStyle="1" w:styleId="660">
    <w:name w:val="overdue"/>
    <w:qFormat/>
    <w:uiPriority w:val="0"/>
  </w:style>
  <w:style w:type="character" w:customStyle="1" w:styleId="661">
    <w:name w:val="正文文本 字符1"/>
    <w:semiHidden/>
    <w:qFormat/>
    <w:uiPriority w:val="0"/>
    <w:rPr>
      <w:rFonts w:ascii="Times New Roman" w:hAnsi="Times New Roman" w:eastAsia="方正仿宋_GBK" w:cs="Times New Roman"/>
      <w:sz w:val="24"/>
      <w:szCs w:val="20"/>
    </w:rPr>
  </w:style>
  <w:style w:type="character" w:customStyle="1" w:styleId="662">
    <w:name w:val="overdue2"/>
    <w:qFormat/>
    <w:uiPriority w:val="0"/>
  </w:style>
  <w:style w:type="character" w:customStyle="1" w:styleId="663">
    <w:name w:val="表头样式 Char"/>
    <w:qFormat/>
    <w:uiPriority w:val="0"/>
    <w:rPr>
      <w:rFonts w:ascii="Arial" w:hAnsi="Arial" w:cs="Arial"/>
      <w:b/>
      <w:sz w:val="21"/>
      <w:szCs w:val="21"/>
    </w:rPr>
  </w:style>
  <w:style w:type="character" w:customStyle="1" w:styleId="664">
    <w:name w:val="dls-icon[data-role=icon]"/>
    <w:qFormat/>
    <w:uiPriority w:val="0"/>
    <w:rPr>
      <w:sz w:val="24"/>
      <w:szCs w:val="24"/>
    </w:rPr>
  </w:style>
  <w:style w:type="character" w:customStyle="1" w:styleId="665">
    <w:name w:val="maintext1"/>
    <w:qFormat/>
    <w:uiPriority w:val="0"/>
    <w:rPr>
      <w:rFonts w:ascii="Arial" w:hAnsi="Arial" w:cs="Arial"/>
      <w:color w:val="000000"/>
      <w:sz w:val="18"/>
      <w:szCs w:val="18"/>
    </w:rPr>
  </w:style>
  <w:style w:type="character" w:customStyle="1" w:styleId="666">
    <w:name w:val="icon502"/>
    <w:qFormat/>
    <w:uiPriority w:val="0"/>
    <w:rPr>
      <w:color w:val="A6A6A6"/>
      <w:sz w:val="27"/>
      <w:szCs w:val="27"/>
    </w:rPr>
  </w:style>
  <w:style w:type="character" w:customStyle="1" w:styleId="667">
    <w:name w:val="tw4winMark"/>
    <w:qFormat/>
    <w:uiPriority w:val="0"/>
    <w:rPr>
      <w:rFonts w:ascii="Courier New" w:hAnsi="Courier New" w:cs="Courier New"/>
      <w:vanish/>
      <w:color w:val="800080"/>
      <w:vertAlign w:val="subscript"/>
    </w:rPr>
  </w:style>
  <w:style w:type="character" w:customStyle="1" w:styleId="668">
    <w:name w:val="列表段落 字符"/>
    <w:link w:val="669"/>
    <w:qFormat/>
    <w:uiPriority w:val="0"/>
    <w:rPr>
      <w:szCs w:val="24"/>
    </w:rPr>
  </w:style>
  <w:style w:type="paragraph" w:customStyle="1" w:styleId="669">
    <w:name w:val="列表段落11"/>
    <w:basedOn w:val="1"/>
    <w:link w:val="668"/>
    <w:qFormat/>
    <w:uiPriority w:val="0"/>
    <w:pPr>
      <w:ind w:firstLine="420"/>
    </w:pPr>
    <w:rPr>
      <w:rFonts w:ascii="Times New Roman" w:hAnsi="Times New Roman"/>
      <w:sz w:val="20"/>
      <w:szCs w:val="24"/>
    </w:rPr>
  </w:style>
  <w:style w:type="character" w:customStyle="1" w:styleId="670">
    <w:name w:val="称呼 Char1"/>
    <w:qFormat/>
    <w:uiPriority w:val="0"/>
    <w:rPr>
      <w:sz w:val="21"/>
    </w:rPr>
  </w:style>
  <w:style w:type="character" w:customStyle="1" w:styleId="671">
    <w:name w:val="批注主题 Char3"/>
    <w:qFormat/>
    <w:uiPriority w:val="99"/>
    <w:rPr>
      <w:rFonts w:ascii="Times New Roman" w:hAnsi="Times New Roman" w:eastAsia="宋体" w:cs="Times New Roman"/>
      <w:b/>
      <w:bCs/>
      <w:szCs w:val="24"/>
      <w:lang w:val="zh-CN"/>
    </w:rPr>
  </w:style>
  <w:style w:type="character" w:customStyle="1" w:styleId="672">
    <w:name w:val="正文Normal Char"/>
    <w:qFormat/>
    <w:uiPriority w:val="0"/>
    <w:rPr>
      <w:rFonts w:ascii="Arial" w:hAnsi="Arial" w:cs="Arial"/>
      <w:sz w:val="24"/>
      <w:szCs w:val="24"/>
    </w:rPr>
  </w:style>
  <w:style w:type="character" w:customStyle="1" w:styleId="673">
    <w:name w:val="定制正文 Arial 小四 首行缩进:  0.74 厘米 行距: 1.5 倍行距1 + 宋体 Char"/>
    <w:link w:val="674"/>
    <w:qFormat/>
    <w:uiPriority w:val="0"/>
    <w:rPr>
      <w:rFonts w:ascii="Arial" w:hAnsi="Arial" w:cs="宋体"/>
      <w:bCs/>
      <w:szCs w:val="21"/>
    </w:rPr>
  </w:style>
  <w:style w:type="paragraph" w:customStyle="1" w:styleId="674">
    <w:name w:val="定制正文 Arial 小四 首行缩进:  0.74 厘米 行距: 1.5 倍行距1 + 宋体"/>
    <w:basedOn w:val="1"/>
    <w:link w:val="673"/>
    <w:qFormat/>
    <w:uiPriority w:val="0"/>
    <w:pPr>
      <w:spacing w:line="360" w:lineRule="auto"/>
      <w:ind w:firstLine="420"/>
    </w:pPr>
    <w:rPr>
      <w:rFonts w:ascii="Arial" w:hAnsi="Arial"/>
      <w:bCs/>
      <w:sz w:val="20"/>
      <w:szCs w:val="21"/>
    </w:rPr>
  </w:style>
  <w:style w:type="character" w:customStyle="1" w:styleId="675">
    <w:name w:val="WW8Num16z1"/>
    <w:qFormat/>
    <w:uiPriority w:val="0"/>
    <w:rPr>
      <w:rFonts w:ascii="Wingdings" w:hAnsi="Wingdings"/>
    </w:rPr>
  </w:style>
  <w:style w:type="character" w:customStyle="1" w:styleId="676">
    <w:name w:val="Indent Normal Char1"/>
    <w:link w:val="677"/>
    <w:qFormat/>
    <w:uiPriority w:val="0"/>
    <w:rPr>
      <w:sz w:val="24"/>
      <w:szCs w:val="24"/>
    </w:rPr>
  </w:style>
  <w:style w:type="paragraph" w:customStyle="1" w:styleId="677">
    <w:name w:val="Indent Normal"/>
    <w:basedOn w:val="1"/>
    <w:link w:val="676"/>
    <w:qFormat/>
    <w:uiPriority w:val="0"/>
    <w:pPr>
      <w:spacing w:line="360" w:lineRule="auto"/>
      <w:ind w:firstLine="150"/>
    </w:pPr>
    <w:rPr>
      <w:rFonts w:ascii="Times New Roman" w:hAnsi="Times New Roman"/>
      <w:sz w:val="24"/>
      <w:szCs w:val="24"/>
    </w:rPr>
  </w:style>
  <w:style w:type="character" w:customStyle="1" w:styleId="678">
    <w:name w:val="WW8Num7z2"/>
    <w:qFormat/>
    <w:uiPriority w:val="0"/>
    <w:rPr>
      <w:rFonts w:ascii="StarSymbol" w:hAnsi="StarSymbol" w:cs="StarSymbol"/>
      <w:sz w:val="18"/>
      <w:szCs w:val="18"/>
    </w:rPr>
  </w:style>
  <w:style w:type="character" w:customStyle="1" w:styleId="679">
    <w:name w:val="正文-new Char"/>
    <w:link w:val="680"/>
    <w:qFormat/>
    <w:uiPriority w:val="0"/>
    <w:rPr>
      <w:rFonts w:ascii="宋体" w:hAnsi="宋体" w:cs="宋体"/>
      <w:szCs w:val="21"/>
    </w:rPr>
  </w:style>
  <w:style w:type="paragraph" w:customStyle="1" w:styleId="680">
    <w:name w:val="正文-new"/>
    <w:basedOn w:val="1"/>
    <w:link w:val="679"/>
    <w:qFormat/>
    <w:uiPriority w:val="0"/>
    <w:pPr>
      <w:spacing w:line="360" w:lineRule="auto"/>
      <w:ind w:firstLine="425"/>
    </w:pPr>
    <w:rPr>
      <w:rFonts w:ascii="宋体" w:hAnsi="宋体"/>
      <w:sz w:val="20"/>
      <w:szCs w:val="21"/>
    </w:rPr>
  </w:style>
  <w:style w:type="character" w:customStyle="1" w:styleId="681">
    <w:name w:val="WW8Num24z0"/>
    <w:qFormat/>
    <w:uiPriority w:val="0"/>
    <w:rPr>
      <w:rFonts w:ascii="Wingdings" w:hAnsi="Wingdings" w:cs="StarSymbol"/>
      <w:sz w:val="18"/>
      <w:szCs w:val="18"/>
    </w:rPr>
  </w:style>
  <w:style w:type="character" w:customStyle="1" w:styleId="682">
    <w:name w:val="_正文段落 Char"/>
    <w:qFormat/>
    <w:uiPriority w:val="0"/>
    <w:rPr>
      <w:sz w:val="24"/>
      <w:szCs w:val="24"/>
    </w:rPr>
  </w:style>
  <w:style w:type="character" w:customStyle="1" w:styleId="683">
    <w:name w:val="WW8Num33z2"/>
    <w:qFormat/>
    <w:uiPriority w:val="0"/>
    <w:rPr>
      <w:rFonts w:ascii="StarSymbol" w:hAnsi="StarSymbol" w:cs="StarSymbol"/>
      <w:sz w:val="18"/>
      <w:szCs w:val="18"/>
    </w:rPr>
  </w:style>
  <w:style w:type="character" w:customStyle="1" w:styleId="684">
    <w:name w:val="样式 宋体 小四 段前: 7.8 磅 行距: 1.5 倍行距 Char"/>
    <w:link w:val="685"/>
    <w:qFormat/>
    <w:uiPriority w:val="0"/>
    <w:rPr>
      <w:rFonts w:ascii="宋体" w:hAnsi="宋体"/>
      <w:szCs w:val="21"/>
    </w:rPr>
  </w:style>
  <w:style w:type="paragraph" w:customStyle="1" w:styleId="685">
    <w:name w:val="样式 宋体 小四 段前: 7.8 磅 行距: 1.5 倍行距"/>
    <w:basedOn w:val="1"/>
    <w:link w:val="684"/>
    <w:qFormat/>
    <w:uiPriority w:val="0"/>
    <w:pPr>
      <w:spacing w:line="360" w:lineRule="auto"/>
      <w:ind w:firstLine="420"/>
      <w:jc w:val="left"/>
    </w:pPr>
    <w:rPr>
      <w:rFonts w:ascii="宋体" w:hAnsi="宋体"/>
      <w:sz w:val="20"/>
      <w:szCs w:val="21"/>
    </w:rPr>
  </w:style>
  <w:style w:type="character" w:customStyle="1" w:styleId="686">
    <w:name w:val="WW8Num38z1"/>
    <w:qFormat/>
    <w:uiPriority w:val="0"/>
    <w:rPr>
      <w:rFonts w:ascii="Wingdings 2" w:hAnsi="Wingdings 2" w:cs="StarSymbol"/>
      <w:sz w:val="18"/>
      <w:szCs w:val="18"/>
    </w:rPr>
  </w:style>
  <w:style w:type="character" w:customStyle="1" w:styleId="687">
    <w:name w:val="表格样式 宋体 5号 Char"/>
    <w:link w:val="688"/>
    <w:qFormat/>
    <w:uiPriority w:val="0"/>
    <w:rPr>
      <w:rFonts w:ascii="宋体" w:hAnsi="宋体"/>
      <w:szCs w:val="21"/>
      <w:lang w:val="zh-CN"/>
    </w:rPr>
  </w:style>
  <w:style w:type="paragraph" w:customStyle="1" w:styleId="688">
    <w:name w:val="表格样式 宋体 5号"/>
    <w:basedOn w:val="1"/>
    <w:link w:val="687"/>
    <w:qFormat/>
    <w:uiPriority w:val="0"/>
    <w:pPr>
      <w:jc w:val="left"/>
    </w:pPr>
    <w:rPr>
      <w:rFonts w:ascii="宋体" w:hAnsi="宋体"/>
      <w:sz w:val="20"/>
      <w:szCs w:val="21"/>
      <w:lang w:val="zh-CN"/>
    </w:rPr>
  </w:style>
  <w:style w:type="character" w:customStyle="1" w:styleId="689">
    <w:name w:val="WW8Num7z1"/>
    <w:qFormat/>
    <w:uiPriority w:val="0"/>
    <w:rPr>
      <w:rFonts w:ascii="Wingdings 2" w:hAnsi="Wingdings 2" w:cs="StarSymbol"/>
      <w:sz w:val="18"/>
      <w:szCs w:val="18"/>
    </w:rPr>
  </w:style>
  <w:style w:type="character" w:customStyle="1" w:styleId="690">
    <w:name w:val="样式 宋体 四号"/>
    <w:qFormat/>
    <w:uiPriority w:val="0"/>
    <w:rPr>
      <w:rFonts w:ascii="宋体" w:hAnsi="宋体" w:eastAsia="仿宋_GB2312"/>
      <w:sz w:val="28"/>
    </w:rPr>
  </w:style>
  <w:style w:type="character" w:customStyle="1" w:styleId="691">
    <w:name w:val="WW8Num17z2"/>
    <w:qFormat/>
    <w:uiPriority w:val="0"/>
    <w:rPr>
      <w:rFonts w:ascii="StarSymbol" w:hAnsi="StarSymbol" w:cs="StarSymbol"/>
      <w:sz w:val="18"/>
      <w:szCs w:val="18"/>
    </w:rPr>
  </w:style>
  <w:style w:type="character" w:customStyle="1" w:styleId="692">
    <w:name w:val="我的正文 Char"/>
    <w:link w:val="693"/>
    <w:qFormat/>
    <w:uiPriority w:val="0"/>
    <w:rPr>
      <w:rFonts w:ascii="Arial" w:hAnsi="Arial"/>
      <w:sz w:val="24"/>
      <w:szCs w:val="18"/>
    </w:rPr>
  </w:style>
  <w:style w:type="paragraph" w:customStyle="1" w:styleId="693">
    <w:name w:val="我的正文"/>
    <w:basedOn w:val="1"/>
    <w:link w:val="692"/>
    <w:qFormat/>
    <w:uiPriority w:val="0"/>
    <w:pPr>
      <w:widowControl/>
      <w:spacing w:line="360" w:lineRule="auto"/>
      <w:ind w:firstLine="200"/>
    </w:pPr>
    <w:rPr>
      <w:rFonts w:ascii="Arial" w:hAnsi="Arial"/>
      <w:sz w:val="24"/>
      <w:szCs w:val="18"/>
    </w:rPr>
  </w:style>
  <w:style w:type="character" w:customStyle="1" w:styleId="694">
    <w:name w:val="WW8Num10z1"/>
    <w:qFormat/>
    <w:uiPriority w:val="0"/>
    <w:rPr>
      <w:rFonts w:ascii="Wingdings 2" w:hAnsi="Wingdings 2" w:cs="StarSymbol"/>
      <w:sz w:val="18"/>
      <w:szCs w:val="18"/>
    </w:rPr>
  </w:style>
  <w:style w:type="character" w:customStyle="1" w:styleId="695">
    <w:name w:val="脚注文本 字符"/>
    <w:qFormat/>
    <w:uiPriority w:val="0"/>
    <w:rPr>
      <w:rFonts w:ascii="Times New Roman" w:hAnsi="Times New Roman" w:eastAsia="宋体" w:cs="Times New Roman"/>
      <w:sz w:val="18"/>
      <w:szCs w:val="18"/>
    </w:rPr>
  </w:style>
  <w:style w:type="character" w:customStyle="1" w:styleId="696">
    <w:name w:val="WW8Num27z0"/>
    <w:qFormat/>
    <w:uiPriority w:val="0"/>
    <w:rPr>
      <w:rFonts w:ascii="Wingdings" w:hAnsi="Wingdings" w:cs="StarSymbol"/>
      <w:sz w:val="18"/>
      <w:szCs w:val="18"/>
    </w:rPr>
  </w:style>
  <w:style w:type="character" w:customStyle="1" w:styleId="697">
    <w:name w:val="脚注文本 Char2"/>
    <w:qFormat/>
    <w:uiPriority w:val="0"/>
    <w:rPr>
      <w:rFonts w:ascii="Times New Roman" w:hAnsi="Times New Roman" w:eastAsia="宋体" w:cs="Times New Roman"/>
      <w:sz w:val="18"/>
      <w:szCs w:val="18"/>
    </w:rPr>
  </w:style>
  <w:style w:type="character" w:customStyle="1" w:styleId="698">
    <w:name w:val="WW8Num10z2"/>
    <w:qFormat/>
    <w:uiPriority w:val="0"/>
    <w:rPr>
      <w:rFonts w:ascii="StarSymbol" w:hAnsi="StarSymbol" w:cs="StarSymbol"/>
      <w:sz w:val="18"/>
      <w:szCs w:val="18"/>
    </w:rPr>
  </w:style>
  <w:style w:type="character" w:customStyle="1" w:styleId="699">
    <w:name w:val="HTML 地址 字符"/>
    <w:qFormat/>
    <w:uiPriority w:val="0"/>
    <w:rPr>
      <w:rFonts w:ascii="Times New Roman" w:hAnsi="Times New Roman" w:eastAsia="宋体" w:cs="Times New Roman"/>
      <w:i/>
      <w:iCs/>
      <w:szCs w:val="24"/>
    </w:rPr>
  </w:style>
  <w:style w:type="character" w:customStyle="1" w:styleId="700">
    <w:name w:val="pi1"/>
    <w:qFormat/>
    <w:uiPriority w:val="0"/>
    <w:rPr>
      <w:color w:val="0000FF"/>
    </w:rPr>
  </w:style>
  <w:style w:type="character" w:customStyle="1" w:styleId="701">
    <w:name w:val="HTML 地址 Char2"/>
    <w:qFormat/>
    <w:uiPriority w:val="0"/>
    <w:rPr>
      <w:i/>
      <w:iCs/>
      <w:szCs w:val="24"/>
    </w:rPr>
  </w:style>
  <w:style w:type="character" w:customStyle="1" w:styleId="702">
    <w:name w:val="WW-Absatz-Standardschriftart"/>
    <w:qFormat/>
    <w:uiPriority w:val="0"/>
  </w:style>
  <w:style w:type="character" w:customStyle="1" w:styleId="703">
    <w:name w:val="HTML 预设格式 字符"/>
    <w:qFormat/>
    <w:uiPriority w:val="0"/>
    <w:rPr>
      <w:rFonts w:ascii="Courier New" w:hAnsi="Courier New" w:eastAsia="宋体" w:cs="Courier New"/>
      <w:sz w:val="20"/>
      <w:szCs w:val="20"/>
    </w:rPr>
  </w:style>
  <w:style w:type="character" w:customStyle="1" w:styleId="704">
    <w:name w:val="WW8Num27z1"/>
    <w:qFormat/>
    <w:uiPriority w:val="0"/>
    <w:rPr>
      <w:rFonts w:ascii="Wingdings 2" w:hAnsi="Wingdings 2" w:cs="StarSymbol"/>
      <w:sz w:val="18"/>
      <w:szCs w:val="18"/>
    </w:rPr>
  </w:style>
  <w:style w:type="character" w:customStyle="1" w:styleId="705">
    <w:name w:val="HTML 预设格式 Char2"/>
    <w:qFormat/>
    <w:uiPriority w:val="0"/>
    <w:rPr>
      <w:rFonts w:ascii="Courier New" w:hAnsi="Courier New" w:cs="Courier New"/>
    </w:rPr>
  </w:style>
  <w:style w:type="character" w:customStyle="1" w:styleId="706">
    <w:name w:val="WW8Num20z2"/>
    <w:qFormat/>
    <w:uiPriority w:val="0"/>
    <w:rPr>
      <w:rFonts w:ascii="StarSymbol" w:hAnsi="StarSymbol" w:cs="StarSymbol"/>
      <w:sz w:val="18"/>
      <w:szCs w:val="18"/>
    </w:rPr>
  </w:style>
  <w:style w:type="character" w:customStyle="1" w:styleId="707">
    <w:name w:val="发布"/>
    <w:qFormat/>
    <w:uiPriority w:val="0"/>
    <w:rPr>
      <w:rFonts w:ascii="黑体" w:eastAsia="黑体"/>
      <w:spacing w:val="22"/>
      <w:position w:val="3"/>
      <w:sz w:val="28"/>
    </w:rPr>
  </w:style>
  <w:style w:type="character" w:customStyle="1" w:styleId="708">
    <w:name w:val="WW8Num29z0"/>
    <w:qFormat/>
    <w:uiPriority w:val="0"/>
    <w:rPr>
      <w:rFonts w:ascii="Wingdings" w:hAnsi="Wingdings" w:cs="StarSymbol"/>
      <w:sz w:val="18"/>
      <w:szCs w:val="18"/>
    </w:rPr>
  </w:style>
  <w:style w:type="character" w:customStyle="1" w:styleId="709">
    <w:name w:val="EmailStyle87"/>
    <w:qFormat/>
    <w:uiPriority w:val="0"/>
    <w:rPr>
      <w:rFonts w:ascii="Arial" w:hAnsi="Arial" w:eastAsia="宋体" w:cs="Arial"/>
      <w:color w:val="000000"/>
      <w:sz w:val="20"/>
    </w:rPr>
  </w:style>
  <w:style w:type="character" w:customStyle="1" w:styleId="710">
    <w:name w:val="WW8Num24z2"/>
    <w:qFormat/>
    <w:uiPriority w:val="0"/>
    <w:rPr>
      <w:rFonts w:ascii="StarSymbol" w:hAnsi="StarSymbol" w:cs="StarSymbol"/>
      <w:sz w:val="18"/>
      <w:szCs w:val="18"/>
    </w:rPr>
  </w:style>
  <w:style w:type="character" w:customStyle="1" w:styleId="711">
    <w:name w:val="EmailStyle88"/>
    <w:qFormat/>
    <w:uiPriority w:val="0"/>
    <w:rPr>
      <w:rFonts w:ascii="Arial" w:hAnsi="Arial" w:eastAsia="宋体" w:cs="Arial"/>
      <w:color w:val="000000"/>
      <w:sz w:val="20"/>
    </w:rPr>
  </w:style>
  <w:style w:type="character" w:customStyle="1" w:styleId="712">
    <w:name w:val="称呼 字符1"/>
    <w:qFormat/>
    <w:uiPriority w:val="0"/>
    <w:rPr>
      <w:rFonts w:ascii="Times New Roman" w:hAnsi="Times New Roman" w:eastAsia="宋体" w:cs="Times New Roman"/>
      <w:szCs w:val="24"/>
    </w:rPr>
  </w:style>
  <w:style w:type="character" w:customStyle="1" w:styleId="713">
    <w:name w:val="FA正文 Char Char"/>
    <w:qFormat/>
    <w:uiPriority w:val="0"/>
    <w:rPr>
      <w:rFonts w:hAnsi="宋体" w:cs="宋体"/>
      <w:sz w:val="24"/>
      <w:szCs w:val="21"/>
    </w:rPr>
  </w:style>
  <w:style w:type="character" w:customStyle="1" w:styleId="714">
    <w:name w:val="副标题 字符1"/>
    <w:qFormat/>
    <w:uiPriority w:val="0"/>
    <w:rPr>
      <w:b/>
      <w:bCs/>
      <w:sz w:val="32"/>
      <w:szCs w:val="32"/>
    </w:rPr>
  </w:style>
  <w:style w:type="character" w:customStyle="1" w:styleId="715">
    <w:name w:val="注释标题 字符"/>
    <w:qFormat/>
    <w:uiPriority w:val="0"/>
    <w:rPr>
      <w:rFonts w:ascii="Times New Roman" w:hAnsi="Times New Roman" w:eastAsia="宋体" w:cs="Times New Roman"/>
      <w:szCs w:val="24"/>
    </w:rPr>
  </w:style>
  <w:style w:type="character" w:customStyle="1" w:styleId="716">
    <w:name w:val="正文文本首行缩进 2 字符1"/>
    <w:qFormat/>
    <w:uiPriority w:val="0"/>
    <w:rPr>
      <w:rFonts w:ascii="Times New Roman" w:hAnsi="Times New Roman" w:eastAsia="宋体" w:cs="Times New Roman"/>
      <w:szCs w:val="24"/>
      <w:lang w:val="zh-CN" w:eastAsia="zh-CN"/>
    </w:rPr>
  </w:style>
  <w:style w:type="character" w:customStyle="1" w:styleId="717">
    <w:name w:val="注释标题 Char3"/>
    <w:qFormat/>
    <w:uiPriority w:val="0"/>
    <w:rPr>
      <w:szCs w:val="24"/>
    </w:rPr>
  </w:style>
  <w:style w:type="character" w:customStyle="1" w:styleId="718">
    <w:name w:val="Char Char312"/>
    <w:qFormat/>
    <w:uiPriority w:val="0"/>
    <w:rPr>
      <w:rFonts w:eastAsia="宋体"/>
      <w:sz w:val="21"/>
      <w:szCs w:val="24"/>
      <w:lang w:val="en-US" w:eastAsia="zh-CN" w:bidi="ar-SA"/>
    </w:rPr>
  </w:style>
  <w:style w:type="character" w:customStyle="1" w:styleId="719">
    <w:name w:val="EmailStyle127"/>
    <w:qFormat/>
    <w:uiPriority w:val="0"/>
    <w:rPr>
      <w:rFonts w:ascii="Arial" w:hAnsi="Arial" w:eastAsia="宋体" w:cs="Arial"/>
      <w:color w:val="000000"/>
      <w:sz w:val="20"/>
    </w:rPr>
  </w:style>
  <w:style w:type="character" w:customStyle="1" w:styleId="720">
    <w:name w:val="!BECC正文 Char"/>
    <w:link w:val="721"/>
    <w:qFormat/>
    <w:uiPriority w:val="0"/>
    <w:rPr>
      <w:sz w:val="24"/>
      <w:szCs w:val="24"/>
    </w:rPr>
  </w:style>
  <w:style w:type="paragraph" w:customStyle="1" w:styleId="721">
    <w:name w:val="!BECC正文"/>
    <w:basedOn w:val="1"/>
    <w:link w:val="720"/>
    <w:qFormat/>
    <w:uiPriority w:val="0"/>
    <w:pPr>
      <w:tabs>
        <w:tab w:val="left" w:pos="0"/>
      </w:tabs>
      <w:spacing w:line="360" w:lineRule="auto"/>
      <w:ind w:firstLine="200"/>
      <w:contextualSpacing/>
    </w:pPr>
    <w:rPr>
      <w:rFonts w:ascii="Times New Roman" w:hAnsi="Times New Roman"/>
      <w:sz w:val="24"/>
      <w:szCs w:val="24"/>
    </w:rPr>
  </w:style>
  <w:style w:type="character" w:customStyle="1" w:styleId="722">
    <w:name w:val="EmailStyle128"/>
    <w:qFormat/>
    <w:uiPriority w:val="0"/>
    <w:rPr>
      <w:rFonts w:ascii="Arial" w:hAnsi="Arial" w:eastAsia="宋体" w:cs="Arial"/>
      <w:color w:val="000000"/>
      <w:sz w:val="20"/>
    </w:rPr>
  </w:style>
  <w:style w:type="character" w:customStyle="1" w:styleId="723">
    <w:name w:val="ordinary-span-edit2"/>
    <w:qFormat/>
    <w:uiPriority w:val="0"/>
  </w:style>
  <w:style w:type="character" w:customStyle="1" w:styleId="724">
    <w:name w:val="标题 2 Char1"/>
    <w:qFormat/>
    <w:uiPriority w:val="0"/>
    <w:rPr>
      <w:b/>
      <w:bCs/>
      <w:sz w:val="30"/>
      <w:szCs w:val="32"/>
    </w:rPr>
  </w:style>
  <w:style w:type="character" w:customStyle="1" w:styleId="725">
    <w:name w:val="!RepPar_alt+p Char"/>
    <w:link w:val="726"/>
    <w:qFormat/>
    <w:uiPriority w:val="0"/>
    <w:rPr>
      <w:sz w:val="24"/>
      <w:szCs w:val="24"/>
      <w:lang w:val="zh-CN"/>
    </w:rPr>
  </w:style>
  <w:style w:type="paragraph" w:customStyle="1" w:styleId="726">
    <w:name w:val="!RepPar_alt+p"/>
    <w:basedOn w:val="1"/>
    <w:link w:val="725"/>
    <w:qFormat/>
    <w:uiPriority w:val="0"/>
    <w:pPr>
      <w:spacing w:line="360" w:lineRule="auto"/>
      <w:ind w:firstLine="200"/>
    </w:pPr>
    <w:rPr>
      <w:rFonts w:ascii="Times New Roman" w:hAnsi="Times New Roman"/>
      <w:sz w:val="24"/>
      <w:szCs w:val="24"/>
      <w:lang w:val="zh-CN"/>
    </w:rPr>
  </w:style>
  <w:style w:type="character" w:customStyle="1" w:styleId="727">
    <w:name w:val="bz-content1"/>
    <w:qFormat/>
    <w:uiPriority w:val="0"/>
    <w:rPr>
      <w:sz w:val="20"/>
      <w:szCs w:val="20"/>
      <w:u w:val="none"/>
    </w:rPr>
  </w:style>
  <w:style w:type="character" w:customStyle="1" w:styleId="728">
    <w:name w:val="highlight1"/>
    <w:qFormat/>
    <w:uiPriority w:val="0"/>
    <w:rPr>
      <w:shd w:val="clear" w:color="auto" w:fill="FFFF00"/>
    </w:rPr>
  </w:style>
  <w:style w:type="character" w:customStyle="1" w:styleId="729">
    <w:name w:val="Char Char3"/>
    <w:qFormat/>
    <w:uiPriority w:val="0"/>
    <w:rPr>
      <w:rFonts w:eastAsia="宋体"/>
      <w:sz w:val="21"/>
      <w:szCs w:val="24"/>
      <w:lang w:val="en-US" w:eastAsia="zh-CN" w:bidi="ar-SA"/>
    </w:rPr>
  </w:style>
  <w:style w:type="character" w:customStyle="1" w:styleId="730">
    <w:name w:val="highlight"/>
    <w:qFormat/>
    <w:uiPriority w:val="0"/>
  </w:style>
  <w:style w:type="character" w:customStyle="1" w:styleId="731">
    <w:name w:val="style12"/>
    <w:qFormat/>
    <w:uiPriority w:val="0"/>
  </w:style>
  <w:style w:type="character" w:customStyle="1" w:styleId="732">
    <w:name w:val="样式1 Char"/>
    <w:link w:val="733"/>
    <w:qFormat/>
    <w:uiPriority w:val="0"/>
    <w:rPr>
      <w:sz w:val="24"/>
      <w:szCs w:val="24"/>
    </w:rPr>
  </w:style>
  <w:style w:type="paragraph" w:customStyle="1" w:styleId="733">
    <w:name w:val="样式1"/>
    <w:basedOn w:val="1"/>
    <w:link w:val="732"/>
    <w:qFormat/>
    <w:uiPriority w:val="0"/>
    <w:pPr>
      <w:spacing w:line="300" w:lineRule="auto"/>
      <w:ind w:firstLine="480"/>
    </w:pPr>
    <w:rPr>
      <w:rFonts w:ascii="Times New Roman" w:hAnsi="Times New Roman"/>
      <w:sz w:val="24"/>
      <w:szCs w:val="24"/>
    </w:rPr>
  </w:style>
  <w:style w:type="character" w:customStyle="1" w:styleId="734">
    <w:name w:val="font201"/>
    <w:qFormat/>
    <w:uiPriority w:val="0"/>
    <w:rPr>
      <w:spacing w:val="300"/>
    </w:rPr>
  </w:style>
  <w:style w:type="character" w:customStyle="1" w:styleId="735">
    <w:name w:val="明显强调1"/>
    <w:qFormat/>
    <w:uiPriority w:val="0"/>
    <w:rPr>
      <w:i/>
      <w:iCs/>
      <w:color w:val="5B9BD5"/>
    </w:rPr>
  </w:style>
  <w:style w:type="character" w:customStyle="1" w:styleId="736">
    <w:name w:val="lawsitemtext1"/>
    <w:qFormat/>
    <w:uiPriority w:val="0"/>
    <w:rPr>
      <w:color w:val="696969"/>
      <w:spacing w:val="280"/>
      <w:sz w:val="21"/>
      <w:szCs w:val="21"/>
    </w:rPr>
  </w:style>
  <w:style w:type="character" w:customStyle="1" w:styleId="737">
    <w:name w:val="文字 Char Char"/>
    <w:link w:val="738"/>
    <w:qFormat/>
    <w:uiPriority w:val="0"/>
    <w:rPr>
      <w:rFonts w:ascii="楷体_GB2312" w:eastAsia="楷体_GB2312"/>
      <w:sz w:val="28"/>
    </w:rPr>
  </w:style>
  <w:style w:type="paragraph" w:customStyle="1" w:styleId="738">
    <w:name w:val="文字"/>
    <w:basedOn w:val="1"/>
    <w:link w:val="737"/>
    <w:qFormat/>
    <w:uiPriority w:val="0"/>
    <w:pPr>
      <w:tabs>
        <w:tab w:val="left" w:pos="8520"/>
      </w:tabs>
      <w:spacing w:line="312" w:lineRule="auto"/>
      <w:ind w:right="-210" w:firstLine="556"/>
    </w:pPr>
    <w:rPr>
      <w:rFonts w:ascii="楷体_GB2312" w:hAnsi="Times New Roman" w:eastAsia="楷体_GB2312"/>
      <w:sz w:val="28"/>
      <w:szCs w:val="20"/>
    </w:rPr>
  </w:style>
  <w:style w:type="character" w:customStyle="1" w:styleId="739">
    <w:name w:val="l151"/>
    <w:qFormat/>
    <w:uiPriority w:val="0"/>
  </w:style>
  <w:style w:type="character" w:customStyle="1" w:styleId="740">
    <w:name w:val="Char Char31"/>
    <w:qFormat/>
    <w:uiPriority w:val="0"/>
    <w:rPr>
      <w:rFonts w:eastAsia="宋体"/>
      <w:sz w:val="21"/>
      <w:szCs w:val="24"/>
      <w:lang w:val="en-US" w:eastAsia="zh-CN" w:bidi="ar-SA"/>
    </w:rPr>
  </w:style>
  <w:style w:type="character" w:customStyle="1" w:styleId="741">
    <w:name w:val="EmailStyle891"/>
    <w:qFormat/>
    <w:uiPriority w:val="0"/>
    <w:rPr>
      <w:rFonts w:ascii="Arial" w:hAnsi="Arial" w:eastAsia="宋体" w:cs="Arial"/>
      <w:color w:val="000000"/>
      <w:sz w:val="20"/>
    </w:rPr>
  </w:style>
  <w:style w:type="character" w:customStyle="1" w:styleId="742">
    <w:name w:val="一级条标题 Char"/>
    <w:qFormat/>
    <w:uiPriority w:val="0"/>
    <w:rPr>
      <w:rFonts w:ascii="黑体" w:hAnsi="Times New Roman" w:eastAsia="黑体" w:cs="Times New Roman"/>
      <w:szCs w:val="20"/>
    </w:rPr>
  </w:style>
  <w:style w:type="character" w:customStyle="1" w:styleId="743">
    <w:name w:val="EmailStyle901"/>
    <w:qFormat/>
    <w:uiPriority w:val="0"/>
    <w:rPr>
      <w:rFonts w:ascii="Arial" w:hAnsi="Arial" w:eastAsia="宋体" w:cs="Arial"/>
      <w:color w:val="000000"/>
      <w:sz w:val="20"/>
    </w:rPr>
  </w:style>
  <w:style w:type="character" w:customStyle="1" w:styleId="744">
    <w:name w:val="small1"/>
    <w:qFormat/>
    <w:uiPriority w:val="0"/>
    <w:rPr>
      <w:rFonts w:ascii="Verdana" w:hAnsi="Verdana"/>
      <w:sz w:val="18"/>
      <w:szCs w:val="18"/>
    </w:rPr>
  </w:style>
  <w:style w:type="character" w:customStyle="1" w:styleId="745">
    <w:name w:val="二级条标题 Char"/>
    <w:qFormat/>
    <w:uiPriority w:val="0"/>
    <w:rPr>
      <w:rFonts w:ascii="黑体" w:hAnsi="Times New Roman" w:eastAsia="黑体" w:cs="Times New Roman"/>
      <w:szCs w:val="20"/>
    </w:rPr>
  </w:style>
  <w:style w:type="character" w:customStyle="1" w:styleId="746">
    <w:name w:val="fnt1"/>
    <w:qFormat/>
    <w:uiPriority w:val="0"/>
    <w:rPr>
      <w:rFonts w:ascii="Verdana" w:hAnsi="Verdana"/>
      <w:color w:val="666666"/>
      <w:sz w:val="18"/>
      <w:szCs w:val="18"/>
    </w:rPr>
  </w:style>
  <w:style w:type="character" w:customStyle="1" w:styleId="747">
    <w:name w:val="三级条标题 Char"/>
    <w:link w:val="748"/>
    <w:qFormat/>
    <w:uiPriority w:val="0"/>
    <w:rPr>
      <w:rFonts w:ascii="黑体" w:eastAsia="黑体"/>
    </w:rPr>
  </w:style>
  <w:style w:type="paragraph" w:customStyle="1" w:styleId="748">
    <w:name w:val="三级条标题"/>
    <w:basedOn w:val="422"/>
    <w:next w:val="399"/>
    <w:link w:val="747"/>
    <w:qFormat/>
    <w:uiPriority w:val="0"/>
    <w:pPr>
      <w:tabs>
        <w:tab w:val="left" w:pos="1440"/>
      </w:tabs>
      <w:ind w:left="780" w:hanging="360"/>
      <w:outlineLvl w:val="4"/>
    </w:pPr>
  </w:style>
  <w:style w:type="character" w:customStyle="1" w:styleId="749">
    <w:name w:val="paragraph1 Char"/>
    <w:link w:val="750"/>
    <w:qFormat/>
    <w:uiPriority w:val="0"/>
    <w:rPr>
      <w:rFonts w:ascii="仿宋_GB2312" w:eastAsia="仿宋_GB2312"/>
      <w:sz w:val="28"/>
      <w:szCs w:val="24"/>
    </w:rPr>
  </w:style>
  <w:style w:type="paragraph" w:customStyle="1" w:styleId="750">
    <w:name w:val="paragraph1"/>
    <w:basedOn w:val="1"/>
    <w:link w:val="749"/>
    <w:qFormat/>
    <w:uiPriority w:val="0"/>
    <w:pPr>
      <w:spacing w:line="360" w:lineRule="auto"/>
      <w:ind w:firstLine="200"/>
    </w:pPr>
    <w:rPr>
      <w:rFonts w:ascii="仿宋_GB2312" w:hAnsi="Times New Roman" w:eastAsia="仿宋_GB2312"/>
      <w:sz w:val="28"/>
      <w:szCs w:val="24"/>
    </w:rPr>
  </w:style>
  <w:style w:type="character" w:customStyle="1" w:styleId="751">
    <w:name w:val="注： Char"/>
    <w:link w:val="752"/>
    <w:qFormat/>
    <w:uiPriority w:val="0"/>
    <w:rPr>
      <w:rFonts w:ascii="宋体" w:hAnsi="等线" w:eastAsia="等线"/>
      <w:sz w:val="18"/>
      <w:szCs w:val="22"/>
      <w:lang w:val="en-US" w:eastAsia="zh-CN" w:bidi="ar-SA"/>
    </w:rPr>
  </w:style>
  <w:style w:type="paragraph" w:customStyle="1" w:styleId="752">
    <w:name w:val="注："/>
    <w:next w:val="399"/>
    <w:link w:val="751"/>
    <w:qFormat/>
    <w:uiPriority w:val="0"/>
    <w:pPr>
      <w:widowControl w:val="0"/>
      <w:tabs>
        <w:tab w:val="left" w:pos="1200"/>
      </w:tabs>
      <w:ind w:left="840" w:hanging="420"/>
      <w:jc w:val="both"/>
    </w:pPr>
    <w:rPr>
      <w:rFonts w:ascii="宋体" w:hAnsi="等线" w:eastAsia="等线" w:cs="Times New Roman"/>
      <w:sz w:val="18"/>
      <w:szCs w:val="22"/>
      <w:lang w:val="en-US" w:eastAsia="zh-CN" w:bidi="ar-SA"/>
    </w:rPr>
  </w:style>
  <w:style w:type="character" w:customStyle="1" w:styleId="753">
    <w:name w:val="EmailStyle1271"/>
    <w:qFormat/>
    <w:uiPriority w:val="0"/>
    <w:rPr>
      <w:rFonts w:ascii="Arial" w:hAnsi="Arial" w:eastAsia="宋体" w:cs="Arial"/>
      <w:color w:val="000000"/>
      <w:sz w:val="20"/>
    </w:rPr>
  </w:style>
  <w:style w:type="character" w:customStyle="1" w:styleId="754">
    <w:name w:val="WW-Absatz-Standardschriftart1111"/>
    <w:qFormat/>
    <w:uiPriority w:val="0"/>
  </w:style>
  <w:style w:type="character" w:customStyle="1" w:styleId="755">
    <w:name w:val="EmailStyle1281"/>
    <w:qFormat/>
    <w:uiPriority w:val="0"/>
    <w:rPr>
      <w:rFonts w:ascii="Arial" w:hAnsi="Arial" w:eastAsia="宋体" w:cs="Arial"/>
      <w:color w:val="000000"/>
      <w:sz w:val="20"/>
    </w:rPr>
  </w:style>
  <w:style w:type="character" w:customStyle="1" w:styleId="756">
    <w:name w:val="WW8Num1z7"/>
    <w:qFormat/>
    <w:uiPriority w:val="0"/>
    <w:rPr>
      <w:rFonts w:ascii="Wingdings" w:hAnsi="Wingdings"/>
    </w:rPr>
  </w:style>
  <w:style w:type="character" w:customStyle="1" w:styleId="757">
    <w:name w:val="EmailStyle170"/>
    <w:qFormat/>
    <w:uiPriority w:val="0"/>
    <w:rPr>
      <w:rFonts w:ascii="Arial" w:hAnsi="Arial" w:eastAsia="宋体" w:cs="Arial"/>
      <w:color w:val="000000"/>
      <w:sz w:val="20"/>
    </w:rPr>
  </w:style>
  <w:style w:type="character" w:customStyle="1" w:styleId="758">
    <w:name w:val="WW8Num19z2"/>
    <w:qFormat/>
    <w:uiPriority w:val="0"/>
    <w:rPr>
      <w:rFonts w:ascii="StarSymbol" w:hAnsi="StarSymbol" w:cs="StarSymbol"/>
      <w:sz w:val="18"/>
      <w:szCs w:val="18"/>
    </w:rPr>
  </w:style>
  <w:style w:type="character" w:customStyle="1" w:styleId="759">
    <w:name w:val="EmailStyle171"/>
    <w:qFormat/>
    <w:uiPriority w:val="0"/>
    <w:rPr>
      <w:rFonts w:ascii="Arial" w:hAnsi="Arial" w:eastAsia="宋体" w:cs="Arial"/>
      <w:color w:val="000000"/>
      <w:sz w:val="20"/>
    </w:rPr>
  </w:style>
  <w:style w:type="character" w:customStyle="1" w:styleId="760">
    <w:name w:val="WW8Num7z0"/>
    <w:qFormat/>
    <w:uiPriority w:val="0"/>
    <w:rPr>
      <w:rFonts w:ascii="Wingdings" w:hAnsi="Wingdings"/>
    </w:rPr>
  </w:style>
  <w:style w:type="character" w:customStyle="1" w:styleId="761">
    <w:name w:val="Char Char311"/>
    <w:qFormat/>
    <w:uiPriority w:val="0"/>
    <w:rPr>
      <w:rFonts w:eastAsia="宋体"/>
      <w:sz w:val="21"/>
      <w:szCs w:val="24"/>
      <w:lang w:val="en-US" w:eastAsia="zh-CN" w:bidi="ar-SA"/>
    </w:rPr>
  </w:style>
  <w:style w:type="character" w:customStyle="1" w:styleId="762">
    <w:name w:val="WW8Num25z1"/>
    <w:qFormat/>
    <w:uiPriority w:val="0"/>
    <w:rPr>
      <w:rFonts w:ascii="Wingdings 2" w:hAnsi="Wingdings 2" w:cs="StarSymbol"/>
      <w:sz w:val="18"/>
      <w:szCs w:val="18"/>
    </w:rPr>
  </w:style>
  <w:style w:type="character" w:customStyle="1" w:styleId="763">
    <w:name w:val="EmailStyle200"/>
    <w:qFormat/>
    <w:uiPriority w:val="0"/>
    <w:rPr>
      <w:rFonts w:ascii="Arial" w:hAnsi="Arial" w:eastAsia="宋体" w:cs="Arial"/>
      <w:color w:val="000000"/>
      <w:sz w:val="20"/>
    </w:rPr>
  </w:style>
  <w:style w:type="character" w:customStyle="1" w:styleId="764">
    <w:name w:val="WW8Num11z0"/>
    <w:qFormat/>
    <w:uiPriority w:val="0"/>
    <w:rPr>
      <w:rFonts w:ascii="Wingdings" w:hAnsi="Wingdings" w:cs="StarSymbol"/>
      <w:sz w:val="18"/>
      <w:szCs w:val="18"/>
    </w:rPr>
  </w:style>
  <w:style w:type="character" w:customStyle="1" w:styleId="765">
    <w:name w:val="EmailStyle201"/>
    <w:qFormat/>
    <w:uiPriority w:val="0"/>
    <w:rPr>
      <w:rFonts w:ascii="Arial" w:hAnsi="Arial" w:eastAsia="宋体" w:cs="Arial"/>
      <w:color w:val="000000"/>
      <w:sz w:val="20"/>
    </w:rPr>
  </w:style>
  <w:style w:type="character" w:customStyle="1" w:styleId="766">
    <w:name w:val="个人撰写风格"/>
    <w:qFormat/>
    <w:uiPriority w:val="0"/>
    <w:rPr>
      <w:rFonts w:ascii="Arial" w:hAnsi="Arial" w:eastAsia="宋体" w:cs="Arial"/>
      <w:color w:val="000000"/>
      <w:sz w:val="20"/>
    </w:rPr>
  </w:style>
  <w:style w:type="character" w:customStyle="1" w:styleId="767">
    <w:name w:val="zn2 Char"/>
    <w:link w:val="768"/>
    <w:qFormat/>
    <w:uiPriority w:val="0"/>
    <w:rPr>
      <w:rFonts w:ascii="华文楷体" w:hAnsi="Cambria" w:eastAsia="仿宋_GB2312"/>
      <w:b/>
      <w:bCs/>
      <w:sz w:val="32"/>
      <w:szCs w:val="32"/>
    </w:rPr>
  </w:style>
  <w:style w:type="paragraph" w:customStyle="1" w:styleId="768">
    <w:name w:val="zn2"/>
    <w:basedOn w:val="202"/>
    <w:link w:val="767"/>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bCs/>
      <w:sz w:val="32"/>
      <w:szCs w:val="32"/>
    </w:rPr>
  </w:style>
  <w:style w:type="character" w:customStyle="1" w:styleId="769">
    <w:name w:val="引用 字符1"/>
    <w:qFormat/>
    <w:uiPriority w:val="99"/>
    <w:rPr>
      <w:rFonts w:ascii="Times New Roman" w:hAnsi="Times New Roman" w:eastAsia="宋体" w:cs="Times New Roman"/>
      <w:i/>
      <w:iCs/>
      <w:color w:val="404040"/>
      <w:szCs w:val="24"/>
    </w:rPr>
  </w:style>
  <w:style w:type="character" w:customStyle="1" w:styleId="770">
    <w:name w:val="zn3 Char"/>
    <w:link w:val="771"/>
    <w:qFormat/>
    <w:uiPriority w:val="0"/>
    <w:rPr>
      <w:rFonts w:ascii="仿宋_GB2312" w:hAnsi="仿宋_GB2312" w:eastAsia="仿宋_GB2312"/>
      <w:b/>
      <w:bCs/>
      <w:sz w:val="32"/>
      <w:szCs w:val="32"/>
    </w:rPr>
  </w:style>
  <w:style w:type="paragraph" w:customStyle="1" w:styleId="771">
    <w:name w:val="zn3"/>
    <w:basedOn w:val="206"/>
    <w:next w:val="1"/>
    <w:link w:val="770"/>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bCs/>
      <w:szCs w:val="32"/>
    </w:rPr>
  </w:style>
  <w:style w:type="character" w:customStyle="1" w:styleId="772">
    <w:name w:val="明显引用 字符"/>
    <w:link w:val="773"/>
    <w:qFormat/>
    <w:uiPriority w:val="0"/>
    <w:rPr>
      <w:b/>
      <w:bCs/>
      <w:i/>
      <w:iCs/>
      <w:color w:val="4F81BD"/>
      <w:sz w:val="22"/>
      <w:lang w:eastAsia="en-US" w:bidi="en-US"/>
    </w:rPr>
  </w:style>
  <w:style w:type="paragraph" w:customStyle="1" w:styleId="773">
    <w:name w:val="明显引用1"/>
    <w:basedOn w:val="1"/>
    <w:next w:val="1"/>
    <w:link w:val="772"/>
    <w:qFormat/>
    <w:uiPriority w:val="0"/>
    <w:pPr>
      <w:widowControl/>
      <w:pBdr>
        <w:bottom w:val="single" w:color="4F81BD" w:sz="4" w:space="4"/>
      </w:pBdr>
      <w:spacing w:before="200" w:after="280" w:line="276" w:lineRule="auto"/>
      <w:ind w:left="936" w:right="936"/>
      <w:jc w:val="left"/>
    </w:pPr>
    <w:rPr>
      <w:rFonts w:ascii="Times New Roman" w:hAnsi="Times New Roman"/>
      <w:b/>
      <w:bCs/>
      <w:i/>
      <w:iCs/>
      <w:color w:val="4F81BD"/>
      <w:sz w:val="22"/>
      <w:szCs w:val="20"/>
      <w:lang w:eastAsia="en-US" w:bidi="en-US"/>
    </w:rPr>
  </w:style>
  <w:style w:type="character" w:customStyle="1" w:styleId="774">
    <w:name w:val="标题 5 Char1"/>
    <w:qFormat/>
    <w:uiPriority w:val="0"/>
    <w:rPr>
      <w:b/>
      <w:bCs/>
      <w:sz w:val="28"/>
      <w:szCs w:val="28"/>
    </w:rPr>
  </w:style>
  <w:style w:type="character" w:customStyle="1" w:styleId="775">
    <w:name w:val="明显引用 字符1"/>
    <w:qFormat/>
    <w:uiPriority w:val="99"/>
    <w:rPr>
      <w:rFonts w:ascii="Times New Roman" w:hAnsi="Times New Roman" w:eastAsia="宋体" w:cs="Times New Roman"/>
      <w:i/>
      <w:iCs/>
      <w:color w:val="4F81BD"/>
      <w:szCs w:val="24"/>
    </w:rPr>
  </w:style>
  <w:style w:type="character" w:customStyle="1" w:styleId="776">
    <w:name w:val="标题 6 Char1"/>
    <w:qFormat/>
    <w:uiPriority w:val="0"/>
    <w:rPr>
      <w:rFonts w:ascii="Calibri Light" w:hAnsi="Calibri Light" w:eastAsia="宋体" w:cs="Times New Roman"/>
      <w:b/>
      <w:bCs/>
      <w:sz w:val="24"/>
      <w:szCs w:val="24"/>
    </w:rPr>
  </w:style>
  <w:style w:type="character" w:customStyle="1" w:styleId="777">
    <w:name w:val="明显引用 Char1"/>
    <w:qFormat/>
    <w:uiPriority w:val="30"/>
    <w:rPr>
      <w:i/>
      <w:iCs/>
      <w:color w:val="5B9BD5"/>
      <w:sz w:val="24"/>
    </w:rPr>
  </w:style>
  <w:style w:type="character" w:customStyle="1" w:styleId="778">
    <w:name w:val="标题 7 Char1"/>
    <w:qFormat/>
    <w:uiPriority w:val="0"/>
    <w:rPr>
      <w:b/>
      <w:bCs/>
      <w:sz w:val="24"/>
      <w:szCs w:val="24"/>
    </w:rPr>
  </w:style>
  <w:style w:type="character" w:customStyle="1" w:styleId="779">
    <w:name w:val="引用 字符"/>
    <w:link w:val="780"/>
    <w:qFormat/>
    <w:uiPriority w:val="0"/>
    <w:rPr>
      <w:i/>
      <w:iCs/>
      <w:color w:val="000000"/>
      <w:sz w:val="22"/>
      <w:lang w:eastAsia="en-US" w:bidi="en-US"/>
    </w:rPr>
  </w:style>
  <w:style w:type="paragraph" w:customStyle="1" w:styleId="780">
    <w:name w:val="引用1"/>
    <w:basedOn w:val="1"/>
    <w:next w:val="1"/>
    <w:link w:val="779"/>
    <w:qFormat/>
    <w:uiPriority w:val="0"/>
    <w:pPr>
      <w:widowControl/>
      <w:spacing w:after="200" w:line="276" w:lineRule="auto"/>
      <w:jc w:val="left"/>
    </w:pPr>
    <w:rPr>
      <w:rFonts w:ascii="Times New Roman" w:hAnsi="Times New Roman"/>
      <w:i/>
      <w:iCs/>
      <w:color w:val="000000"/>
      <w:sz w:val="22"/>
      <w:szCs w:val="20"/>
      <w:lang w:eastAsia="en-US" w:bidi="en-US"/>
    </w:rPr>
  </w:style>
  <w:style w:type="character" w:customStyle="1" w:styleId="781">
    <w:name w:val="标题 8 Char1"/>
    <w:qFormat/>
    <w:uiPriority w:val="0"/>
    <w:rPr>
      <w:rFonts w:ascii="Calibri Light" w:hAnsi="Calibri Light" w:eastAsia="宋体" w:cs="Times New Roman"/>
      <w:sz w:val="24"/>
      <w:szCs w:val="24"/>
    </w:rPr>
  </w:style>
  <w:style w:type="character" w:customStyle="1" w:styleId="782">
    <w:name w:val="不明显参考1"/>
    <w:qFormat/>
    <w:uiPriority w:val="0"/>
    <w:rPr>
      <w:smallCaps/>
      <w:color w:val="C0504D"/>
      <w:u w:val="single"/>
    </w:rPr>
  </w:style>
  <w:style w:type="character" w:customStyle="1" w:styleId="783">
    <w:name w:val="标题 9 Char1"/>
    <w:qFormat/>
    <w:uiPriority w:val="0"/>
    <w:rPr>
      <w:rFonts w:ascii="Calibri Light" w:hAnsi="Calibri Light" w:eastAsia="宋体" w:cs="Times New Roman"/>
      <w:sz w:val="21"/>
      <w:szCs w:val="21"/>
    </w:rPr>
  </w:style>
  <w:style w:type="character" w:customStyle="1" w:styleId="784">
    <w:name w:val="明显参考1"/>
    <w:qFormat/>
    <w:uiPriority w:val="0"/>
    <w:rPr>
      <w:b/>
      <w:bCs/>
      <w:smallCaps/>
      <w:color w:val="C0504D"/>
      <w:spacing w:val="5"/>
      <w:u w:val="single"/>
    </w:rPr>
  </w:style>
  <w:style w:type="character" w:customStyle="1" w:styleId="785">
    <w:name w:val="脚注文本 Char1"/>
    <w:semiHidden/>
    <w:qFormat/>
    <w:uiPriority w:val="0"/>
    <w:rPr>
      <w:sz w:val="18"/>
      <w:szCs w:val="18"/>
    </w:rPr>
  </w:style>
  <w:style w:type="character" w:customStyle="1" w:styleId="786">
    <w:name w:val="tpc_content1"/>
    <w:qFormat/>
    <w:uiPriority w:val="0"/>
    <w:rPr>
      <w:sz w:val="19"/>
      <w:szCs w:val="19"/>
    </w:rPr>
  </w:style>
  <w:style w:type="character" w:customStyle="1" w:styleId="787">
    <w:name w:val="日期 Char1"/>
    <w:qFormat/>
    <w:uiPriority w:val="0"/>
    <w:rPr>
      <w:sz w:val="21"/>
      <w:szCs w:val="24"/>
    </w:rPr>
  </w:style>
  <w:style w:type="character" w:customStyle="1" w:styleId="788">
    <w:name w:val="书籍标题1"/>
    <w:qFormat/>
    <w:uiPriority w:val="0"/>
    <w:rPr>
      <w:b/>
      <w:bCs/>
      <w:smallCaps/>
      <w:spacing w:val="5"/>
    </w:rPr>
  </w:style>
  <w:style w:type="character" w:customStyle="1" w:styleId="789">
    <w:name w:val="正文文本 2 Char1"/>
    <w:qFormat/>
    <w:uiPriority w:val="99"/>
    <w:rPr>
      <w:sz w:val="21"/>
      <w:szCs w:val="24"/>
    </w:rPr>
  </w:style>
  <w:style w:type="character" w:customStyle="1" w:styleId="790">
    <w:name w:val="short_text1"/>
    <w:qFormat/>
    <w:uiPriority w:val="0"/>
    <w:rPr>
      <w:sz w:val="26"/>
      <w:szCs w:val="26"/>
    </w:rPr>
  </w:style>
  <w:style w:type="character" w:customStyle="1" w:styleId="791">
    <w:name w:val="正文文本 3 Char1"/>
    <w:qFormat/>
    <w:uiPriority w:val="0"/>
    <w:rPr>
      <w:sz w:val="16"/>
      <w:szCs w:val="16"/>
    </w:rPr>
  </w:style>
  <w:style w:type="character" w:customStyle="1" w:styleId="792">
    <w:name w:val="ABC标题下的小点 Char"/>
    <w:link w:val="793"/>
    <w:qFormat/>
    <w:uiPriority w:val="0"/>
    <w:rPr>
      <w:rFonts w:ascii="宋体" w:hAnsi="宋体"/>
    </w:rPr>
  </w:style>
  <w:style w:type="paragraph" w:customStyle="1" w:styleId="793">
    <w:name w:val="ABC标题下的小点"/>
    <w:basedOn w:val="1"/>
    <w:link w:val="792"/>
    <w:qFormat/>
    <w:uiPriority w:val="0"/>
    <w:pPr>
      <w:tabs>
        <w:tab w:val="left" w:pos="1260"/>
      </w:tabs>
      <w:spacing w:line="360" w:lineRule="auto"/>
      <w:ind w:left="1190" w:hanging="567"/>
    </w:pPr>
    <w:rPr>
      <w:rFonts w:ascii="宋体" w:hAnsi="宋体"/>
      <w:sz w:val="20"/>
      <w:szCs w:val="20"/>
    </w:rPr>
  </w:style>
  <w:style w:type="character" w:customStyle="1" w:styleId="794">
    <w:name w:val="标题 Char1"/>
    <w:qFormat/>
    <w:uiPriority w:val="0"/>
    <w:rPr>
      <w:rFonts w:ascii="Calibri Light" w:hAnsi="Calibri Light" w:cs="Times New Roman"/>
      <w:b/>
      <w:bCs/>
      <w:sz w:val="32"/>
      <w:szCs w:val="32"/>
    </w:rPr>
  </w:style>
  <w:style w:type="character" w:customStyle="1" w:styleId="795">
    <w:name w:val="style21"/>
    <w:qFormat/>
    <w:uiPriority w:val="0"/>
    <w:rPr>
      <w:color w:val="000080"/>
    </w:rPr>
  </w:style>
  <w:style w:type="character" w:customStyle="1" w:styleId="796">
    <w:name w:val="注释标题 Char1"/>
    <w:qFormat/>
    <w:uiPriority w:val="0"/>
    <w:rPr>
      <w:sz w:val="21"/>
      <w:szCs w:val="24"/>
    </w:rPr>
  </w:style>
  <w:style w:type="character" w:customStyle="1" w:styleId="797">
    <w:name w:val="ns1"/>
    <w:qFormat/>
    <w:uiPriority w:val="0"/>
    <w:rPr>
      <w:color w:val="FF0000"/>
    </w:rPr>
  </w:style>
  <w:style w:type="character" w:customStyle="1" w:styleId="798">
    <w:name w:val="zn1 Char"/>
    <w:link w:val="799"/>
    <w:qFormat/>
    <w:uiPriority w:val="0"/>
    <w:rPr>
      <w:rFonts w:ascii="黑体" w:hAnsi="仿宋_GB2312" w:eastAsia="黑体"/>
      <w:bCs/>
      <w:sz w:val="36"/>
      <w:szCs w:val="32"/>
      <w:lang w:val="zh-CN"/>
    </w:rPr>
  </w:style>
  <w:style w:type="paragraph" w:customStyle="1" w:styleId="799">
    <w:name w:val="zn1"/>
    <w:basedOn w:val="200"/>
    <w:link w:val="798"/>
    <w:qFormat/>
    <w:uiPriority w:val="0"/>
    <w:pPr>
      <w:keepLines/>
      <w:tabs>
        <w:tab w:val="left" w:pos="0"/>
      </w:tabs>
      <w:spacing w:line="560" w:lineRule="exact"/>
      <w:jc w:val="left"/>
    </w:pPr>
    <w:rPr>
      <w:rFonts w:ascii="黑体" w:hAnsi="仿宋_GB2312" w:eastAsia="黑体"/>
      <w:bCs/>
      <w:sz w:val="36"/>
      <w:szCs w:val="32"/>
      <w:lang w:val="zh-CN"/>
    </w:rPr>
  </w:style>
  <w:style w:type="character" w:customStyle="1" w:styleId="800">
    <w:name w:val="hilite2"/>
    <w:qFormat/>
    <w:uiPriority w:val="0"/>
  </w:style>
  <w:style w:type="character" w:customStyle="1" w:styleId="801">
    <w:name w:val="WC三级 Char"/>
    <w:link w:val="802"/>
    <w:qFormat/>
    <w:uiPriority w:val="0"/>
    <w:rPr>
      <w:b/>
      <w:sz w:val="32"/>
      <w:lang w:val="zh-CN"/>
    </w:rPr>
  </w:style>
  <w:style w:type="paragraph" w:customStyle="1" w:styleId="802">
    <w:name w:val="WC三级"/>
    <w:basedOn w:val="206"/>
    <w:link w:val="801"/>
    <w:qFormat/>
    <w:uiPriority w:val="0"/>
    <w:pPr>
      <w:tabs>
        <w:tab w:val="left" w:pos="0"/>
        <w:tab w:val="left" w:pos="1069"/>
      </w:tabs>
      <w:spacing w:before="0" w:after="0" w:line="240" w:lineRule="auto"/>
      <w:ind w:left="1069" w:hanging="709"/>
    </w:pPr>
    <w:rPr>
      <w:lang w:val="zh-CN"/>
    </w:rPr>
  </w:style>
  <w:style w:type="character" w:customStyle="1" w:styleId="803">
    <w:name w:val="个人答复风格"/>
    <w:qFormat/>
    <w:uiPriority w:val="0"/>
    <w:rPr>
      <w:rFonts w:ascii="Arial" w:hAnsi="Arial" w:eastAsia="宋体" w:cs="Arial"/>
      <w:color w:val="000000"/>
      <w:sz w:val="20"/>
    </w:rPr>
  </w:style>
  <w:style w:type="character" w:customStyle="1" w:styleId="804">
    <w:name w:val="WC二级 Char"/>
    <w:link w:val="805"/>
    <w:qFormat/>
    <w:uiPriority w:val="0"/>
    <w:rPr>
      <w:rFonts w:ascii="Arial" w:hAnsi="Arial" w:eastAsia="黑体"/>
      <w:b/>
      <w:sz w:val="32"/>
      <w:lang w:val="zh-CN"/>
    </w:rPr>
  </w:style>
  <w:style w:type="paragraph" w:customStyle="1" w:styleId="805">
    <w:name w:val="WC二级"/>
    <w:basedOn w:val="202"/>
    <w:link w:val="804"/>
    <w:qFormat/>
    <w:uiPriority w:val="0"/>
    <w:pPr>
      <w:tabs>
        <w:tab w:val="left" w:pos="0"/>
        <w:tab w:val="left" w:pos="567"/>
      </w:tabs>
      <w:spacing w:line="240" w:lineRule="auto"/>
      <w:ind w:left="567" w:hanging="567"/>
      <w:jc w:val="both"/>
    </w:pPr>
    <w:rPr>
      <w:rFonts w:ascii="Arial" w:eastAsia="黑体"/>
      <w:sz w:val="32"/>
      <w:lang w:val="zh-CN"/>
    </w:rPr>
  </w:style>
  <w:style w:type="character" w:customStyle="1" w:styleId="806">
    <w:name w:val="b1"/>
    <w:qFormat/>
    <w:uiPriority w:val="0"/>
    <w:rPr>
      <w:rFonts w:ascii="Courier New" w:hAnsi="Courier New" w:cs="Courier New"/>
      <w:b/>
      <w:bCs/>
      <w:color w:val="FF0000"/>
      <w:u w:val="none"/>
    </w:rPr>
  </w:style>
  <w:style w:type="character" w:customStyle="1" w:styleId="807">
    <w:name w:val="样式sjw Char"/>
    <w:link w:val="808"/>
    <w:qFormat/>
    <w:uiPriority w:val="0"/>
    <w:rPr>
      <w:rFonts w:ascii="宋体" w:hAnsi="宋体"/>
      <w:caps/>
      <w:color w:val="000000"/>
      <w:sz w:val="18"/>
      <w:szCs w:val="18"/>
      <w:shd w:val="pct10" w:color="auto" w:fill="auto"/>
      <w:lang w:val="zh-CN"/>
    </w:rPr>
  </w:style>
  <w:style w:type="paragraph" w:customStyle="1" w:styleId="808">
    <w:name w:val="样式sjw"/>
    <w:basedOn w:val="1"/>
    <w:link w:val="807"/>
    <w:qFormat/>
    <w:uiPriority w:val="0"/>
    <w:pPr>
      <w:widowControl/>
      <w:shd w:val="pct10" w:color="auto" w:fill="auto"/>
      <w:jc w:val="left"/>
    </w:pPr>
    <w:rPr>
      <w:rFonts w:ascii="宋体" w:hAnsi="宋体"/>
      <w:caps/>
      <w:color w:val="000000"/>
      <w:sz w:val="18"/>
      <w:szCs w:val="18"/>
      <w:lang w:val="zh-CN"/>
    </w:rPr>
  </w:style>
  <w:style w:type="character" w:customStyle="1" w:styleId="809">
    <w:name w:val="myp1111"/>
    <w:qFormat/>
    <w:uiPriority w:val="0"/>
    <w:rPr>
      <w:rFonts w:ascii="ˎ̥" w:hAnsi="ˎ̥"/>
      <w:color w:val="000000"/>
      <w:sz w:val="20"/>
      <w:szCs w:val="20"/>
      <w:u w:val="none"/>
    </w:rPr>
  </w:style>
  <w:style w:type="character" w:customStyle="1" w:styleId="810">
    <w:name w:val="faqa1"/>
    <w:qFormat/>
    <w:uiPriority w:val="0"/>
    <w:rPr>
      <w:rFonts w:hint="eastAsia" w:ascii="微软雅黑" w:hAnsi="微软雅黑" w:eastAsia="微软雅黑"/>
      <w:b/>
      <w:bCs/>
      <w:sz w:val="27"/>
      <w:szCs w:val="27"/>
    </w:rPr>
  </w:style>
  <w:style w:type="character" w:customStyle="1" w:styleId="811">
    <w:name w:val="表头文字(同正文大小) Char"/>
    <w:link w:val="812"/>
    <w:qFormat/>
    <w:uiPriority w:val="0"/>
    <w:rPr>
      <w:rFonts w:eastAsia="黑体"/>
      <w:lang w:eastAsia="en-US"/>
    </w:rPr>
  </w:style>
  <w:style w:type="paragraph" w:customStyle="1" w:styleId="812">
    <w:name w:val="表头文字(同正文大小)"/>
    <w:basedOn w:val="1"/>
    <w:link w:val="811"/>
    <w:qFormat/>
    <w:uiPriority w:val="0"/>
    <w:pPr>
      <w:spacing w:line="264" w:lineRule="auto"/>
      <w:jc w:val="center"/>
    </w:pPr>
    <w:rPr>
      <w:rFonts w:ascii="Times New Roman" w:hAnsi="Times New Roman" w:eastAsia="黑体"/>
      <w:sz w:val="20"/>
      <w:szCs w:val="20"/>
      <w:lang w:eastAsia="en-US"/>
    </w:rPr>
  </w:style>
  <w:style w:type="character" w:customStyle="1" w:styleId="813">
    <w:name w:val="faqq1"/>
    <w:qFormat/>
    <w:uiPriority w:val="0"/>
    <w:rPr>
      <w:rFonts w:hint="eastAsia" w:ascii="微软雅黑" w:hAnsi="微软雅黑" w:eastAsia="微软雅黑"/>
      <w:sz w:val="24"/>
      <w:szCs w:val="24"/>
    </w:rPr>
  </w:style>
  <w:style w:type="character" w:customStyle="1" w:styleId="814">
    <w:name w:val="表格 Char"/>
    <w:qFormat/>
    <w:uiPriority w:val="0"/>
    <w:rPr>
      <w:rFonts w:ascii="Times New Roman" w:hAnsi="Times New Roman" w:eastAsia="宋体" w:cs="Times New Roman"/>
      <w:sz w:val="24"/>
      <w:szCs w:val="24"/>
    </w:rPr>
  </w:style>
  <w:style w:type="character" w:customStyle="1" w:styleId="815">
    <w:name w:val="题注 Char1"/>
    <w:qFormat/>
    <w:uiPriority w:val="0"/>
    <w:rPr>
      <w:rFonts w:ascii="Arial" w:hAnsi="Arial" w:eastAsia="黑体" w:cs="Arial"/>
      <w:sz w:val="20"/>
      <w:szCs w:val="20"/>
    </w:rPr>
  </w:style>
  <w:style w:type="character" w:customStyle="1" w:styleId="816">
    <w:name w:val="未处理的提及1"/>
    <w:unhideWhenUsed/>
    <w:qFormat/>
    <w:uiPriority w:val="99"/>
    <w:rPr>
      <w:color w:val="605E5C"/>
      <w:shd w:val="clear" w:color="auto" w:fill="E1DFDD"/>
    </w:rPr>
  </w:style>
  <w:style w:type="character" w:customStyle="1" w:styleId="817">
    <w:name w:val="Char Char32"/>
    <w:qFormat/>
    <w:uiPriority w:val="0"/>
    <w:rPr>
      <w:rFonts w:eastAsia="宋体"/>
      <w:sz w:val="21"/>
      <w:szCs w:val="24"/>
      <w:lang w:val="en-US" w:eastAsia="zh-CN" w:bidi="ar-SA"/>
    </w:rPr>
  </w:style>
  <w:style w:type="character" w:customStyle="1" w:styleId="818">
    <w:name w:val="WW8Num22z1"/>
    <w:qFormat/>
    <w:uiPriority w:val="0"/>
    <w:rPr>
      <w:rFonts w:ascii="Wingdings 2" w:hAnsi="Wingdings 2" w:cs="StarSymbol"/>
      <w:sz w:val="18"/>
      <w:szCs w:val="18"/>
    </w:rPr>
  </w:style>
  <w:style w:type="character" w:customStyle="1" w:styleId="819">
    <w:name w:val="正文文本缩进 字符1"/>
    <w:semiHidden/>
    <w:qFormat/>
    <w:uiPriority w:val="0"/>
    <w:rPr>
      <w:rFonts w:ascii="方正仿宋_GBK" w:hAnsi="Times New Roman" w:eastAsia="方正仿宋_GBK" w:cs="Times New Roman"/>
      <w:sz w:val="32"/>
      <w:szCs w:val="20"/>
    </w:rPr>
  </w:style>
  <w:style w:type="character" w:customStyle="1" w:styleId="820">
    <w:name w:val="WW8Num38z2"/>
    <w:qFormat/>
    <w:uiPriority w:val="0"/>
    <w:rPr>
      <w:rFonts w:ascii="StarSymbol" w:hAnsi="StarSymbol" w:cs="StarSymbol"/>
      <w:sz w:val="18"/>
      <w:szCs w:val="18"/>
    </w:rPr>
  </w:style>
  <w:style w:type="character" w:customStyle="1" w:styleId="821">
    <w:name w:val="样式 加粗"/>
    <w:qFormat/>
    <w:uiPriority w:val="0"/>
    <w:rPr>
      <w:rFonts w:hint="eastAsia" w:ascii="宋体" w:hAnsi="宋体" w:eastAsia="宋体"/>
      <w:b/>
      <w:bCs/>
      <w:lang w:val="en-US" w:eastAsia="zh-CN" w:bidi="ar-SA"/>
    </w:rPr>
  </w:style>
  <w:style w:type="character" w:customStyle="1" w:styleId="822">
    <w:name w:val="WW8Num18z2"/>
    <w:qFormat/>
    <w:uiPriority w:val="0"/>
    <w:rPr>
      <w:rFonts w:ascii="StarSymbol" w:hAnsi="StarSymbol" w:cs="StarSymbol"/>
      <w:sz w:val="18"/>
      <w:szCs w:val="18"/>
    </w:rPr>
  </w:style>
  <w:style w:type="character" w:customStyle="1" w:styleId="823">
    <w:name w:val="myp112"/>
    <w:qFormat/>
    <w:uiPriority w:val="0"/>
    <w:rPr>
      <w:color w:val="000000"/>
      <w:sz w:val="22"/>
      <w:szCs w:val="22"/>
      <w:u w:val="none"/>
    </w:rPr>
  </w:style>
  <w:style w:type="character" w:customStyle="1" w:styleId="824">
    <w:name w:val="fontstyle21"/>
    <w:qFormat/>
    <w:uiPriority w:val="0"/>
    <w:rPr>
      <w:rFonts w:ascii="Arial" w:hAnsi="Arial" w:cs="Arial"/>
      <w:color w:val="000000"/>
      <w:sz w:val="24"/>
      <w:szCs w:val="24"/>
    </w:rPr>
  </w:style>
  <w:style w:type="character" w:customStyle="1" w:styleId="825">
    <w:name w:val="WW8Num2z1"/>
    <w:qFormat/>
    <w:uiPriority w:val="0"/>
    <w:rPr>
      <w:rFonts w:ascii="Wingdings 2" w:hAnsi="Wingdings 2" w:cs="StarSymbol"/>
      <w:sz w:val="18"/>
      <w:szCs w:val="18"/>
    </w:rPr>
  </w:style>
  <w:style w:type="character" w:customStyle="1" w:styleId="826">
    <w:name w:val="日期 字符1"/>
    <w:semiHidden/>
    <w:qFormat/>
    <w:uiPriority w:val="0"/>
    <w:rPr>
      <w:rFonts w:ascii="Times New Roman" w:hAnsi="Times New Roman" w:eastAsia="方正仿宋_GBK" w:cs="Times New Roman"/>
      <w:szCs w:val="20"/>
    </w:rPr>
  </w:style>
  <w:style w:type="character" w:customStyle="1" w:styleId="827">
    <w:name w:val="正文首行缩进 2 Char1"/>
    <w:qFormat/>
    <w:uiPriority w:val="0"/>
    <w:rPr>
      <w:rFonts w:hint="eastAsia" w:ascii="方正仿宋_GBK" w:eastAsia="方正仿宋_GBK"/>
      <w:sz w:val="32"/>
      <w:szCs w:val="28"/>
    </w:rPr>
  </w:style>
  <w:style w:type="character" w:customStyle="1" w:styleId="828">
    <w:name w:val="WW8Num35z0"/>
    <w:qFormat/>
    <w:uiPriority w:val="0"/>
    <w:rPr>
      <w:rFonts w:ascii="Wingdings" w:hAnsi="Wingdings" w:cs="StarSymbol"/>
      <w:sz w:val="18"/>
      <w:szCs w:val="18"/>
    </w:rPr>
  </w:style>
  <w:style w:type="character" w:customStyle="1" w:styleId="829">
    <w:name w:val="WW8Num12z2"/>
    <w:qFormat/>
    <w:uiPriority w:val="0"/>
    <w:rPr>
      <w:rFonts w:ascii="StarSymbol" w:hAnsi="StarSymbol" w:cs="StarSymbol"/>
      <w:sz w:val="18"/>
      <w:szCs w:val="18"/>
    </w:rPr>
  </w:style>
  <w:style w:type="character" w:customStyle="1" w:styleId="830">
    <w:name w:val="WW8Num16z0"/>
    <w:qFormat/>
    <w:uiPriority w:val="0"/>
    <w:rPr>
      <w:rFonts w:ascii="Wingdings" w:hAnsi="Wingdings" w:cs="StarSymbol"/>
      <w:sz w:val="18"/>
      <w:szCs w:val="18"/>
    </w:rPr>
  </w:style>
  <w:style w:type="character" w:customStyle="1" w:styleId="831">
    <w:name w:val="Bid_正文 Char"/>
    <w:qFormat/>
    <w:uiPriority w:val="0"/>
    <w:rPr>
      <w:sz w:val="24"/>
    </w:rPr>
  </w:style>
  <w:style w:type="character" w:customStyle="1" w:styleId="832">
    <w:name w:val="WW8Num13z0"/>
    <w:qFormat/>
    <w:uiPriority w:val="0"/>
    <w:rPr>
      <w:rFonts w:ascii="Wingdings" w:hAnsi="Wingdings" w:cs="StarSymbol"/>
      <w:sz w:val="18"/>
      <w:szCs w:val="18"/>
    </w:rPr>
  </w:style>
  <w:style w:type="character" w:customStyle="1" w:styleId="833">
    <w:name w:val="WW8Num37z0"/>
    <w:qFormat/>
    <w:uiPriority w:val="0"/>
    <w:rPr>
      <w:rFonts w:ascii="Wingdings" w:hAnsi="Wingdings" w:cs="StarSymbol"/>
      <w:sz w:val="18"/>
      <w:szCs w:val="18"/>
    </w:rPr>
  </w:style>
  <w:style w:type="character" w:customStyle="1" w:styleId="834">
    <w:name w:val="WW8Num37z1"/>
    <w:qFormat/>
    <w:uiPriority w:val="0"/>
    <w:rPr>
      <w:rFonts w:ascii="Wingdings 2" w:hAnsi="Wingdings 2" w:cs="StarSymbol"/>
      <w:sz w:val="18"/>
      <w:szCs w:val="18"/>
    </w:rPr>
  </w:style>
  <w:style w:type="character" w:customStyle="1" w:styleId="835">
    <w:name w:val="WW8Num34z0"/>
    <w:qFormat/>
    <w:uiPriority w:val="0"/>
    <w:rPr>
      <w:rFonts w:ascii="Wingdings" w:hAnsi="Wingdings" w:cs="StarSymbol"/>
      <w:sz w:val="18"/>
      <w:szCs w:val="18"/>
    </w:rPr>
  </w:style>
  <w:style w:type="character" w:customStyle="1" w:styleId="836">
    <w:name w:val="WW8Num17z0"/>
    <w:qFormat/>
    <w:uiPriority w:val="0"/>
    <w:rPr>
      <w:rFonts w:ascii="Wingdings" w:hAnsi="Wingdings"/>
    </w:rPr>
  </w:style>
  <w:style w:type="character" w:customStyle="1" w:styleId="837">
    <w:name w:val="WW8Num15z0"/>
    <w:qFormat/>
    <w:uiPriority w:val="0"/>
    <w:rPr>
      <w:rFonts w:ascii="Wingdings" w:hAnsi="Wingdings" w:cs="StarSymbol"/>
      <w:sz w:val="18"/>
      <w:szCs w:val="18"/>
    </w:rPr>
  </w:style>
  <w:style w:type="character" w:customStyle="1" w:styleId="838">
    <w:name w:val="WW8Num28z1"/>
    <w:qFormat/>
    <w:uiPriority w:val="0"/>
    <w:rPr>
      <w:rFonts w:ascii="Wingdings 2" w:hAnsi="Wingdings 2" w:cs="StarSymbol"/>
      <w:sz w:val="18"/>
      <w:szCs w:val="18"/>
    </w:rPr>
  </w:style>
  <w:style w:type="character" w:customStyle="1" w:styleId="839">
    <w:name w:val="WW8Num4z0"/>
    <w:qFormat/>
    <w:uiPriority w:val="0"/>
    <w:rPr>
      <w:rFonts w:ascii="Wingdings" w:hAnsi="Wingdings" w:cs="StarSymbol"/>
      <w:sz w:val="18"/>
      <w:szCs w:val="18"/>
    </w:rPr>
  </w:style>
  <w:style w:type="character" w:customStyle="1" w:styleId="840">
    <w:name w:val="style101"/>
    <w:qFormat/>
    <w:uiPriority w:val="0"/>
    <w:rPr>
      <w:rFonts w:hint="eastAsia" w:ascii="宋体" w:hAnsi="宋体" w:eastAsia="宋体"/>
      <w:b/>
      <w:bCs/>
      <w:color w:val="FFFFFF"/>
      <w:sz w:val="21"/>
      <w:szCs w:val="21"/>
      <w:lang w:val="en-US" w:eastAsia="zh-CN" w:bidi="ar-SA"/>
    </w:rPr>
  </w:style>
  <w:style w:type="character" w:customStyle="1" w:styleId="841">
    <w:name w:val="WW8Num5z0"/>
    <w:qFormat/>
    <w:uiPriority w:val="0"/>
    <w:rPr>
      <w:rFonts w:ascii="Wingdings" w:hAnsi="Wingdings" w:cs="StarSymbol"/>
      <w:sz w:val="18"/>
      <w:szCs w:val="18"/>
    </w:rPr>
  </w:style>
  <w:style w:type="character" w:customStyle="1" w:styleId="842">
    <w:name w:val="无首行缩进正文 Char"/>
    <w:qFormat/>
    <w:uiPriority w:val="0"/>
  </w:style>
  <w:style w:type="character" w:customStyle="1" w:styleId="843">
    <w:name w:val="批注框文本 Char2"/>
    <w:qFormat/>
    <w:uiPriority w:val="0"/>
    <w:rPr>
      <w:rFonts w:ascii="Times New Roman" w:hAnsi="Times New Roman" w:eastAsia="方正仿宋_GBK" w:cs="Times New Roman"/>
      <w:sz w:val="18"/>
      <w:szCs w:val="18"/>
    </w:rPr>
  </w:style>
  <w:style w:type="character" w:customStyle="1" w:styleId="844">
    <w:name w:val="WW8Num29z2"/>
    <w:qFormat/>
    <w:uiPriority w:val="0"/>
    <w:rPr>
      <w:rFonts w:ascii="StarSymbol" w:hAnsi="StarSymbol" w:cs="StarSymbol"/>
      <w:sz w:val="18"/>
      <w:szCs w:val="18"/>
    </w:rPr>
  </w:style>
  <w:style w:type="character" w:customStyle="1" w:styleId="845">
    <w:name w:val="WW8Num23z2"/>
    <w:qFormat/>
    <w:uiPriority w:val="0"/>
    <w:rPr>
      <w:rFonts w:ascii="StarSymbol" w:hAnsi="StarSymbol" w:cs="StarSymbol"/>
      <w:sz w:val="18"/>
      <w:szCs w:val="18"/>
    </w:rPr>
  </w:style>
  <w:style w:type="character" w:customStyle="1" w:styleId="846">
    <w:name w:val="WW8Num19z0"/>
    <w:qFormat/>
    <w:uiPriority w:val="0"/>
    <w:rPr>
      <w:rFonts w:ascii="Wingdings" w:hAnsi="Wingdings" w:cs="StarSymbol"/>
      <w:sz w:val="18"/>
      <w:szCs w:val="18"/>
    </w:rPr>
  </w:style>
  <w:style w:type="character" w:customStyle="1" w:styleId="847">
    <w:name w:val="WW8Num22z2"/>
    <w:qFormat/>
    <w:uiPriority w:val="0"/>
    <w:rPr>
      <w:rFonts w:ascii="StarSymbol" w:hAnsi="StarSymbol" w:cs="StarSymbol"/>
      <w:sz w:val="18"/>
      <w:szCs w:val="18"/>
    </w:rPr>
  </w:style>
  <w:style w:type="character" w:customStyle="1" w:styleId="848">
    <w:name w:val="WW8Num24z1"/>
    <w:qFormat/>
    <w:uiPriority w:val="0"/>
    <w:rPr>
      <w:rFonts w:ascii="Wingdings 2" w:hAnsi="Wingdings 2" w:cs="StarSymbol"/>
      <w:sz w:val="18"/>
      <w:szCs w:val="18"/>
    </w:rPr>
  </w:style>
  <w:style w:type="character" w:customStyle="1" w:styleId="849">
    <w:name w:val="标题 7 字符1"/>
    <w:qFormat/>
    <w:uiPriority w:val="9"/>
    <w:rPr>
      <w:rFonts w:ascii="Times New Roman" w:hAnsi="Times New Roman" w:eastAsia="方正仿宋_GBK" w:cs="Times New Roman"/>
      <w:b/>
      <w:bCs/>
      <w:sz w:val="24"/>
      <w:szCs w:val="24"/>
    </w:rPr>
  </w:style>
  <w:style w:type="character" w:customStyle="1" w:styleId="850">
    <w:name w:val="标题 6 字符1"/>
    <w:qFormat/>
    <w:uiPriority w:val="9"/>
    <w:rPr>
      <w:rFonts w:ascii="仿宋" w:hAnsi="仿宋" w:eastAsia="仿宋"/>
      <w:bCs/>
      <w:sz w:val="32"/>
      <w:szCs w:val="32"/>
    </w:rPr>
  </w:style>
  <w:style w:type="character" w:customStyle="1" w:styleId="851">
    <w:name w:val="WW8Num39z1"/>
    <w:qFormat/>
    <w:uiPriority w:val="0"/>
    <w:rPr>
      <w:rFonts w:ascii="Wingdings 2" w:hAnsi="Wingdings 2" w:cs="StarSymbol"/>
      <w:sz w:val="18"/>
      <w:szCs w:val="18"/>
    </w:rPr>
  </w:style>
  <w:style w:type="character" w:customStyle="1" w:styleId="852">
    <w:name w:val="apple-style-span"/>
    <w:qFormat/>
    <w:uiPriority w:val="0"/>
  </w:style>
  <w:style w:type="character" w:customStyle="1" w:styleId="853">
    <w:name w:val="注×： Char"/>
    <w:link w:val="854"/>
    <w:qFormat/>
    <w:uiPriority w:val="0"/>
    <w:rPr>
      <w:rFonts w:ascii="宋体" w:hAnsi="等线" w:eastAsia="等线"/>
      <w:sz w:val="18"/>
      <w:szCs w:val="22"/>
      <w:lang w:val="en-US" w:eastAsia="zh-CN" w:bidi="ar-SA"/>
    </w:rPr>
  </w:style>
  <w:style w:type="paragraph" w:customStyle="1" w:styleId="854">
    <w:name w:val="注×："/>
    <w:link w:val="853"/>
    <w:qFormat/>
    <w:uiPriority w:val="0"/>
    <w:pPr>
      <w:widowControl w:val="0"/>
      <w:tabs>
        <w:tab w:val="left" w:pos="630"/>
        <w:tab w:val="left" w:pos="900"/>
      </w:tabs>
      <w:ind w:left="900" w:hanging="500"/>
      <w:jc w:val="both"/>
    </w:pPr>
    <w:rPr>
      <w:rFonts w:ascii="宋体" w:hAnsi="等线" w:eastAsia="等线" w:cs="Times New Roman"/>
      <w:sz w:val="18"/>
      <w:szCs w:val="22"/>
      <w:lang w:val="en-US" w:eastAsia="zh-CN" w:bidi="ar-SA"/>
    </w:rPr>
  </w:style>
  <w:style w:type="character" w:customStyle="1" w:styleId="855">
    <w:name w:val="附录公式 Char"/>
    <w:link w:val="856"/>
    <w:qFormat/>
    <w:uiPriority w:val="0"/>
    <w:rPr>
      <w:rFonts w:ascii="宋体"/>
    </w:rPr>
  </w:style>
  <w:style w:type="paragraph" w:customStyle="1" w:styleId="856">
    <w:name w:val="附录公式"/>
    <w:basedOn w:val="399"/>
    <w:next w:val="399"/>
    <w:link w:val="855"/>
    <w:qFormat/>
    <w:uiPriority w:val="0"/>
    <w:pPr>
      <w:tabs>
        <w:tab w:val="center" w:pos="4201"/>
        <w:tab w:val="right" w:leader="dot" w:pos="9298"/>
      </w:tabs>
      <w:ind w:firstLine="420"/>
    </w:pPr>
    <w:rPr>
      <w:sz w:val="20"/>
    </w:rPr>
  </w:style>
  <w:style w:type="character" w:customStyle="1" w:styleId="857">
    <w:name w:val="附录图标题 Char"/>
    <w:link w:val="858"/>
    <w:qFormat/>
    <w:uiPriority w:val="0"/>
    <w:rPr>
      <w:rFonts w:ascii="黑体" w:hAnsi="等线" w:eastAsia="黑体"/>
      <w:sz w:val="21"/>
      <w:szCs w:val="22"/>
      <w:lang w:val="en-US" w:eastAsia="zh-CN" w:bidi="ar-SA"/>
    </w:rPr>
  </w:style>
  <w:style w:type="paragraph" w:customStyle="1" w:styleId="858">
    <w:name w:val="附录图标题"/>
    <w:next w:val="399"/>
    <w:link w:val="857"/>
    <w:qFormat/>
    <w:uiPriority w:val="0"/>
    <w:pPr>
      <w:jc w:val="center"/>
    </w:pPr>
    <w:rPr>
      <w:rFonts w:ascii="黑体" w:hAnsi="等线" w:eastAsia="黑体" w:cs="Times New Roman"/>
      <w:sz w:val="21"/>
      <w:szCs w:val="22"/>
      <w:lang w:val="en-US" w:eastAsia="zh-CN" w:bidi="ar-SA"/>
    </w:rPr>
  </w:style>
  <w:style w:type="character" w:customStyle="1" w:styleId="859">
    <w:name w:val="附录章标题 Char"/>
    <w:link w:val="860"/>
    <w:qFormat/>
    <w:uiPriority w:val="0"/>
    <w:rPr>
      <w:rFonts w:ascii="黑体" w:hAnsi="等线" w:eastAsia="黑体"/>
      <w:sz w:val="21"/>
      <w:szCs w:val="22"/>
      <w:lang w:val="en-US" w:eastAsia="zh-CN" w:bidi="ar-SA"/>
    </w:rPr>
  </w:style>
  <w:style w:type="paragraph" w:customStyle="1" w:styleId="860">
    <w:name w:val="附录章标题"/>
    <w:next w:val="399"/>
    <w:link w:val="859"/>
    <w:qFormat/>
    <w:uiPriority w:val="0"/>
    <w:pPr>
      <w:tabs>
        <w:tab w:val="left" w:pos="567"/>
      </w:tabs>
      <w:ind w:left="567" w:hanging="567"/>
      <w:jc w:val="both"/>
      <w:outlineLvl w:val="1"/>
    </w:pPr>
    <w:rPr>
      <w:rFonts w:ascii="黑体" w:hAnsi="等线" w:eastAsia="黑体" w:cs="Times New Roman"/>
      <w:sz w:val="21"/>
      <w:szCs w:val="22"/>
      <w:lang w:val="en-US" w:eastAsia="zh-CN" w:bidi="ar-SA"/>
    </w:rPr>
  </w:style>
  <w:style w:type="character" w:customStyle="1" w:styleId="861">
    <w:name w:val="附录一级条标题 Char"/>
    <w:link w:val="862"/>
    <w:qFormat/>
    <w:uiPriority w:val="0"/>
    <w:rPr>
      <w:rFonts w:ascii="黑体" w:eastAsia="黑体"/>
    </w:rPr>
  </w:style>
  <w:style w:type="paragraph" w:customStyle="1" w:styleId="862">
    <w:name w:val="附录一级条标题"/>
    <w:basedOn w:val="860"/>
    <w:next w:val="399"/>
    <w:link w:val="861"/>
    <w:qFormat/>
    <w:uiPriority w:val="0"/>
    <w:pPr>
      <w:ind w:left="0" w:firstLine="0"/>
      <w:outlineLvl w:val="2"/>
    </w:pPr>
    <w:rPr>
      <w:rFonts w:hAnsi="Times New Roman"/>
      <w:sz w:val="20"/>
      <w:szCs w:val="20"/>
    </w:rPr>
  </w:style>
  <w:style w:type="character" w:customStyle="1" w:styleId="863">
    <w:name w:val="首示例 Char"/>
    <w:link w:val="864"/>
    <w:qFormat/>
    <w:uiPriority w:val="0"/>
    <w:rPr>
      <w:rFonts w:ascii="宋体" w:hAnsi="宋体" w:eastAsia="等线"/>
      <w:sz w:val="18"/>
      <w:szCs w:val="18"/>
      <w:lang w:val="en-US" w:eastAsia="zh-CN" w:bidi="ar-SA"/>
    </w:rPr>
  </w:style>
  <w:style w:type="paragraph" w:customStyle="1" w:styleId="864">
    <w:name w:val="首示例"/>
    <w:next w:val="399"/>
    <w:link w:val="863"/>
    <w:qFormat/>
    <w:uiPriority w:val="0"/>
    <w:pPr>
      <w:tabs>
        <w:tab w:val="left" w:pos="360"/>
      </w:tabs>
      <w:ind w:left="900"/>
    </w:pPr>
    <w:rPr>
      <w:rFonts w:ascii="宋体" w:hAnsi="宋体" w:eastAsia="等线" w:cs="Times New Roman"/>
      <w:sz w:val="18"/>
      <w:szCs w:val="18"/>
      <w:lang w:val="en-US" w:eastAsia="zh-CN" w:bidi="ar-SA"/>
    </w:rPr>
  </w:style>
  <w:style w:type="character" w:customStyle="1" w:styleId="865">
    <w:name w:val="无间隔 字符"/>
    <w:link w:val="866"/>
    <w:qFormat/>
    <w:uiPriority w:val="0"/>
    <w:rPr>
      <w:rFonts w:ascii="Calibri" w:hAnsi="Calibri" w:eastAsia="等线"/>
      <w:sz w:val="21"/>
      <w:szCs w:val="22"/>
      <w:lang w:val="en-US" w:eastAsia="zh-CN" w:bidi="ar-SA"/>
    </w:rPr>
  </w:style>
  <w:style w:type="paragraph" w:customStyle="1" w:styleId="866">
    <w:name w:val="无间隔111"/>
    <w:link w:val="865"/>
    <w:qFormat/>
    <w:uiPriority w:val="0"/>
    <w:pPr>
      <w:widowControl w:val="0"/>
      <w:jc w:val="both"/>
    </w:pPr>
    <w:rPr>
      <w:rFonts w:ascii="Calibri" w:hAnsi="Calibri" w:eastAsia="等线" w:cs="Times New Roman"/>
      <w:sz w:val="21"/>
      <w:szCs w:val="22"/>
      <w:lang w:val="en-US" w:eastAsia="zh-CN" w:bidi="ar-SA"/>
    </w:rPr>
  </w:style>
  <w:style w:type="paragraph" w:customStyle="1" w:styleId="867">
    <w:name w:val="xl19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68">
    <w:name w:val="xl1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69">
    <w:name w:val="标准书眉一"/>
    <w:qFormat/>
    <w:uiPriority w:val="0"/>
    <w:pPr>
      <w:jc w:val="both"/>
    </w:pPr>
    <w:rPr>
      <w:rFonts w:ascii="Times New Roman" w:hAnsi="Times New Roman" w:eastAsia="宋体" w:cs="Times New Roman"/>
      <w:lang w:val="en-US" w:eastAsia="zh-CN" w:bidi="ar-SA"/>
    </w:rPr>
  </w:style>
  <w:style w:type="paragraph" w:customStyle="1" w:styleId="870">
    <w:name w:val="xl2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71">
    <w:name w:val="hands-on正文"/>
    <w:basedOn w:val="1"/>
    <w:qFormat/>
    <w:uiPriority w:val="0"/>
    <w:pPr>
      <w:spacing w:before="40" w:after="80" w:line="320" w:lineRule="exact"/>
      <w:ind w:firstLine="420"/>
      <w:jc w:val="left"/>
    </w:pPr>
    <w:rPr>
      <w:rFonts w:ascii="宋体" w:hAnsi="宋体" w:cs="宋体"/>
      <w:color w:val="000000"/>
      <w:szCs w:val="20"/>
    </w:rPr>
  </w:style>
  <w:style w:type="paragraph" w:customStyle="1" w:styleId="872">
    <w:name w:val="标题3"/>
    <w:basedOn w:val="206"/>
    <w:qFormat/>
    <w:uiPriority w:val="0"/>
    <w:pPr>
      <w:keepNext w:val="0"/>
      <w:keepLines w:val="0"/>
      <w:spacing w:before="0" w:after="0" w:line="360" w:lineRule="auto"/>
    </w:pPr>
    <w:rPr>
      <w:rFonts w:eastAsia="仿宋_GB2312"/>
      <w:b w:val="0"/>
      <w:bCs/>
      <w:sz w:val="30"/>
      <w:szCs w:val="32"/>
    </w:rPr>
  </w:style>
  <w:style w:type="paragraph" w:customStyle="1" w:styleId="873">
    <w:name w:val="xl1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74">
    <w:name w:val="三级无标题条"/>
    <w:basedOn w:val="1"/>
    <w:qFormat/>
    <w:uiPriority w:val="0"/>
    <w:pPr>
      <w:ind w:hanging="420"/>
    </w:pPr>
  </w:style>
  <w:style w:type="paragraph" w:customStyle="1" w:styleId="875">
    <w:name w:val="列出段落3"/>
    <w:basedOn w:val="1"/>
    <w:qFormat/>
    <w:uiPriority w:val="99"/>
    <w:pPr>
      <w:ind w:firstLine="420"/>
    </w:pPr>
  </w:style>
  <w:style w:type="paragraph" w:customStyle="1" w:styleId="876">
    <w:name w:val="参考文献、索引标题"/>
    <w:basedOn w:val="877"/>
    <w:next w:val="1"/>
    <w:qFormat/>
    <w:uiPriority w:val="0"/>
    <w:pPr>
      <w:tabs>
        <w:tab w:val="left" w:pos="425"/>
      </w:tabs>
      <w:spacing w:after="200"/>
    </w:pPr>
    <w:rPr>
      <w:sz w:val="21"/>
    </w:rPr>
  </w:style>
  <w:style w:type="paragraph" w:customStyle="1" w:styleId="877">
    <w:name w:val="前言、引言标题"/>
    <w:next w:val="1"/>
    <w:qFormat/>
    <w:uiPriority w:val="0"/>
    <w:pPr>
      <w:shd w:val="clear" w:color="FFFFFF" w:fill="FFFFFF"/>
      <w:tabs>
        <w:tab w:val="left" w:pos="425"/>
      </w:tabs>
      <w:spacing w:before="640" w:after="560"/>
      <w:jc w:val="center"/>
      <w:outlineLvl w:val="0"/>
    </w:pPr>
    <w:rPr>
      <w:rFonts w:ascii="黑体" w:hAnsi="Times New Roman" w:eastAsia="黑体" w:cs="Times New Roman"/>
      <w:sz w:val="32"/>
      <w:lang w:val="en-US" w:eastAsia="zh-CN" w:bidi="ar-SA"/>
    </w:rPr>
  </w:style>
  <w:style w:type="paragraph" w:customStyle="1" w:styleId="878">
    <w:name w:val="xl2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79">
    <w:name w:val="小四缩进"/>
    <w:basedOn w:val="1"/>
    <w:qFormat/>
    <w:uiPriority w:val="0"/>
    <w:pPr>
      <w:spacing w:line="360" w:lineRule="auto"/>
      <w:ind w:firstLine="480"/>
    </w:pPr>
    <w:rPr>
      <w:sz w:val="24"/>
    </w:rPr>
  </w:style>
  <w:style w:type="paragraph" w:customStyle="1" w:styleId="880">
    <w:name w:val="xl1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81">
    <w:name w:val="示例"/>
    <w:next w:val="399"/>
    <w:qFormat/>
    <w:uiPriority w:val="0"/>
    <w:pPr>
      <w:tabs>
        <w:tab w:val="left" w:pos="425"/>
        <w:tab w:val="left" w:pos="816"/>
      </w:tabs>
      <w:ind w:left="425" w:firstLine="419"/>
      <w:jc w:val="both"/>
    </w:pPr>
    <w:rPr>
      <w:rFonts w:ascii="宋体" w:hAnsi="Times New Roman" w:eastAsia="宋体" w:cs="Times New Roman"/>
      <w:sz w:val="18"/>
      <w:lang w:val="en-US" w:eastAsia="zh-CN" w:bidi="ar-SA"/>
    </w:rPr>
  </w:style>
  <w:style w:type="paragraph" w:customStyle="1" w:styleId="882">
    <w:name w:val="xl47"/>
    <w:basedOn w:val="1"/>
    <w:qFormat/>
    <w:uiPriority w:val="0"/>
    <w:pPr>
      <w:widowControl/>
      <w:spacing w:before="100" w:beforeAutospacing="1" w:after="100" w:afterAutospacing="1"/>
      <w:jc w:val="center"/>
    </w:pPr>
    <w:rPr>
      <w:rFonts w:hint="eastAsia" w:ascii="黑体" w:hAnsi="Arial Unicode MS" w:eastAsia="黑体"/>
      <w:b/>
      <w:bCs/>
      <w:sz w:val="24"/>
    </w:rPr>
  </w:style>
  <w:style w:type="paragraph" w:customStyle="1" w:styleId="883">
    <w:name w:val="xl1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84">
    <w:name w:val="xl1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85">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886">
    <w:name w:val="xl2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87">
    <w:name w:val="可研正文"/>
    <w:basedOn w:val="1"/>
    <w:qFormat/>
    <w:uiPriority w:val="0"/>
    <w:pPr>
      <w:tabs>
        <w:tab w:val="left" w:pos="987"/>
      </w:tabs>
      <w:spacing w:line="360" w:lineRule="auto"/>
      <w:ind w:left="750" w:hanging="750"/>
    </w:pPr>
    <w:rPr>
      <w:rFonts w:ascii="仿宋_GB2312" w:hAnsi="宋体" w:eastAsia="仿宋_GB2312"/>
      <w:bCs/>
      <w:sz w:val="28"/>
      <w:szCs w:val="28"/>
      <w:lang w:eastAsia="en-US"/>
    </w:rPr>
  </w:style>
  <w:style w:type="paragraph" w:customStyle="1" w:styleId="888">
    <w:name w:val="正文文本 31"/>
    <w:basedOn w:val="1"/>
    <w:qFormat/>
    <w:uiPriority w:val="0"/>
    <w:rPr>
      <w:rFonts w:ascii="仿宋_GB2312" w:hAnsi="Arial" w:eastAsia="仿宋_GB2312"/>
      <w:sz w:val="32"/>
      <w:szCs w:val="20"/>
    </w:rPr>
  </w:style>
  <w:style w:type="paragraph" w:customStyle="1" w:styleId="889">
    <w:name w:val="xl1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90">
    <w:name w:val="实施日期"/>
    <w:basedOn w:val="891"/>
    <w:qFormat/>
    <w:uiPriority w:val="0"/>
    <w:pPr>
      <w:framePr w:hSpace="0" w:wrap="around" w:xAlign="right"/>
      <w:ind w:left="2580" w:hanging="420"/>
      <w:jc w:val="right"/>
    </w:pPr>
  </w:style>
  <w:style w:type="paragraph" w:customStyle="1" w:styleId="891">
    <w:name w:val="发布日期"/>
    <w:qFormat/>
    <w:uiPriority w:val="0"/>
    <w:pPr>
      <w:framePr w:w="4000" w:h="473" w:hRule="exact" w:hSpace="180" w:vSpace="180" w:wrap="around" w:vAnchor="margin" w:hAnchor="margin" w:y="13511"/>
    </w:pPr>
    <w:rPr>
      <w:rFonts w:ascii="Times New Roman" w:hAnsi="Times New Roman" w:eastAsia="黑体" w:cs="Times New Roman"/>
      <w:sz w:val="28"/>
      <w:lang w:val="en-US" w:eastAsia="zh-CN" w:bidi="ar-SA"/>
    </w:rPr>
  </w:style>
  <w:style w:type="paragraph" w:customStyle="1" w:styleId="892">
    <w:name w:val="xl30"/>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93">
    <w:name w:val="xl309"/>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94">
    <w:name w:val="xl28"/>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95">
    <w:name w:val="xl2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96">
    <w:name w:val="我的标题1"/>
    <w:basedOn w:val="1"/>
    <w:qFormat/>
    <w:uiPriority w:val="99"/>
    <w:pPr>
      <w:tabs>
        <w:tab w:val="left" w:pos="425"/>
      </w:tabs>
      <w:spacing w:before="20" w:after="20"/>
      <w:ind w:left="425" w:right="80" w:hanging="425"/>
      <w:jc w:val="left"/>
    </w:pPr>
    <w:rPr>
      <w:rFonts w:ascii="宋体" w:hAnsi="宋体" w:cs="Microsoft Sans Serif"/>
      <w:b/>
      <w:bCs/>
      <w:sz w:val="24"/>
    </w:rPr>
  </w:style>
  <w:style w:type="paragraph" w:customStyle="1" w:styleId="897">
    <w:name w:val="无间隔11"/>
    <w:next w:val="866"/>
    <w:qFormat/>
    <w:uiPriority w:val="1"/>
    <w:rPr>
      <w:rFonts w:ascii="Calibri" w:hAnsi="Calibri" w:eastAsia="宋体" w:cs="Times New Roman"/>
      <w:sz w:val="22"/>
      <w:szCs w:val="22"/>
      <w:lang w:val="en-US" w:eastAsia="zh-CN" w:bidi="ar-SA"/>
    </w:rPr>
  </w:style>
  <w:style w:type="paragraph" w:customStyle="1" w:styleId="898">
    <w:name w:val="标准"/>
    <w:basedOn w:val="1"/>
    <w:qFormat/>
    <w:uiPriority w:val="0"/>
    <w:pPr>
      <w:spacing w:line="240" w:lineRule="atLeast"/>
    </w:pPr>
    <w:rPr>
      <w:rFonts w:eastAsia="楷体_GB2312"/>
      <w:sz w:val="24"/>
      <w:szCs w:val="20"/>
    </w:rPr>
  </w:style>
  <w:style w:type="paragraph" w:customStyle="1" w:styleId="899">
    <w:name w:val="xl1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00">
    <w:name w:val="四级条标题"/>
    <w:basedOn w:val="748"/>
    <w:next w:val="399"/>
    <w:qFormat/>
    <w:uiPriority w:val="0"/>
    <w:pPr>
      <w:ind w:left="2520" w:hanging="420"/>
      <w:outlineLvl w:val="5"/>
    </w:pPr>
  </w:style>
  <w:style w:type="paragraph" w:customStyle="1" w:styleId="901">
    <w:name w:val="正文首行缩进两字"/>
    <w:qFormat/>
    <w:uiPriority w:val="0"/>
    <w:pPr>
      <w:spacing w:line="300" w:lineRule="auto"/>
      <w:ind w:left="710"/>
      <w:jc w:val="both"/>
    </w:pPr>
    <w:rPr>
      <w:rFonts w:ascii="Times New Roman" w:hAnsi="Times New Roman" w:eastAsia="宋体" w:cs="Times New Roman"/>
      <w:szCs w:val="21"/>
      <w:lang w:val="en-US" w:eastAsia="zh-CN" w:bidi="ar-SA"/>
    </w:rPr>
  </w:style>
  <w:style w:type="paragraph" w:customStyle="1" w:styleId="902">
    <w:name w:val="xl2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03">
    <w:name w:val="xl3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904">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eastAsia="Arial Unicode MS" w:cs="Arial"/>
      <w:sz w:val="20"/>
      <w:szCs w:val="20"/>
    </w:rPr>
  </w:style>
  <w:style w:type="paragraph" w:customStyle="1" w:styleId="905">
    <w:name w:val="xl2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06">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ascii="黑体" w:hAnsi="Arial Unicode MS" w:eastAsia="黑体"/>
      <w:sz w:val="20"/>
      <w:szCs w:val="20"/>
    </w:rPr>
  </w:style>
  <w:style w:type="paragraph" w:customStyle="1" w:styleId="907">
    <w:name w:val="数字编号列项（二级）"/>
    <w:qFormat/>
    <w:uiPriority w:val="0"/>
    <w:pPr>
      <w:tabs>
        <w:tab w:val="left" w:pos="360"/>
      </w:tabs>
      <w:ind w:left="1260" w:hanging="420"/>
      <w:jc w:val="both"/>
    </w:pPr>
    <w:rPr>
      <w:rFonts w:ascii="宋体" w:hAnsi="Times New Roman" w:eastAsia="宋体" w:cs="Times New Roman"/>
      <w:sz w:val="21"/>
      <w:lang w:val="en-US" w:eastAsia="zh-CN" w:bidi="ar-SA"/>
    </w:rPr>
  </w:style>
  <w:style w:type="paragraph" w:customStyle="1" w:styleId="908">
    <w:name w:val="正文(首行缩进)"/>
    <w:basedOn w:val="1"/>
    <w:qFormat/>
    <w:uiPriority w:val="0"/>
    <w:pPr>
      <w:spacing w:line="360" w:lineRule="auto"/>
      <w:ind w:firstLine="480"/>
      <w:jc w:val="left"/>
    </w:pPr>
    <w:rPr>
      <w:rFonts w:ascii="楷体_GB2312" w:hAnsi="宋体" w:eastAsia="楷体_GB2312"/>
      <w:color w:val="000000"/>
      <w:sz w:val="24"/>
    </w:rPr>
  </w:style>
  <w:style w:type="paragraph" w:customStyle="1" w:styleId="909">
    <w:name w:val="批注主题2"/>
    <w:basedOn w:val="235"/>
    <w:next w:val="235"/>
    <w:qFormat/>
    <w:uiPriority w:val="0"/>
    <w:rPr>
      <w:b/>
      <w:bCs/>
    </w:rPr>
  </w:style>
  <w:style w:type="paragraph" w:customStyle="1" w:styleId="910">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11">
    <w:name w:val="普通(网站)2"/>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912">
    <w:name w:val="xl2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13">
    <w:name w:val="条文脚注"/>
    <w:basedOn w:val="279"/>
    <w:qFormat/>
    <w:uiPriority w:val="0"/>
    <w:pPr>
      <w:ind w:left="780" w:hanging="360"/>
      <w:jc w:val="both"/>
    </w:pPr>
    <w:rPr>
      <w:rFonts w:ascii="宋体"/>
    </w:rPr>
  </w:style>
  <w:style w:type="paragraph" w:customStyle="1" w:styleId="914">
    <w:name w:val="22h222heading2hiddenhead"/>
    <w:basedOn w:val="1"/>
    <w:qFormat/>
    <w:uiPriority w:val="0"/>
    <w:pPr>
      <w:widowControl/>
      <w:spacing w:before="100" w:beforeAutospacing="1" w:after="100" w:afterAutospacing="1"/>
      <w:jc w:val="left"/>
    </w:pPr>
    <w:rPr>
      <w:rFonts w:ascii="宋体" w:hAnsi="宋体" w:cs="宋体"/>
      <w:sz w:val="24"/>
    </w:rPr>
  </w:style>
  <w:style w:type="paragraph" w:customStyle="1" w:styleId="915">
    <w:name w:val="xl2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16">
    <w:name w:val="xl2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17">
    <w:name w:val="xl2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18">
    <w:name w:val="正文·"/>
    <w:basedOn w:val="1"/>
    <w:qFormat/>
    <w:uiPriority w:val="0"/>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919">
    <w:name w:val="标题4"/>
    <w:basedOn w:val="206"/>
    <w:qFormat/>
    <w:uiPriority w:val="0"/>
    <w:pPr>
      <w:spacing w:before="120" w:after="120" w:line="415" w:lineRule="auto"/>
      <w:jc w:val="center"/>
    </w:pPr>
    <w:rPr>
      <w:rFonts w:eastAsia="仿宋_GB2312"/>
    </w:rPr>
  </w:style>
  <w:style w:type="paragraph" w:customStyle="1" w:styleId="920">
    <w:name w:val="xl1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21">
    <w:name w:val="font0"/>
    <w:basedOn w:val="1"/>
    <w:qFormat/>
    <w:uiPriority w:val="0"/>
    <w:pPr>
      <w:widowControl/>
      <w:spacing w:before="100" w:beforeAutospacing="1" w:after="100" w:afterAutospacing="1"/>
      <w:jc w:val="left"/>
    </w:pPr>
    <w:rPr>
      <w:rFonts w:hint="eastAsia" w:ascii="宋体" w:hAnsi="宋体"/>
      <w:sz w:val="24"/>
    </w:rPr>
  </w:style>
  <w:style w:type="paragraph" w:customStyle="1" w:styleId="922">
    <w:name w:val="文献分类号"/>
    <w:qFormat/>
    <w:uiPriority w:val="0"/>
    <w:pPr>
      <w:framePr w:hSpace="180" w:vSpace="180" w:wrap="around" w:vAnchor="margin" w:hAnchor="margin" w:y="1"/>
      <w:widowControl w:val="0"/>
    </w:pPr>
    <w:rPr>
      <w:rFonts w:ascii="Times New Roman" w:hAnsi="Times New Roman" w:eastAsia="黑体" w:cs="Times New Roman"/>
      <w:sz w:val="21"/>
      <w:lang w:val="en-US" w:eastAsia="zh-CN" w:bidi="ar-SA"/>
    </w:rPr>
  </w:style>
  <w:style w:type="paragraph" w:customStyle="1" w:styleId="923">
    <w:name w:val="xl2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4">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25">
    <w:name w:val="封面标准号1"/>
    <w:qFormat/>
    <w:uiPriority w:val="0"/>
    <w:pPr>
      <w:widowControl w:val="0"/>
      <w:spacing w:before="308"/>
      <w:jc w:val="right"/>
    </w:pPr>
    <w:rPr>
      <w:rFonts w:ascii="Times New Roman" w:hAnsi="Times New Roman" w:eastAsia="宋体" w:cs="Times New Roman"/>
      <w:sz w:val="28"/>
      <w:lang w:val="en-US" w:eastAsia="zh-CN" w:bidi="ar-SA"/>
    </w:rPr>
  </w:style>
  <w:style w:type="paragraph" w:customStyle="1" w:styleId="926">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927">
    <w:name w:val="样式4"/>
    <w:basedOn w:val="1"/>
    <w:qFormat/>
    <w:uiPriority w:val="0"/>
    <w:pPr>
      <w:spacing w:line="440" w:lineRule="exact"/>
      <w:ind w:left="-2"/>
    </w:pPr>
    <w:rPr>
      <w:rFonts w:ascii="宋体" w:hAnsi="宋体"/>
      <w:sz w:val="28"/>
    </w:rPr>
  </w:style>
  <w:style w:type="paragraph" w:customStyle="1" w:styleId="928">
    <w:name w:val="Char2"/>
    <w:basedOn w:val="1"/>
    <w:qFormat/>
    <w:uiPriority w:val="0"/>
    <w:pPr>
      <w:tabs>
        <w:tab w:val="left" w:pos="360"/>
      </w:tabs>
    </w:pPr>
    <w:rPr>
      <w:sz w:val="24"/>
    </w:rPr>
  </w:style>
  <w:style w:type="paragraph" w:customStyle="1" w:styleId="929">
    <w:name w:val="正文文本缩进1"/>
    <w:basedOn w:val="1"/>
    <w:qFormat/>
    <w:uiPriority w:val="0"/>
    <w:pPr>
      <w:ind w:firstLine="645"/>
    </w:pPr>
    <w:rPr>
      <w:rFonts w:ascii="楷体_GB2312" w:eastAsia="楷体_GB2312"/>
      <w:sz w:val="32"/>
      <w:szCs w:val="20"/>
    </w:rPr>
  </w:style>
  <w:style w:type="paragraph" w:customStyle="1" w:styleId="930">
    <w:name w:val="xl2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1">
    <w:name w:val="xl2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2">
    <w:name w:val="列表2"/>
    <w:basedOn w:val="1"/>
    <w:qFormat/>
    <w:uiPriority w:val="0"/>
    <w:pPr>
      <w:ind w:left="200" w:hanging="200"/>
    </w:pPr>
  </w:style>
  <w:style w:type="paragraph" w:customStyle="1" w:styleId="933">
    <w:name w:val="Char Char1 Char Char Char Char Char Char Char Char"/>
    <w:basedOn w:val="1"/>
    <w:qFormat/>
    <w:uiPriority w:val="0"/>
    <w:pPr>
      <w:spacing w:line="360" w:lineRule="auto"/>
    </w:pPr>
  </w:style>
  <w:style w:type="paragraph" w:customStyle="1" w:styleId="934">
    <w:name w:val="正文4"/>
    <w:basedOn w:val="1"/>
    <w:qFormat/>
    <w:uiPriority w:val="0"/>
    <w:pPr>
      <w:spacing w:line="360" w:lineRule="auto"/>
      <w:ind w:firstLine="480"/>
    </w:pPr>
    <w:rPr>
      <w:rFonts w:ascii="楷体_GB2312" w:hAnsi="宋体" w:eastAsia="楷体_GB2312"/>
      <w:sz w:val="24"/>
      <w:szCs w:val="20"/>
    </w:rPr>
  </w:style>
  <w:style w:type="paragraph" w:customStyle="1" w:styleId="935">
    <w:name w:val="封面标准号2"/>
    <w:basedOn w:val="925"/>
    <w:qFormat/>
    <w:uiPriority w:val="0"/>
    <w:pPr>
      <w:framePr w:w="9138" w:h="1244" w:hRule="exact" w:wrap="around" w:vAnchor="page" w:hAnchor="margin" w:y="2908"/>
      <w:spacing w:before="357" w:line="280" w:lineRule="exact"/>
    </w:pPr>
  </w:style>
  <w:style w:type="paragraph" w:customStyle="1" w:styleId="936">
    <w:name w:val="xl2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37">
    <w:name w:val="日期3"/>
    <w:basedOn w:val="1"/>
    <w:next w:val="1"/>
    <w:qFormat/>
    <w:uiPriority w:val="0"/>
    <w:pPr>
      <w:ind w:left="100"/>
    </w:pPr>
    <w:rPr>
      <w:rFonts w:ascii="仿宋_GB2312" w:eastAsia="仿宋_GB2312"/>
      <w:b/>
      <w:sz w:val="36"/>
    </w:rPr>
  </w:style>
  <w:style w:type="paragraph" w:customStyle="1" w:styleId="938">
    <w:name w:val="xl2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9">
    <w:name w:val="xl2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40">
    <w:name w:val="批注主题1"/>
    <w:basedOn w:val="235"/>
    <w:next w:val="235"/>
    <w:qFormat/>
    <w:uiPriority w:val="0"/>
    <w:rPr>
      <w:b/>
      <w:bCs/>
    </w:rPr>
  </w:style>
  <w:style w:type="paragraph" w:customStyle="1" w:styleId="941">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942">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943">
    <w:name w:val="xl6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944">
    <w:name w:val="xl2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45">
    <w:name w:val="列出段落11"/>
    <w:basedOn w:val="1"/>
    <w:qFormat/>
    <w:uiPriority w:val="0"/>
    <w:pPr>
      <w:ind w:firstLine="420"/>
    </w:pPr>
  </w:style>
  <w:style w:type="paragraph" w:customStyle="1" w:styleId="946">
    <w:name w:val="Style Heading 2 节 + Before:  0.35 line After:  0.35 line"/>
    <w:basedOn w:val="947"/>
    <w:qFormat/>
    <w:uiPriority w:val="0"/>
    <w:pPr>
      <w:tabs>
        <w:tab w:val="left" w:pos="576"/>
      </w:tabs>
      <w:ind w:left="0" w:firstLine="0"/>
    </w:pPr>
    <w:rPr>
      <w:szCs w:val="20"/>
    </w:rPr>
  </w:style>
  <w:style w:type="paragraph" w:customStyle="1" w:styleId="947">
    <w:name w:val="Heading 2 节"/>
    <w:next w:val="1"/>
    <w:qFormat/>
    <w:uiPriority w:val="0"/>
    <w:pPr>
      <w:tabs>
        <w:tab w:val="left" w:pos="576"/>
      </w:tabs>
      <w:spacing w:line="440" w:lineRule="exact"/>
      <w:ind w:left="576" w:hanging="576"/>
      <w:jc w:val="center"/>
    </w:pPr>
    <w:rPr>
      <w:rFonts w:ascii="Times New Roman" w:hAnsi="Times New Roman" w:eastAsia="黑体" w:cs="Times New Roman"/>
      <w:b/>
      <w:bCs/>
      <w:sz w:val="28"/>
      <w:szCs w:val="28"/>
      <w:lang w:val="en-US" w:eastAsia="zh-CN" w:bidi="ar-SA"/>
    </w:rPr>
  </w:style>
  <w:style w:type="paragraph" w:customStyle="1" w:styleId="948">
    <w:name w:val="正文文本 32"/>
    <w:basedOn w:val="1"/>
    <w:qFormat/>
    <w:uiPriority w:val="0"/>
    <w:rPr>
      <w:rFonts w:ascii="仿宋_GB2312" w:hAnsi="Arial" w:eastAsia="仿宋_GB2312"/>
      <w:sz w:val="32"/>
      <w:szCs w:val="20"/>
    </w:rPr>
  </w:style>
  <w:style w:type="paragraph" w:customStyle="1" w:styleId="949">
    <w:name w:val="xl1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50">
    <w:name w:val="xl2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51">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952">
    <w:name w:val="xl1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53">
    <w:name w:val="TOC 标题11"/>
    <w:basedOn w:val="200"/>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954">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55">
    <w:name w:val="xl2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56">
    <w:name w:val="GP正文(首行缩进)"/>
    <w:basedOn w:val="1"/>
    <w:qFormat/>
    <w:uiPriority w:val="0"/>
    <w:pPr>
      <w:spacing w:line="360" w:lineRule="auto"/>
      <w:ind w:firstLine="200"/>
      <w:jc w:val="left"/>
    </w:pPr>
    <w:rPr>
      <w:sz w:val="24"/>
      <w:szCs w:val="21"/>
    </w:rPr>
  </w:style>
  <w:style w:type="paragraph" w:customStyle="1" w:styleId="957">
    <w:name w:val="xl2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58">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959">
    <w:name w:val="xl2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60">
    <w:name w:val="font9"/>
    <w:basedOn w:val="1"/>
    <w:qFormat/>
    <w:uiPriority w:val="0"/>
    <w:pPr>
      <w:widowControl/>
      <w:spacing w:before="100" w:beforeAutospacing="1" w:after="100" w:afterAutospacing="1"/>
      <w:jc w:val="left"/>
    </w:pPr>
    <w:rPr>
      <w:rFonts w:eastAsia="Arial Unicode MS"/>
      <w:sz w:val="20"/>
      <w:szCs w:val="20"/>
    </w:rPr>
  </w:style>
  <w:style w:type="paragraph" w:customStyle="1" w:styleId="961">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2"/>
    </w:rPr>
  </w:style>
  <w:style w:type="paragraph" w:customStyle="1" w:styleId="962">
    <w:name w:val="正文文本 21"/>
    <w:basedOn w:val="1"/>
    <w:qFormat/>
    <w:uiPriority w:val="0"/>
    <w:pPr>
      <w:spacing w:after="120" w:line="480" w:lineRule="auto"/>
    </w:pPr>
  </w:style>
  <w:style w:type="paragraph" w:customStyle="1" w:styleId="963">
    <w:name w:val="五级条标题"/>
    <w:basedOn w:val="900"/>
    <w:next w:val="399"/>
    <w:qFormat/>
    <w:uiPriority w:val="0"/>
    <w:pPr>
      <w:tabs>
        <w:tab w:val="left" w:pos="1800"/>
        <w:tab w:val="clear" w:pos="780"/>
      </w:tabs>
      <w:ind w:left="1276" w:hanging="1276"/>
      <w:outlineLvl w:val="6"/>
    </w:pPr>
  </w:style>
  <w:style w:type="paragraph" w:customStyle="1" w:styleId="964">
    <w:name w:val="xl303"/>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65">
    <w:name w:val="xl2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66">
    <w:name w:val="正文编号"/>
    <w:basedOn w:val="1"/>
    <w:qFormat/>
    <w:uiPriority w:val="0"/>
    <w:pPr>
      <w:tabs>
        <w:tab w:val="left" w:pos="0"/>
        <w:tab w:val="left" w:pos="1380"/>
      </w:tabs>
      <w:spacing w:line="360" w:lineRule="auto"/>
      <w:ind w:left="195" w:hanging="51"/>
    </w:pPr>
    <w:rPr>
      <w:rFonts w:ascii="Book Antiqua" w:hAnsi="Book Antiqua"/>
      <w:sz w:val="24"/>
      <w:szCs w:val="20"/>
    </w:rPr>
  </w:style>
  <w:style w:type="paragraph" w:customStyle="1" w:styleId="967">
    <w:name w:val="xl301"/>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68">
    <w:name w:val="xl6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969">
    <w:name w:val="xl2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70">
    <w:name w:val="xl2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71">
    <w:name w:val="封面正文"/>
    <w:qFormat/>
    <w:uiPriority w:val="0"/>
    <w:pPr>
      <w:jc w:val="both"/>
    </w:pPr>
    <w:rPr>
      <w:rFonts w:ascii="Times New Roman" w:hAnsi="Times New Roman" w:eastAsia="宋体" w:cs="Times New Roman"/>
      <w:lang w:val="en-US" w:eastAsia="zh-CN" w:bidi="ar-SA"/>
    </w:rPr>
  </w:style>
  <w:style w:type="paragraph" w:customStyle="1" w:styleId="972">
    <w:name w:val="xl2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73">
    <w:name w:val="制作人文字"/>
    <w:basedOn w:val="1"/>
    <w:qFormat/>
    <w:uiPriority w:val="0"/>
    <w:rPr>
      <w:rFonts w:ascii="Arial" w:hAnsi="Arial" w:eastAsia="仿宋_GB2312"/>
      <w:bCs/>
      <w:sz w:val="28"/>
      <w:szCs w:val="20"/>
    </w:rPr>
  </w:style>
  <w:style w:type="paragraph" w:customStyle="1" w:styleId="974">
    <w:name w:val="xl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975">
    <w:name w:val="xl2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76">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2"/>
    </w:rPr>
  </w:style>
  <w:style w:type="paragraph" w:customStyle="1" w:styleId="977">
    <w:name w:val="font10"/>
    <w:basedOn w:val="1"/>
    <w:qFormat/>
    <w:uiPriority w:val="0"/>
    <w:pPr>
      <w:widowControl/>
      <w:spacing w:before="100" w:beforeAutospacing="1" w:after="100" w:afterAutospacing="1"/>
      <w:jc w:val="left"/>
    </w:pPr>
    <w:rPr>
      <w:rFonts w:eastAsia="Arial Unicode MS"/>
      <w:color w:val="000000"/>
      <w:sz w:val="20"/>
      <w:szCs w:val="20"/>
    </w:rPr>
  </w:style>
  <w:style w:type="paragraph" w:customStyle="1" w:styleId="978">
    <w:name w:val="纯文本2"/>
    <w:basedOn w:val="1"/>
    <w:qFormat/>
    <w:uiPriority w:val="0"/>
    <w:rPr>
      <w:rFonts w:ascii="宋体" w:hAnsi="Courier New"/>
      <w:szCs w:val="21"/>
    </w:rPr>
  </w:style>
  <w:style w:type="paragraph" w:customStyle="1" w:styleId="979">
    <w:name w:val="font12"/>
    <w:basedOn w:val="1"/>
    <w:qFormat/>
    <w:uiPriority w:val="0"/>
    <w:pPr>
      <w:widowControl/>
      <w:spacing w:before="100" w:beforeAutospacing="1" w:after="100" w:afterAutospacing="1"/>
      <w:jc w:val="left"/>
    </w:pPr>
    <w:rPr>
      <w:rFonts w:eastAsia="Arial Unicode MS"/>
      <w:b/>
      <w:bCs/>
      <w:sz w:val="20"/>
      <w:szCs w:val="20"/>
    </w:rPr>
  </w:style>
  <w:style w:type="paragraph" w:customStyle="1" w:styleId="980">
    <w:name w:val="xl3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981">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982">
    <w:name w:val="xl3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83">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984">
    <w:name w:val="xl2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85">
    <w:name w:val="附录标识"/>
    <w:basedOn w:val="877"/>
    <w:qFormat/>
    <w:uiPriority w:val="0"/>
    <w:pPr>
      <w:tabs>
        <w:tab w:val="left" w:pos="780"/>
        <w:tab w:val="left" w:pos="6405"/>
      </w:tabs>
      <w:spacing w:after="200"/>
      <w:ind w:left="780" w:hanging="360"/>
    </w:pPr>
    <w:rPr>
      <w:sz w:val="21"/>
    </w:rPr>
  </w:style>
  <w:style w:type="paragraph" w:customStyle="1" w:styleId="986">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987">
    <w:name w:val="xl2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88">
    <w:name w:val="正文文本1"/>
    <w:basedOn w:val="1"/>
    <w:qFormat/>
    <w:uiPriority w:val="0"/>
    <w:pPr>
      <w:widowControl/>
      <w:spacing w:after="120" w:line="288" w:lineRule="auto"/>
      <w:jc w:val="left"/>
    </w:pPr>
    <w:rPr>
      <w:rFonts w:ascii="Verdana" w:hAnsi="Verdana"/>
      <w:sz w:val="24"/>
      <w:szCs w:val="20"/>
      <w:lang w:eastAsia="en-US"/>
    </w:rPr>
  </w:style>
  <w:style w:type="paragraph" w:customStyle="1" w:styleId="989">
    <w:name w:val="font5"/>
    <w:basedOn w:val="1"/>
    <w:qFormat/>
    <w:uiPriority w:val="0"/>
    <w:pPr>
      <w:widowControl/>
      <w:spacing w:before="100" w:beforeAutospacing="1" w:after="100" w:afterAutospacing="1"/>
      <w:jc w:val="left"/>
    </w:pPr>
    <w:rPr>
      <w:rFonts w:ascii="Tahoma" w:hAnsi="Tahoma" w:eastAsia="Arial Unicode MS" w:cs="Tahoma"/>
      <w:sz w:val="20"/>
      <w:szCs w:val="20"/>
    </w:rPr>
  </w:style>
  <w:style w:type="paragraph" w:customStyle="1" w:styleId="990">
    <w:name w:val="xl1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91">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992">
    <w:name w:val="_Style 5"/>
    <w:basedOn w:val="1"/>
    <w:qFormat/>
    <w:uiPriority w:val="34"/>
  </w:style>
  <w:style w:type="paragraph" w:customStyle="1" w:styleId="993">
    <w:name w:val="xl2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94">
    <w:name w:val="font6"/>
    <w:basedOn w:val="1"/>
    <w:qFormat/>
    <w:uiPriority w:val="0"/>
    <w:pPr>
      <w:widowControl/>
      <w:spacing w:before="100" w:beforeAutospacing="1" w:after="100" w:afterAutospacing="1"/>
      <w:jc w:val="left"/>
    </w:pPr>
    <w:rPr>
      <w:rFonts w:hint="eastAsia" w:ascii="黑体" w:hAnsi="Arial Unicode MS" w:eastAsia="黑体"/>
      <w:b/>
      <w:bCs/>
      <w:sz w:val="20"/>
      <w:szCs w:val="20"/>
    </w:rPr>
  </w:style>
  <w:style w:type="paragraph" w:customStyle="1" w:styleId="995">
    <w:name w:val="xl300"/>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96">
    <w:name w:val="样式1111"/>
    <w:basedOn w:val="1"/>
    <w:qFormat/>
    <w:uiPriority w:val="0"/>
    <w:pPr>
      <w:spacing w:line="360" w:lineRule="auto"/>
      <w:ind w:firstLine="200"/>
      <w:jc w:val="left"/>
    </w:pPr>
    <w:rPr>
      <w:sz w:val="24"/>
    </w:rPr>
  </w:style>
  <w:style w:type="paragraph" w:customStyle="1" w:styleId="997">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998">
    <w:name w:val="xl313"/>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99">
    <w:name w:val="xl2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00">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1001">
    <w:name w:val="TOC 标题2"/>
    <w:basedOn w:val="200"/>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002">
    <w:name w:val="样式 样式 标题 3H3Heading 3 - oldh3sect1.2.3BOD 0level_3PIM 3Leve... +..."/>
    <w:basedOn w:val="1"/>
    <w:qFormat/>
    <w:uiPriority w:val="0"/>
    <w:pPr>
      <w:tabs>
        <w:tab w:val="left" w:pos="709"/>
      </w:tabs>
      <w:spacing w:line="300" w:lineRule="auto"/>
      <w:ind w:left="709" w:hanging="709"/>
    </w:pPr>
  </w:style>
  <w:style w:type="paragraph" w:customStyle="1" w:styleId="1003">
    <w:name w:val="Char11"/>
    <w:basedOn w:val="1"/>
    <w:qFormat/>
    <w:uiPriority w:val="0"/>
    <w:rPr>
      <w:rFonts w:ascii="Tahoma" w:hAnsi="Tahoma"/>
      <w:sz w:val="24"/>
      <w:szCs w:val="20"/>
    </w:rPr>
  </w:style>
  <w:style w:type="paragraph" w:customStyle="1" w:styleId="1004">
    <w:name w:val="xl1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05">
    <w:name w:val="xl2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06">
    <w:name w:val="我的表格文字"/>
    <w:basedOn w:val="1"/>
    <w:qFormat/>
    <w:uiPriority w:val="0"/>
    <w:pPr>
      <w:widowControl/>
      <w:jc w:val="left"/>
    </w:pPr>
    <w:rPr>
      <w:rFonts w:ascii="Arial" w:hAnsi="Arial" w:cs="Microsoft Sans Serif"/>
      <w:sz w:val="24"/>
      <w:szCs w:val="18"/>
    </w:rPr>
  </w:style>
  <w:style w:type="paragraph" w:customStyle="1" w:styleId="1007">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08">
    <w:name w:val="正文文本 22"/>
    <w:basedOn w:val="1"/>
    <w:qFormat/>
    <w:uiPriority w:val="0"/>
    <w:pPr>
      <w:spacing w:after="120" w:line="480" w:lineRule="auto"/>
    </w:pPr>
  </w:style>
  <w:style w:type="paragraph" w:customStyle="1" w:styleId="1009">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1010">
    <w:name w:val="xl2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11">
    <w:name w:val="xl296"/>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12">
    <w:name w:val="附录二级条标题"/>
    <w:basedOn w:val="862"/>
    <w:next w:val="399"/>
    <w:qFormat/>
    <w:uiPriority w:val="0"/>
    <w:pPr>
      <w:ind w:left="1779" w:hanging="1069"/>
      <w:outlineLvl w:val="3"/>
    </w:pPr>
  </w:style>
  <w:style w:type="paragraph" w:customStyle="1" w:styleId="1013">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Cs w:val="21"/>
    </w:rPr>
  </w:style>
  <w:style w:type="paragraph" w:customStyle="1" w:styleId="1014">
    <w:name w:val="xl1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15">
    <w:name w:val="FA正文+标号"/>
    <w:basedOn w:val="1"/>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1016">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20"/>
      <w:szCs w:val="20"/>
    </w:rPr>
  </w:style>
  <w:style w:type="paragraph" w:customStyle="1" w:styleId="1017">
    <w:name w:val="xl1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18">
    <w:name w:val="附录三级条标题"/>
    <w:basedOn w:val="1012"/>
    <w:next w:val="399"/>
    <w:qFormat/>
    <w:uiPriority w:val="0"/>
    <w:pPr>
      <w:ind w:left="851" w:hanging="851"/>
      <w:outlineLvl w:val="4"/>
    </w:pPr>
  </w:style>
  <w:style w:type="paragraph" w:customStyle="1" w:styleId="1019">
    <w:name w:val="xl29"/>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20">
    <w:name w:val="文档结构图2"/>
    <w:basedOn w:val="1"/>
    <w:qFormat/>
    <w:uiPriority w:val="0"/>
    <w:rPr>
      <w:rFonts w:ascii="宋体"/>
      <w:sz w:val="18"/>
      <w:szCs w:val="18"/>
    </w:rPr>
  </w:style>
  <w:style w:type="paragraph" w:customStyle="1" w:styleId="1021">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1022">
    <w:name w:val="xl206"/>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023">
    <w:name w:val="xl3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1024">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2"/>
    </w:rPr>
  </w:style>
  <w:style w:type="paragraph" w:customStyle="1" w:styleId="1025">
    <w:name w:val="附录四级条标题"/>
    <w:basedOn w:val="1018"/>
    <w:next w:val="399"/>
    <w:qFormat/>
    <w:uiPriority w:val="0"/>
    <w:pPr>
      <w:ind w:left="992" w:hanging="992"/>
      <w:outlineLvl w:val="5"/>
    </w:pPr>
  </w:style>
  <w:style w:type="paragraph" w:customStyle="1" w:styleId="1026">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1027">
    <w:name w:val="xl1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28">
    <w:name w:val="xl2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29">
    <w:name w:val="正文符号编号"/>
    <w:basedOn w:val="1"/>
    <w:qFormat/>
    <w:uiPriority w:val="0"/>
    <w:pPr>
      <w:tabs>
        <w:tab w:val="left" w:pos="1395"/>
      </w:tabs>
      <w:spacing w:line="360" w:lineRule="auto"/>
      <w:ind w:left="1395" w:hanging="600"/>
    </w:pPr>
    <w:rPr>
      <w:sz w:val="24"/>
      <w:szCs w:val="20"/>
    </w:rPr>
  </w:style>
  <w:style w:type="paragraph" w:customStyle="1" w:styleId="1030">
    <w:name w:val="xl3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31">
    <w:name w:val="xl2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32">
    <w:name w:val="正文 + 四号"/>
    <w:basedOn w:val="1"/>
    <w:qFormat/>
    <w:uiPriority w:val="0"/>
    <w:pPr>
      <w:spacing w:line="480" w:lineRule="exact"/>
    </w:pPr>
    <w:rPr>
      <w:sz w:val="28"/>
      <w:szCs w:val="20"/>
    </w:rPr>
  </w:style>
  <w:style w:type="paragraph" w:customStyle="1" w:styleId="1033">
    <w:name w:val="xl1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34">
    <w:name w:val="Char1 Char Char Char"/>
    <w:basedOn w:val="1"/>
    <w:qFormat/>
    <w:uiPriority w:val="99"/>
    <w:rPr>
      <w:rFonts w:ascii="Tahoma" w:hAnsi="Tahoma"/>
      <w:sz w:val="24"/>
      <w:szCs w:val="20"/>
    </w:rPr>
  </w:style>
  <w:style w:type="paragraph" w:customStyle="1" w:styleId="1035">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1036">
    <w:name w:val="xl2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37">
    <w:name w:val="附录五级条标题"/>
    <w:basedOn w:val="1025"/>
    <w:next w:val="399"/>
    <w:qFormat/>
    <w:uiPriority w:val="0"/>
    <w:pPr>
      <w:tabs>
        <w:tab w:val="left" w:pos="780"/>
        <w:tab w:val="left" w:pos="1800"/>
      </w:tabs>
      <w:ind w:left="2940" w:hanging="420"/>
      <w:outlineLvl w:val="6"/>
    </w:pPr>
  </w:style>
  <w:style w:type="paragraph" w:customStyle="1" w:styleId="1038">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1039">
    <w:name w:val="xl1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040">
    <w:name w:val="正文首行缩进1"/>
    <w:basedOn w:val="1"/>
    <w:qFormat/>
    <w:uiPriority w:val="0"/>
    <w:pPr>
      <w:spacing w:line="360" w:lineRule="auto"/>
      <w:ind w:firstLine="420"/>
    </w:pPr>
    <w:rPr>
      <w:rFonts w:ascii="Arial" w:hAnsi="Arial"/>
      <w:sz w:val="20"/>
      <w:szCs w:val="21"/>
    </w:rPr>
  </w:style>
  <w:style w:type="paragraph" w:customStyle="1" w:styleId="1041">
    <w:name w:val="图表目录1"/>
    <w:basedOn w:val="258"/>
    <w:qFormat/>
    <w:uiPriority w:val="0"/>
    <w:pPr>
      <w:spacing w:after="120" w:line="360" w:lineRule="auto"/>
      <w:jc w:val="center"/>
    </w:pPr>
    <w:rPr>
      <w:rFonts w:ascii="楷体"/>
      <w:sz w:val="28"/>
    </w:rPr>
  </w:style>
  <w:style w:type="paragraph" w:customStyle="1" w:styleId="1042">
    <w:name w:val="xl299"/>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43">
    <w:name w:val="xl2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44">
    <w:name w:val="xl46"/>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1045">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b/>
      <w:bCs/>
      <w:sz w:val="20"/>
      <w:szCs w:val="20"/>
    </w:rPr>
  </w:style>
  <w:style w:type="paragraph" w:customStyle="1" w:styleId="1046">
    <w:name w:val="xl22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47">
    <w:name w:val="xl2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48">
    <w:name w:val="表格1"/>
    <w:basedOn w:val="1"/>
    <w:qFormat/>
    <w:uiPriority w:val="0"/>
    <w:rPr>
      <w:rFonts w:ascii="宋体"/>
      <w:szCs w:val="21"/>
    </w:rPr>
  </w:style>
  <w:style w:type="paragraph" w:customStyle="1" w:styleId="1049">
    <w:name w:val="TOC 51"/>
    <w:basedOn w:val="1"/>
    <w:next w:val="1"/>
    <w:qFormat/>
    <w:uiPriority w:val="39"/>
    <w:pPr>
      <w:ind w:left="1680"/>
    </w:pPr>
  </w:style>
  <w:style w:type="paragraph" w:customStyle="1" w:styleId="1050">
    <w:name w:val="xl1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51">
    <w:name w:val="Style Heading 3H31.1.1标题 3Level 3 Headlevel_3PIM 3h3sect1.2...."/>
    <w:basedOn w:val="206"/>
    <w:qFormat/>
    <w:uiPriority w:val="0"/>
    <w:pPr>
      <w:spacing w:before="120" w:after="120" w:line="360" w:lineRule="auto"/>
      <w:ind w:left="720" w:hanging="720"/>
    </w:pPr>
    <w:rPr>
      <w:rFonts w:eastAsia="黑体"/>
      <w:bCs/>
      <w:sz w:val="24"/>
    </w:rPr>
  </w:style>
  <w:style w:type="paragraph" w:customStyle="1" w:styleId="1052">
    <w:name w:val="xl2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53">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54">
    <w:name w:val="xl302"/>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5">
    <w:name w:val="列项——"/>
    <w:qFormat/>
    <w:uiPriority w:val="0"/>
    <w:pPr>
      <w:widowControl w:val="0"/>
      <w:tabs>
        <w:tab w:val="left" w:pos="1140"/>
      </w:tabs>
      <w:ind w:left="840" w:hanging="420"/>
      <w:jc w:val="both"/>
    </w:pPr>
    <w:rPr>
      <w:rFonts w:ascii="宋体" w:hAnsi="Times New Roman" w:eastAsia="宋体" w:cs="Times New Roman"/>
      <w:sz w:val="21"/>
      <w:lang w:val="en-US" w:eastAsia="zh-CN" w:bidi="ar-SA"/>
    </w:rPr>
  </w:style>
  <w:style w:type="paragraph" w:customStyle="1" w:styleId="1056">
    <w:name w:val="Char1"/>
    <w:basedOn w:val="1"/>
    <w:qFormat/>
    <w:uiPriority w:val="0"/>
    <w:pPr>
      <w:tabs>
        <w:tab w:val="left" w:pos="840"/>
      </w:tabs>
      <w:ind w:left="840" w:hanging="420"/>
    </w:pPr>
    <w:rPr>
      <w:sz w:val="24"/>
    </w:rPr>
  </w:style>
  <w:style w:type="paragraph" w:customStyle="1" w:styleId="1057">
    <w:name w:val="xl2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58">
    <w:name w:val="font14"/>
    <w:basedOn w:val="1"/>
    <w:qFormat/>
    <w:uiPriority w:val="0"/>
    <w:pPr>
      <w:widowControl/>
      <w:spacing w:before="100" w:beforeAutospacing="1" w:after="100" w:afterAutospacing="1"/>
      <w:jc w:val="left"/>
    </w:pPr>
    <w:rPr>
      <w:rFonts w:ascii="宋体" w:hAnsi="宋体" w:cs="宋体"/>
      <w:sz w:val="20"/>
      <w:szCs w:val="20"/>
    </w:rPr>
  </w:style>
  <w:style w:type="paragraph" w:customStyle="1" w:styleId="1059">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1060">
    <w:name w:val="xl22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61">
    <w:name w:val="xl2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62">
    <w:name w:val="TOC 81"/>
    <w:basedOn w:val="1"/>
    <w:next w:val="1"/>
    <w:qFormat/>
    <w:uiPriority w:val="39"/>
    <w:pPr>
      <w:ind w:left="2940"/>
    </w:pPr>
  </w:style>
  <w:style w:type="paragraph" w:customStyle="1" w:styleId="1063">
    <w:name w:val="xl2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4">
    <w:name w:val="标准标志"/>
    <w:next w:val="1"/>
    <w:qFormat/>
    <w:uiPriority w:val="0"/>
    <w:pPr>
      <w:framePr w:w="2268" w:h="1392" w:hRule="exact" w:wrap="around" w:vAnchor="margin" w:hAnchor="margin" w:x="6748" w:y="171"/>
      <w:shd w:val="solid" w:color="FFFFFF" w:fill="FFFFFF"/>
      <w:spacing w:line="0" w:lineRule="atLeast"/>
      <w:jc w:val="right"/>
    </w:pPr>
    <w:rPr>
      <w:rFonts w:ascii="Times New Roman" w:hAnsi="Times New Roman" w:eastAsia="宋体" w:cs="Times New Roman"/>
      <w:b/>
      <w:sz w:val="96"/>
      <w:lang w:val="en-US" w:eastAsia="zh-CN" w:bidi="ar-SA"/>
    </w:rPr>
  </w:style>
  <w:style w:type="paragraph" w:customStyle="1" w:styleId="1065">
    <w:name w:val="xl45"/>
    <w:basedOn w:val="1"/>
    <w:qFormat/>
    <w:uiPriority w:val="0"/>
    <w:pPr>
      <w:widowControl/>
      <w:spacing w:before="100" w:beforeAutospacing="1" w:after="100" w:afterAutospacing="1"/>
      <w:jc w:val="left"/>
    </w:pPr>
    <w:rPr>
      <w:rFonts w:hint="eastAsia" w:ascii="黑体" w:hAnsi="Arial Unicode MS" w:eastAsia="黑体"/>
      <w:b/>
      <w:bCs/>
      <w:sz w:val="24"/>
    </w:rPr>
  </w:style>
  <w:style w:type="paragraph" w:customStyle="1" w:styleId="1066">
    <w:name w:val="xl19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67">
    <w:name w:val="列项·"/>
    <w:qFormat/>
    <w:uiPriority w:val="0"/>
    <w:pPr>
      <w:tabs>
        <w:tab w:val="left" w:pos="425"/>
        <w:tab w:val="left" w:pos="840"/>
      </w:tabs>
      <w:ind w:left="840" w:hanging="425"/>
      <w:jc w:val="both"/>
    </w:pPr>
    <w:rPr>
      <w:rFonts w:ascii="宋体" w:hAnsi="Times New Roman" w:eastAsia="宋体" w:cs="Times New Roman"/>
      <w:sz w:val="21"/>
      <w:lang w:val="en-US" w:eastAsia="zh-CN" w:bidi="ar-SA"/>
    </w:rPr>
  </w:style>
  <w:style w:type="paragraph" w:customStyle="1" w:styleId="1068">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69">
    <w:name w:val="TOC 标题121"/>
    <w:basedOn w:val="200"/>
    <w:next w:val="1"/>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1070">
    <w:name w:val="标准称谓"/>
    <w:next w:val="1"/>
    <w:qFormat/>
    <w:uiPriority w:val="0"/>
    <w:pPr>
      <w:framePr w:w="9638" w:h="754" w:hRule="exact" w:hSpace="180" w:vSpace="180" w:wrap="around" w:vAnchor="page" w:hAnchor="margin" w:xAlign="center" w:y="2128"/>
      <w:widowControl w:val="0"/>
      <w:spacing w:line="0" w:lineRule="atLeast"/>
      <w:jc w:val="both"/>
    </w:pPr>
    <w:rPr>
      <w:rFonts w:ascii="宋体" w:hAnsi="Times New Roman" w:eastAsia="宋体" w:cs="Times New Roman"/>
      <w:b/>
      <w:bCs/>
      <w:spacing w:val="20"/>
      <w:sz w:val="52"/>
      <w:lang w:val="en-US" w:eastAsia="zh-CN" w:bidi="ar-SA"/>
    </w:rPr>
  </w:style>
  <w:style w:type="paragraph" w:customStyle="1" w:styleId="1071">
    <w:name w:val="xl1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72">
    <w:name w:val="文本块2"/>
    <w:basedOn w:val="1"/>
    <w:qFormat/>
    <w:uiPriority w:val="0"/>
    <w:pPr>
      <w:ind w:left="630" w:right="630"/>
      <w:jc w:val="center"/>
    </w:pPr>
    <w:rPr>
      <w:rFonts w:ascii="宋体"/>
      <w:b/>
      <w:sz w:val="32"/>
    </w:rPr>
  </w:style>
  <w:style w:type="paragraph" w:customStyle="1" w:styleId="1073">
    <w:name w:val="正文格式"/>
    <w:basedOn w:val="1"/>
    <w:qFormat/>
    <w:uiPriority w:val="0"/>
    <w:pPr>
      <w:widowControl/>
      <w:spacing w:line="400" w:lineRule="exact"/>
      <w:ind w:firstLine="482"/>
    </w:pPr>
    <w:rPr>
      <w:rFonts w:ascii="Arial" w:hAnsi="Arial" w:eastAsia="新宋体"/>
      <w:sz w:val="24"/>
      <w:szCs w:val="20"/>
    </w:rPr>
  </w:style>
  <w:style w:type="paragraph" w:customStyle="1" w:styleId="1074">
    <w:name w:val="xl1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75">
    <w:name w:val="xl1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76">
    <w:name w:val="TOC 41"/>
    <w:basedOn w:val="1"/>
    <w:next w:val="1"/>
    <w:qFormat/>
    <w:uiPriority w:val="39"/>
    <w:pPr>
      <w:ind w:left="1260"/>
    </w:pPr>
  </w:style>
  <w:style w:type="paragraph" w:customStyle="1" w:styleId="1077">
    <w:name w:val="xl2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78">
    <w:name w:val="目次、标准名称标题"/>
    <w:basedOn w:val="877"/>
    <w:next w:val="399"/>
    <w:qFormat/>
    <w:uiPriority w:val="0"/>
    <w:pPr>
      <w:spacing w:line="460" w:lineRule="exact"/>
    </w:pPr>
  </w:style>
  <w:style w:type="paragraph" w:customStyle="1" w:styleId="1079">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1080">
    <w:name w:val="xl1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81">
    <w:name w:val="xl1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82">
    <w:name w:val="段 Char"/>
    <w:qFormat/>
    <w:uiPriority w:val="0"/>
    <w:pPr>
      <w:ind w:firstLine="200"/>
      <w:jc w:val="both"/>
    </w:pPr>
    <w:rPr>
      <w:rFonts w:ascii="宋体" w:hAnsi="Times New Roman" w:eastAsia="宋体" w:cs="Times New Roman"/>
      <w:sz w:val="21"/>
      <w:lang w:val="en-US" w:eastAsia="zh-CN" w:bidi="ar-SA"/>
    </w:rPr>
  </w:style>
  <w:style w:type="paragraph" w:customStyle="1" w:styleId="1083">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sz w:val="20"/>
      <w:szCs w:val="20"/>
    </w:rPr>
  </w:style>
  <w:style w:type="paragraph" w:customStyle="1" w:styleId="1084">
    <w:name w:val="xl298"/>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85">
    <w:name w:val="xl22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86">
    <w:name w:val="普通正文"/>
    <w:basedOn w:val="1"/>
    <w:qFormat/>
    <w:uiPriority w:val="0"/>
    <w:pPr>
      <w:spacing w:before="120" w:after="120" w:line="360" w:lineRule="auto"/>
      <w:ind w:firstLine="480"/>
      <w:jc w:val="left"/>
    </w:pPr>
    <w:rPr>
      <w:rFonts w:ascii="Arial" w:hAnsi="Arial"/>
      <w:sz w:val="24"/>
    </w:rPr>
  </w:style>
  <w:style w:type="paragraph" w:customStyle="1" w:styleId="1087">
    <w:name w:val="TOC 61"/>
    <w:basedOn w:val="1"/>
    <w:next w:val="1"/>
    <w:qFormat/>
    <w:uiPriority w:val="39"/>
    <w:pPr>
      <w:ind w:left="2100"/>
    </w:pPr>
  </w:style>
  <w:style w:type="paragraph" w:customStyle="1" w:styleId="1088">
    <w:name w:val="xl2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89">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090">
    <w:name w:val="样式 标题 2市检方案标题2第一层条h22章标题节标题第一章 标题 2Heading 2 HiddenHead..."/>
    <w:basedOn w:val="202"/>
    <w:qFormat/>
    <w:uiPriority w:val="0"/>
    <w:pPr>
      <w:spacing w:before="120" w:after="120" w:line="264" w:lineRule="auto"/>
      <w:jc w:val="left"/>
    </w:pPr>
    <w:rPr>
      <w:rFonts w:ascii="楷体_GB2312" w:hAnsi="楷体" w:cs="宋体"/>
      <w:color w:val="000000"/>
      <w:sz w:val="28"/>
      <w:szCs w:val="28"/>
    </w:rPr>
  </w:style>
  <w:style w:type="paragraph" w:customStyle="1" w:styleId="1091">
    <w:name w:val="xl2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92">
    <w:name w:val="Item List in Table"/>
    <w:basedOn w:val="1"/>
    <w:qFormat/>
    <w:uiPriority w:val="0"/>
    <w:pPr>
      <w:widowControl/>
      <w:tabs>
        <w:tab w:val="left" w:pos="284"/>
        <w:tab w:val="left" w:pos="885"/>
      </w:tabs>
      <w:spacing w:before="80" w:after="80" w:line="240" w:lineRule="atLeast"/>
      <w:ind w:left="885" w:hanging="885"/>
      <w:jc w:val="left"/>
    </w:pPr>
    <w:rPr>
      <w:rFonts w:hint="eastAsia" w:cs="Arial"/>
      <w:szCs w:val="21"/>
    </w:rPr>
  </w:style>
  <w:style w:type="paragraph" w:customStyle="1" w:styleId="1093">
    <w:name w:val="Char Char1"/>
    <w:basedOn w:val="1"/>
    <w:semiHidden/>
    <w:qFormat/>
    <w:uiPriority w:val="99"/>
    <w:pPr>
      <w:widowControl/>
      <w:spacing w:after="160" w:line="240" w:lineRule="exact"/>
      <w:jc w:val="left"/>
    </w:pPr>
    <w:rPr>
      <w:rFonts w:ascii="Verdana" w:hAnsi="Verdana"/>
      <w:sz w:val="20"/>
      <w:lang w:eastAsia="en-US"/>
    </w:rPr>
  </w:style>
  <w:style w:type="paragraph" w:customStyle="1" w:styleId="1094">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1095">
    <w:name w:val="日期2"/>
    <w:basedOn w:val="1"/>
    <w:next w:val="1"/>
    <w:qFormat/>
    <w:uiPriority w:val="0"/>
    <w:pPr>
      <w:ind w:left="100"/>
    </w:pPr>
    <w:rPr>
      <w:rFonts w:ascii="仿宋_GB2312" w:eastAsia="仿宋_GB2312"/>
      <w:b/>
      <w:sz w:val="36"/>
    </w:rPr>
  </w:style>
  <w:style w:type="paragraph" w:customStyle="1" w:styleId="1096">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1097">
    <w:name w:val="xl2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98">
    <w:name w:val="xl2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99">
    <w:name w:val="样式4 Char"/>
    <w:basedOn w:val="1"/>
    <w:qFormat/>
    <w:uiPriority w:val="0"/>
    <w:pPr>
      <w:widowControl/>
      <w:spacing w:line="360" w:lineRule="auto"/>
      <w:ind w:firstLine="480"/>
      <w:jc w:val="left"/>
    </w:pPr>
    <w:rPr>
      <w:color w:val="000000"/>
      <w:sz w:val="24"/>
    </w:rPr>
  </w:style>
  <w:style w:type="paragraph" w:customStyle="1" w:styleId="1100">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01">
    <w:name w:val="xl2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02">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103">
    <w:name w:val="xl297"/>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04">
    <w:name w:val="xl1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05">
    <w:name w:val="xl22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06">
    <w:name w:val="xl27"/>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107">
    <w:name w:val="xl2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08">
    <w:name w:val="xl306"/>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09">
    <w:name w:val="标准书眉_偶数页"/>
    <w:basedOn w:val="1110"/>
    <w:next w:val="1"/>
    <w:qFormat/>
    <w:uiPriority w:val="0"/>
    <w:pPr>
      <w:tabs>
        <w:tab w:val="center" w:pos="4154"/>
        <w:tab w:val="right" w:pos="8306"/>
      </w:tabs>
      <w:jc w:val="left"/>
    </w:pPr>
  </w:style>
  <w:style w:type="paragraph" w:customStyle="1" w:styleId="1110">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111">
    <w:name w:val="xl5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20"/>
      <w:szCs w:val="20"/>
    </w:rPr>
  </w:style>
  <w:style w:type="paragraph" w:customStyle="1" w:styleId="1112">
    <w:name w:val="xl1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13">
    <w:name w:val="xl1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14">
    <w:name w:val="内容标题"/>
    <w:basedOn w:val="1"/>
    <w:qFormat/>
    <w:uiPriority w:val="0"/>
    <w:pPr>
      <w:shd w:val="clear" w:color="auto" w:fill="000080"/>
    </w:pPr>
    <w:rPr>
      <w:rFonts w:ascii="Tahoma" w:hAnsi="Tahoma"/>
      <w:sz w:val="24"/>
      <w:shd w:val="clear" w:color="auto" w:fill="000080"/>
    </w:rPr>
  </w:style>
  <w:style w:type="paragraph" w:customStyle="1" w:styleId="1115">
    <w:name w:val="xl19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16">
    <w:name w:val="xl2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17">
    <w:name w:val="样式2"/>
    <w:basedOn w:val="1"/>
    <w:qFormat/>
    <w:uiPriority w:val="0"/>
    <w:pPr>
      <w:ind w:left="624" w:hanging="720"/>
    </w:pPr>
    <w:rPr>
      <w:rFonts w:ascii="黑体" w:eastAsia="黑体"/>
      <w:b/>
      <w:sz w:val="30"/>
    </w:rPr>
  </w:style>
  <w:style w:type="paragraph" w:customStyle="1" w:styleId="1118">
    <w:name w:val="xl1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19">
    <w:name w:val="xl1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20">
    <w:name w:val="默认段落字体 Para Char Char Char Char Char Char Char"/>
    <w:basedOn w:val="1"/>
    <w:qFormat/>
    <w:uiPriority w:val="0"/>
    <w:pPr>
      <w:spacing w:line="360" w:lineRule="auto"/>
      <w:ind w:left="200"/>
      <w:jc w:val="left"/>
    </w:pPr>
    <w:rPr>
      <w:rFonts w:ascii="宋体" w:hAnsi="宋体"/>
      <w:color w:val="000000"/>
      <w:sz w:val="24"/>
      <w:szCs w:val="20"/>
    </w:rPr>
  </w:style>
  <w:style w:type="paragraph" w:customStyle="1" w:styleId="1121">
    <w:name w:val="xl1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2">
    <w:name w:val="xl7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1123">
    <w:name w:val="xl1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24">
    <w:name w:val="表格文字"/>
    <w:basedOn w:val="1"/>
    <w:qFormat/>
    <w:uiPriority w:val="0"/>
    <w:pPr>
      <w:tabs>
        <w:tab w:val="left" w:pos="7740"/>
      </w:tabs>
      <w:jc w:val="center"/>
    </w:pPr>
    <w:rPr>
      <w:rFonts w:ascii="宋体" w:hAnsi="宋体"/>
      <w:sz w:val="24"/>
      <w:szCs w:val="20"/>
    </w:rPr>
  </w:style>
  <w:style w:type="paragraph" w:customStyle="1" w:styleId="1125">
    <w:name w:val="xl21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26">
    <w:name w:val="xl19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27">
    <w:name w:val="表格文本"/>
    <w:basedOn w:val="1"/>
    <w:qFormat/>
    <w:uiPriority w:val="0"/>
    <w:pPr>
      <w:tabs>
        <w:tab w:val="decimal" w:pos="0"/>
      </w:tabs>
      <w:jc w:val="left"/>
    </w:pPr>
    <w:rPr>
      <w:rFonts w:ascii="Arial" w:hAnsi="Arial"/>
      <w:szCs w:val="21"/>
    </w:rPr>
  </w:style>
  <w:style w:type="paragraph" w:customStyle="1" w:styleId="1128">
    <w:name w:val="xl307"/>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9">
    <w:name w:val="Default"/>
    <w:qFormat/>
    <w:uiPriority w:val="0"/>
    <w:pPr>
      <w:widowControl w:val="0"/>
    </w:pPr>
    <w:rPr>
      <w:rFonts w:ascii="宋体" w:hAnsi="Times New Roman" w:eastAsia="宋体" w:cs="Times New Roman"/>
      <w:color w:val="000000"/>
      <w:sz w:val="24"/>
      <w:szCs w:val="24"/>
      <w:lang w:val="en-US" w:eastAsia="zh-CN" w:bidi="ar-SA"/>
    </w:rPr>
  </w:style>
  <w:style w:type="paragraph" w:customStyle="1" w:styleId="1130">
    <w:name w:val="xl1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31">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1132">
    <w:name w:val="xl2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33">
    <w:name w:val="Style First line:  2 ch"/>
    <w:basedOn w:val="1"/>
    <w:qFormat/>
    <w:uiPriority w:val="0"/>
    <w:pPr>
      <w:spacing w:line="440" w:lineRule="exact"/>
      <w:ind w:firstLine="200"/>
    </w:pPr>
    <w:rPr>
      <w:sz w:val="24"/>
    </w:rPr>
  </w:style>
  <w:style w:type="paragraph" w:customStyle="1" w:styleId="1134">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35">
    <w:name w:val="正文４"/>
    <w:basedOn w:val="1"/>
    <w:qFormat/>
    <w:uiPriority w:val="0"/>
    <w:pPr>
      <w:spacing w:line="360" w:lineRule="auto"/>
      <w:ind w:firstLine="480"/>
    </w:pPr>
    <w:rPr>
      <w:sz w:val="24"/>
      <w:szCs w:val="20"/>
    </w:rPr>
  </w:style>
  <w:style w:type="paragraph" w:customStyle="1" w:styleId="1136">
    <w:name w:val="普通(网站)1"/>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1137">
    <w:name w:val="图表脚注"/>
    <w:next w:val="399"/>
    <w:qFormat/>
    <w:uiPriority w:val="0"/>
    <w:pPr>
      <w:ind w:left="300" w:hanging="100"/>
      <w:jc w:val="both"/>
    </w:pPr>
    <w:rPr>
      <w:rFonts w:ascii="宋体" w:hAnsi="Times New Roman" w:eastAsia="宋体" w:cs="Times New Roman"/>
      <w:sz w:val="18"/>
      <w:lang w:val="en-US" w:eastAsia="zh-CN" w:bidi="ar-SA"/>
    </w:rPr>
  </w:style>
  <w:style w:type="paragraph" w:customStyle="1" w:styleId="1138">
    <w:name w:val="列出段落1"/>
    <w:basedOn w:val="1"/>
    <w:qFormat/>
    <w:uiPriority w:val="0"/>
    <w:pPr>
      <w:ind w:firstLine="420"/>
    </w:pPr>
  </w:style>
  <w:style w:type="paragraph" w:customStyle="1" w:styleId="1139">
    <w:name w:val="无标题条"/>
    <w:next w:val="399"/>
    <w:qFormat/>
    <w:uiPriority w:val="0"/>
    <w:pPr>
      <w:jc w:val="both"/>
    </w:pPr>
    <w:rPr>
      <w:rFonts w:ascii="Times New Roman" w:hAnsi="Times New Roman" w:eastAsia="宋体" w:cs="Times New Roman"/>
      <w:sz w:val="21"/>
      <w:lang w:val="en-US" w:eastAsia="zh-CN" w:bidi="ar-SA"/>
    </w:rPr>
  </w:style>
  <w:style w:type="paragraph" w:customStyle="1" w:styleId="1140">
    <w:name w:val="xl1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141">
    <w:name w:val="注示头"/>
    <w:basedOn w:val="1"/>
    <w:qFormat/>
    <w:uiPriority w:val="0"/>
    <w:pPr>
      <w:pBdr>
        <w:top w:val="single" w:color="000000" w:sz="4" w:space="1"/>
      </w:pBdr>
    </w:pPr>
    <w:rPr>
      <w:rFonts w:ascii="Arial" w:hAnsi="Arial" w:eastAsia="黑体"/>
      <w:sz w:val="18"/>
      <w:szCs w:val="20"/>
    </w:rPr>
  </w:style>
  <w:style w:type="paragraph" w:customStyle="1" w:styleId="1142">
    <w:name w:val="xl2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43">
    <w:name w:val="封面标准名称"/>
    <w:qFormat/>
    <w:uiPriority w:val="0"/>
    <w:pPr>
      <w:framePr w:w="9638" w:h="6917" w:hRule="exact" w:wrap="around" w:vAnchor="margin" w:hAnchor="margin" w:xAlign="center" w:y="5955"/>
      <w:widowControl w:val="0"/>
      <w:spacing w:line="680" w:lineRule="exact"/>
      <w:jc w:val="center"/>
    </w:pPr>
    <w:rPr>
      <w:rFonts w:ascii="黑体" w:hAnsi="Times New Roman" w:eastAsia="黑体" w:cs="Times New Roman"/>
      <w:sz w:val="52"/>
      <w:lang w:val="en-US" w:eastAsia="zh-CN" w:bidi="ar-SA"/>
    </w:rPr>
  </w:style>
  <w:style w:type="paragraph" w:customStyle="1" w:styleId="1144">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145">
    <w:name w:val="xl2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46">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47">
    <w:name w:val="DLP3.4.4"/>
    <w:basedOn w:val="1"/>
    <w:qFormat/>
    <w:uiPriority w:val="0"/>
    <w:pPr>
      <w:keepNext/>
      <w:keepLines/>
      <w:tabs>
        <w:tab w:val="left" w:pos="1069"/>
      </w:tabs>
      <w:spacing w:before="260" w:after="260" w:line="416" w:lineRule="auto"/>
      <w:ind w:left="1069" w:hanging="709"/>
      <w:outlineLvl w:val="2"/>
    </w:pPr>
    <w:rPr>
      <w:b/>
      <w:sz w:val="30"/>
    </w:rPr>
  </w:style>
  <w:style w:type="paragraph" w:customStyle="1" w:styleId="1148">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149">
    <w:name w:val="纯文本1"/>
    <w:basedOn w:val="1"/>
    <w:qFormat/>
    <w:uiPriority w:val="0"/>
    <w:rPr>
      <w:rFonts w:ascii="宋体" w:hAnsi="Courier New"/>
      <w:szCs w:val="21"/>
    </w:rPr>
  </w:style>
  <w:style w:type="paragraph" w:customStyle="1" w:styleId="1150">
    <w:name w:val="列出段落2"/>
    <w:basedOn w:val="1"/>
    <w:qFormat/>
    <w:uiPriority w:val="0"/>
    <w:pPr>
      <w:ind w:firstLine="420"/>
    </w:pPr>
    <w:rPr>
      <w:rFonts w:eastAsia="仿宋_GB2312"/>
      <w:sz w:val="24"/>
    </w:rPr>
  </w:style>
  <w:style w:type="paragraph" w:customStyle="1" w:styleId="1151">
    <w:name w:val="图5"/>
    <w:basedOn w:val="1"/>
    <w:qFormat/>
    <w:uiPriority w:val="0"/>
    <w:pPr>
      <w:spacing w:line="220" w:lineRule="exact"/>
      <w:jc w:val="center"/>
    </w:pPr>
    <w:rPr>
      <w:rFonts w:ascii="仿宋_GB2312" w:eastAsia="仿宋_GB2312"/>
      <w:szCs w:val="20"/>
    </w:rPr>
  </w:style>
  <w:style w:type="paragraph" w:customStyle="1" w:styleId="1152">
    <w:name w:val="无间隔2"/>
    <w:qFormat/>
    <w:uiPriority w:val="0"/>
    <w:pPr>
      <w:widowControl w:val="0"/>
      <w:jc w:val="both"/>
    </w:pPr>
    <w:rPr>
      <w:rFonts w:ascii="Calibri" w:hAnsi="Calibri" w:eastAsia="宋体" w:cs="黑体"/>
      <w:sz w:val="21"/>
      <w:szCs w:val="22"/>
      <w:lang w:val="en-US" w:eastAsia="zh-CN" w:bidi="ar-SA"/>
    </w:rPr>
  </w:style>
  <w:style w:type="paragraph" w:customStyle="1" w:styleId="1153">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eastAsia="Arial Unicode MS"/>
      <w:sz w:val="20"/>
      <w:szCs w:val="20"/>
    </w:rPr>
  </w:style>
  <w:style w:type="paragraph" w:customStyle="1" w:styleId="1154">
    <w:name w:val="xl1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55">
    <w:name w:val="正文缩进2"/>
    <w:basedOn w:val="1"/>
    <w:qFormat/>
    <w:uiPriority w:val="0"/>
    <w:pPr>
      <w:ind w:firstLine="420"/>
    </w:pPr>
    <w:rPr>
      <w:szCs w:val="20"/>
    </w:rPr>
  </w:style>
  <w:style w:type="paragraph" w:customStyle="1" w:styleId="1156">
    <w:name w:val="xl1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157">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58">
    <w:name w:val="xl1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59">
    <w:name w:val="xl6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1160">
    <w:name w:val="xl2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61">
    <w:name w:val="xl2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62">
    <w:name w:val="Heading 1 前言"/>
    <w:next w:val="1"/>
    <w:qFormat/>
    <w:uiPriority w:val="0"/>
    <w:pPr>
      <w:jc w:val="center"/>
    </w:pPr>
    <w:rPr>
      <w:rFonts w:ascii="黑体" w:hAnsi="黑体" w:eastAsia="黑体" w:cs="Times New Roman"/>
      <w:b/>
      <w:bCs/>
      <w:sz w:val="32"/>
      <w:lang w:val="en-US" w:eastAsia="zh-CN" w:bidi="ar-SA"/>
    </w:rPr>
  </w:style>
  <w:style w:type="paragraph" w:customStyle="1" w:styleId="1163">
    <w:name w:val="xl2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64">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eastAsia="Arial Unicode MS" w:cs="Arial"/>
      <w:sz w:val="20"/>
      <w:szCs w:val="20"/>
    </w:rPr>
  </w:style>
  <w:style w:type="paragraph" w:customStyle="1" w:styleId="1165">
    <w:name w:val="列表1"/>
    <w:basedOn w:val="1"/>
    <w:qFormat/>
    <w:uiPriority w:val="0"/>
    <w:pPr>
      <w:ind w:left="200" w:hanging="200"/>
    </w:pPr>
  </w:style>
  <w:style w:type="paragraph" w:customStyle="1" w:styleId="1166">
    <w:name w:val="xl2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67">
    <w:name w:val="xl2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68">
    <w:name w:val="Char1 Char Char Char11"/>
    <w:basedOn w:val="1"/>
    <w:qFormat/>
    <w:uiPriority w:val="0"/>
    <w:rPr>
      <w:rFonts w:ascii="Tahoma" w:hAnsi="Tahoma"/>
      <w:sz w:val="24"/>
      <w:szCs w:val="20"/>
    </w:rPr>
  </w:style>
  <w:style w:type="paragraph" w:customStyle="1" w:styleId="1169">
    <w:name w:val="xl308"/>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70">
    <w:name w:val="日期1"/>
    <w:basedOn w:val="1"/>
    <w:next w:val="1"/>
    <w:qFormat/>
    <w:uiPriority w:val="0"/>
    <w:pPr>
      <w:spacing w:line="312" w:lineRule="atLeast"/>
      <w:jc w:val="right"/>
    </w:pPr>
    <w:rPr>
      <w:rFonts w:ascii="黑体" w:eastAsia="黑体"/>
      <w:b/>
      <w:sz w:val="32"/>
      <w:szCs w:val="20"/>
    </w:rPr>
  </w:style>
  <w:style w:type="paragraph" w:customStyle="1" w:styleId="1171">
    <w:name w:val="xl3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72">
    <w:name w:val="Char"/>
    <w:basedOn w:val="1"/>
    <w:qFormat/>
    <w:uiPriority w:val="99"/>
    <w:pPr>
      <w:spacing w:line="360" w:lineRule="auto"/>
    </w:pPr>
    <w:rPr>
      <w:sz w:val="24"/>
      <w:szCs w:val="20"/>
    </w:rPr>
  </w:style>
  <w:style w:type="paragraph" w:customStyle="1" w:styleId="1173">
    <w:name w:val="文档结构图1"/>
    <w:basedOn w:val="1"/>
    <w:qFormat/>
    <w:uiPriority w:val="0"/>
    <w:rPr>
      <w:rFonts w:ascii="宋体"/>
      <w:sz w:val="18"/>
      <w:szCs w:val="18"/>
    </w:rPr>
  </w:style>
  <w:style w:type="paragraph" w:customStyle="1" w:styleId="1174">
    <w:name w:val="表格正文"/>
    <w:basedOn w:val="1"/>
    <w:qFormat/>
    <w:uiPriority w:val="0"/>
    <w:pPr>
      <w:jc w:val="center"/>
    </w:pPr>
    <w:rPr>
      <w:rFonts w:eastAsia="仿宋_GB2312"/>
    </w:rPr>
  </w:style>
  <w:style w:type="paragraph" w:customStyle="1" w:styleId="1175">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76">
    <w:name w:val="xl205"/>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77">
    <w:name w:val="xl30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78">
    <w:name w:val="Birdseed"/>
    <w:basedOn w:val="1"/>
    <w:qFormat/>
    <w:uiPriority w:val="0"/>
    <w:pPr>
      <w:widowControl/>
      <w:jc w:val="left"/>
    </w:pPr>
    <w:rPr>
      <w:rFonts w:ascii="Palatino Linotype" w:hAnsi="Palatino Linotype"/>
      <w:sz w:val="18"/>
      <w:szCs w:val="20"/>
    </w:rPr>
  </w:style>
  <w:style w:type="paragraph" w:customStyle="1" w:styleId="1179">
    <w:name w:val="TOC 91"/>
    <w:basedOn w:val="1"/>
    <w:next w:val="1"/>
    <w:qFormat/>
    <w:uiPriority w:val="39"/>
    <w:pPr>
      <w:ind w:left="3360"/>
    </w:pPr>
  </w:style>
  <w:style w:type="paragraph" w:customStyle="1" w:styleId="1180">
    <w:name w:val="xl2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81">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eastAsia="Arial Unicode MS"/>
      <w:sz w:val="20"/>
      <w:szCs w:val="20"/>
    </w:rPr>
  </w:style>
  <w:style w:type="paragraph" w:customStyle="1" w:styleId="1182">
    <w:name w:val="xl1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83">
    <w:name w:val="正文--表格内正文"/>
    <w:basedOn w:val="1"/>
    <w:qFormat/>
    <w:uiPriority w:val="0"/>
    <w:pPr>
      <w:spacing w:line="0" w:lineRule="atLeast"/>
      <w:jc w:val="center"/>
    </w:pPr>
    <w:rPr>
      <w:rFonts w:ascii="宋体" w:hAnsi="宋体"/>
      <w:sz w:val="24"/>
    </w:rPr>
  </w:style>
  <w:style w:type="paragraph" w:customStyle="1" w:styleId="1184">
    <w:name w:val="xl2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85">
    <w:name w:val="样式 行距: 1.5 倍行距"/>
    <w:basedOn w:val="1"/>
    <w:qFormat/>
    <w:uiPriority w:val="0"/>
    <w:pPr>
      <w:spacing w:line="360" w:lineRule="auto"/>
    </w:pPr>
    <w:rPr>
      <w:rFonts w:ascii="宋体" w:hAnsi="宋体"/>
      <w:bCs/>
      <w:sz w:val="28"/>
      <w:szCs w:val="20"/>
    </w:rPr>
  </w:style>
  <w:style w:type="paragraph" w:customStyle="1" w:styleId="1186">
    <w:name w:val="正文首行缩进2"/>
    <w:basedOn w:val="1"/>
    <w:qFormat/>
    <w:uiPriority w:val="0"/>
    <w:pPr>
      <w:spacing w:line="360" w:lineRule="auto"/>
      <w:ind w:firstLine="420"/>
    </w:pPr>
    <w:rPr>
      <w:rFonts w:ascii="Arial" w:hAnsi="Arial"/>
      <w:sz w:val="20"/>
      <w:szCs w:val="21"/>
    </w:rPr>
  </w:style>
  <w:style w:type="paragraph" w:customStyle="1" w:styleId="1187">
    <w:name w:val="Table Paragraph"/>
    <w:basedOn w:val="1"/>
    <w:qFormat/>
    <w:uiPriority w:val="1"/>
    <w:pPr>
      <w:jc w:val="left"/>
    </w:pPr>
    <w:rPr>
      <w:rFonts w:cs="黑体"/>
      <w:sz w:val="22"/>
      <w:lang w:eastAsia="en-US"/>
    </w:rPr>
  </w:style>
  <w:style w:type="paragraph" w:customStyle="1" w:styleId="1188">
    <w:name w:val="列出段落4"/>
    <w:basedOn w:val="1"/>
    <w:qFormat/>
    <w:uiPriority w:val="0"/>
    <w:pPr>
      <w:ind w:firstLine="420"/>
    </w:pPr>
  </w:style>
  <w:style w:type="paragraph" w:customStyle="1" w:styleId="1189">
    <w:name w:val="其他发布部门"/>
    <w:basedOn w:val="1190"/>
    <w:qFormat/>
    <w:uiPriority w:val="0"/>
    <w:pPr>
      <w:framePr w:wrap="around"/>
      <w:spacing w:line="0" w:lineRule="atLeast"/>
    </w:pPr>
    <w:rPr>
      <w:rFonts w:ascii="黑体" w:eastAsia="黑体"/>
      <w:b w:val="0"/>
    </w:rPr>
  </w:style>
  <w:style w:type="paragraph" w:customStyle="1" w:styleId="1190">
    <w:name w:val="发布部门"/>
    <w:next w:val="399"/>
    <w:qFormat/>
    <w:uiPriority w:val="0"/>
    <w:pPr>
      <w:framePr w:w="7433" w:h="585" w:hRule="exact" w:hSpace="180" w:vSpace="180" w:wrap="around" w:vAnchor="margin" w:hAnchor="margin" w:xAlign="center" w:y="14401"/>
      <w:jc w:val="center"/>
    </w:pPr>
    <w:rPr>
      <w:rFonts w:ascii="宋体" w:hAnsi="Times New Roman" w:eastAsia="宋体" w:cs="Times New Roman"/>
      <w:b/>
      <w:spacing w:val="20"/>
      <w:sz w:val="36"/>
      <w:lang w:val="en-US" w:eastAsia="zh-CN" w:bidi="ar-SA"/>
    </w:rPr>
  </w:style>
  <w:style w:type="paragraph" w:customStyle="1" w:styleId="1191">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192">
    <w:name w:val="二级无标题条"/>
    <w:basedOn w:val="1"/>
    <w:qFormat/>
    <w:uiPriority w:val="0"/>
    <w:pPr>
      <w:ind w:hanging="420"/>
    </w:pPr>
  </w:style>
  <w:style w:type="paragraph" w:customStyle="1" w:styleId="1193">
    <w:name w:val="表格文字1"/>
    <w:basedOn w:val="1"/>
    <w:qFormat/>
    <w:uiPriority w:val="0"/>
    <w:pPr>
      <w:jc w:val="center"/>
    </w:pPr>
    <w:rPr>
      <w:rFonts w:ascii="宋体" w:hAnsi="宋体"/>
      <w:szCs w:val="21"/>
      <w:shd w:val="clear" w:color="auto" w:fill="FFFFFF"/>
    </w:rPr>
  </w:style>
  <w:style w:type="paragraph" w:customStyle="1" w:styleId="1194">
    <w:name w:val="xl1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95">
    <w:name w:val="xl3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96">
    <w:name w:val="正文文本缩进2"/>
    <w:basedOn w:val="1"/>
    <w:qFormat/>
    <w:uiPriority w:val="0"/>
    <w:pPr>
      <w:ind w:firstLine="645"/>
    </w:pPr>
    <w:rPr>
      <w:rFonts w:ascii="楷体_GB2312" w:eastAsia="楷体_GB2312"/>
      <w:sz w:val="32"/>
      <w:szCs w:val="20"/>
    </w:rPr>
  </w:style>
  <w:style w:type="paragraph" w:customStyle="1" w:styleId="1197">
    <w:name w:val="xl22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98">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199">
    <w:name w:val="xl3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00">
    <w:name w:val="xl1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01">
    <w:name w:val="一级无标题条"/>
    <w:basedOn w:val="1"/>
    <w:qFormat/>
    <w:uiPriority w:val="0"/>
    <w:pPr>
      <w:ind w:left="3420" w:hanging="420"/>
    </w:pPr>
  </w:style>
  <w:style w:type="paragraph" w:customStyle="1" w:styleId="1202">
    <w:name w:val="xl2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03">
    <w:name w:val="_Style 6"/>
    <w:basedOn w:val="1"/>
    <w:qFormat/>
    <w:uiPriority w:val="34"/>
    <w:pPr>
      <w:ind w:firstLine="420"/>
    </w:pPr>
  </w:style>
  <w:style w:type="paragraph" w:customStyle="1" w:styleId="1204">
    <w:name w:val="列出段落12"/>
    <w:basedOn w:val="1"/>
    <w:qFormat/>
    <w:uiPriority w:val="0"/>
    <w:pPr>
      <w:ind w:firstLine="420"/>
    </w:pPr>
  </w:style>
  <w:style w:type="paragraph" w:customStyle="1" w:styleId="1205">
    <w:name w:val="样式 首行缩进:  0 字符"/>
    <w:basedOn w:val="1"/>
    <w:qFormat/>
    <w:uiPriority w:val="0"/>
    <w:pPr>
      <w:spacing w:line="360" w:lineRule="auto"/>
      <w:ind w:firstLine="200"/>
    </w:pPr>
    <w:rPr>
      <w:rFonts w:cs="宋体"/>
      <w:sz w:val="24"/>
      <w:szCs w:val="20"/>
    </w:rPr>
  </w:style>
  <w:style w:type="paragraph" w:customStyle="1" w:styleId="1206">
    <w:name w:val="xl1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1207">
    <w:name w:val="xl10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208">
    <w:name w:val="xl1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209">
    <w:name w:val="xl1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1210">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0"/>
      <w:szCs w:val="20"/>
    </w:rPr>
  </w:style>
  <w:style w:type="paragraph" w:customStyle="1" w:styleId="1211">
    <w:name w:val="正文段"/>
    <w:basedOn w:val="1"/>
    <w:qFormat/>
    <w:uiPriority w:val="0"/>
    <w:pPr>
      <w:widowControl/>
      <w:spacing w:after="240" w:line="360" w:lineRule="atLeast"/>
      <w:ind w:firstLine="454"/>
    </w:pPr>
    <w:rPr>
      <w:rFonts w:ascii="宋体"/>
      <w:sz w:val="24"/>
      <w:szCs w:val="20"/>
    </w:rPr>
  </w:style>
  <w:style w:type="paragraph" w:customStyle="1" w:styleId="1212">
    <w:name w:val="xl2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13">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Cs w:val="21"/>
    </w:rPr>
  </w:style>
  <w:style w:type="paragraph" w:customStyle="1" w:styleId="1214">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1215">
    <w:name w:val="文档正文"/>
    <w:basedOn w:val="1"/>
    <w:qFormat/>
    <w:uiPriority w:val="99"/>
    <w:pPr>
      <w:spacing w:line="312" w:lineRule="atLeast"/>
      <w:ind w:firstLine="567"/>
    </w:pPr>
    <w:rPr>
      <w:rFonts w:ascii="长城仿宋" w:eastAsia="长城仿宋"/>
      <w:sz w:val="28"/>
      <w:szCs w:val="20"/>
    </w:rPr>
  </w:style>
  <w:style w:type="paragraph" w:customStyle="1" w:styleId="1216">
    <w:name w:val="Char Char 字元 字元 字元 Char Char Char Char"/>
    <w:basedOn w:val="1"/>
    <w:unhideWhenUsed/>
    <w:qFormat/>
    <w:uiPriority w:val="99"/>
    <w:pPr>
      <w:spacing w:line="360" w:lineRule="auto"/>
    </w:pPr>
    <w:rPr>
      <w:rFonts w:hint="eastAsia"/>
    </w:rPr>
  </w:style>
  <w:style w:type="paragraph" w:customStyle="1" w:styleId="1217">
    <w:name w:val="xl2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18">
    <w:name w:val="xl1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19">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220">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1221">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22">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23">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1224">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25">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1226">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1"/>
    </w:rPr>
  </w:style>
  <w:style w:type="paragraph" w:customStyle="1" w:styleId="1227">
    <w:name w:val="xl2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28">
    <w:name w:val="技术方案正文样式"/>
    <w:basedOn w:val="1"/>
    <w:qFormat/>
    <w:uiPriority w:val="0"/>
    <w:pPr>
      <w:spacing w:line="400" w:lineRule="exact"/>
      <w:ind w:firstLine="480"/>
    </w:pPr>
    <w:rPr>
      <w:rFonts w:ascii="宋体" w:hAnsi="宋体" w:cs="宋体"/>
      <w:sz w:val="24"/>
      <w:szCs w:val="21"/>
    </w:rPr>
  </w:style>
  <w:style w:type="paragraph" w:customStyle="1" w:styleId="1229">
    <w:name w:val="xl11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1230">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1231">
    <w:name w:val="xl231"/>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232">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33">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34">
    <w:name w:val="xl24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35">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36">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1237">
    <w:name w:val="xl2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38">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1239">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Cs w:val="21"/>
    </w:rPr>
  </w:style>
  <w:style w:type="paragraph" w:customStyle="1" w:styleId="1240">
    <w:name w:val="xl1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41">
    <w:name w:val="Char Char2 Char"/>
    <w:basedOn w:val="1"/>
    <w:qFormat/>
    <w:uiPriority w:val="0"/>
    <w:pPr>
      <w:keepNext/>
      <w:keepLines/>
      <w:pageBreakBefore/>
      <w:tabs>
        <w:tab w:val="left" w:pos="390"/>
      </w:tabs>
      <w:ind w:left="390" w:hanging="390"/>
    </w:pPr>
    <w:rPr>
      <w:szCs w:val="20"/>
    </w:rPr>
  </w:style>
  <w:style w:type="paragraph" w:customStyle="1" w:styleId="1242">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43">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44">
    <w:name w:val="xl2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45">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46">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1247">
    <w:name w:val="xl2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48">
    <w:name w:val="样式 首行缩进:  2.25 字符"/>
    <w:basedOn w:val="1"/>
    <w:qFormat/>
    <w:uiPriority w:val="0"/>
    <w:pPr>
      <w:spacing w:line="360" w:lineRule="auto"/>
      <w:ind w:firstLine="225"/>
    </w:pPr>
    <w:rPr>
      <w:rFonts w:cs="宋体"/>
      <w:sz w:val="24"/>
      <w:szCs w:val="20"/>
    </w:rPr>
  </w:style>
  <w:style w:type="paragraph" w:customStyle="1" w:styleId="1249">
    <w:name w:val="xl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50">
    <w:name w:val="xl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szCs w:val="21"/>
    </w:rPr>
  </w:style>
  <w:style w:type="paragraph" w:customStyle="1" w:styleId="1251">
    <w:name w:val="xl2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52">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1253">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54">
    <w:name w:val="一级标题"/>
    <w:basedOn w:val="200"/>
    <w:qFormat/>
    <w:uiPriority w:val="0"/>
    <w:pPr>
      <w:keepNext w:val="0"/>
      <w:spacing w:line="360" w:lineRule="auto"/>
      <w:jc w:val="center"/>
    </w:pPr>
    <w:rPr>
      <w:rFonts w:ascii="宋体" w:hAnsi="宋体" w:eastAsia="宋体"/>
      <w:b/>
      <w:sz w:val="32"/>
      <w:szCs w:val="28"/>
    </w:rPr>
  </w:style>
  <w:style w:type="paragraph" w:customStyle="1" w:styleId="1255">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56">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1"/>
    </w:rPr>
  </w:style>
  <w:style w:type="paragraph" w:customStyle="1" w:styleId="1257">
    <w:name w:val="二级标题"/>
    <w:basedOn w:val="202"/>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258">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1259">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260">
    <w:name w:val="04-标书-标题4"/>
    <w:basedOn w:val="1"/>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1261">
    <w:name w:val="xl1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62">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1263">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Cs w:val="21"/>
    </w:rPr>
  </w:style>
  <w:style w:type="paragraph" w:customStyle="1" w:styleId="1264">
    <w:name w:val="xl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265">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Cs w:val="21"/>
    </w:rPr>
  </w:style>
  <w:style w:type="paragraph" w:customStyle="1" w:styleId="1266">
    <w:name w:val="xl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67">
    <w:name w:val="xl1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Cs w:val="21"/>
    </w:rPr>
  </w:style>
  <w:style w:type="paragraph" w:customStyle="1" w:styleId="1268">
    <w:name w:val="xl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69">
    <w:name w:val="xl1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70">
    <w:name w:val="xl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71">
    <w:name w:val="xl1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72">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73">
    <w:name w:val="缺省文本"/>
    <w:basedOn w:val="1"/>
    <w:qFormat/>
    <w:uiPriority w:val="0"/>
    <w:pPr>
      <w:spacing w:line="360" w:lineRule="auto"/>
      <w:ind w:firstLine="200"/>
      <w:jc w:val="left"/>
    </w:pPr>
    <w:rPr>
      <w:sz w:val="24"/>
    </w:rPr>
  </w:style>
  <w:style w:type="paragraph" w:customStyle="1" w:styleId="1274">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1275">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76">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1277">
    <w:name w:val="xl131"/>
    <w:basedOn w:val="1"/>
    <w:qFormat/>
    <w:uiPriority w:val="0"/>
    <w:pPr>
      <w:widowControl/>
      <w:spacing w:before="100" w:beforeAutospacing="1" w:after="100" w:afterAutospacing="1"/>
      <w:jc w:val="left"/>
    </w:pPr>
    <w:rPr>
      <w:rFonts w:ascii="宋体" w:hAnsi="宋体" w:cs="宋体"/>
      <w:sz w:val="24"/>
    </w:rPr>
  </w:style>
  <w:style w:type="paragraph" w:customStyle="1" w:styleId="1278">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79">
    <w:name w:val="xl1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280">
    <w:name w:val="xl1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281">
    <w:name w:val="xl13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82">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83">
    <w:name w:val="正文 首行缩进:  2 字符 Char"/>
    <w:basedOn w:val="1"/>
    <w:qFormat/>
    <w:uiPriority w:val="0"/>
    <w:pPr>
      <w:spacing w:line="360" w:lineRule="auto"/>
      <w:ind w:firstLine="480"/>
    </w:pPr>
    <w:rPr>
      <w:rFonts w:cs="宋体"/>
      <w:sz w:val="24"/>
      <w:szCs w:val="20"/>
    </w:rPr>
  </w:style>
  <w:style w:type="paragraph" w:customStyle="1" w:styleId="1284">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85">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86">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87">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88">
    <w:name w:val="xl2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89">
    <w:name w:val="xl1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90">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91">
    <w:name w:val="xl1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92">
    <w:name w:val="_Style 1"/>
    <w:basedOn w:val="1"/>
    <w:qFormat/>
    <w:uiPriority w:val="99"/>
    <w:pPr>
      <w:spacing w:line="400" w:lineRule="exact"/>
      <w:ind w:firstLine="420"/>
      <w:jc w:val="left"/>
    </w:pPr>
    <w:rPr>
      <w:rFonts w:eastAsia="仿宋_GB2312"/>
      <w:sz w:val="24"/>
    </w:rPr>
  </w:style>
  <w:style w:type="paragraph" w:customStyle="1" w:styleId="1293">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294">
    <w:name w:val="xl2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95">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96">
    <w:name w:val="xl1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97">
    <w:name w:val="中等深浅网格 21"/>
    <w:qFormat/>
    <w:uiPriority w:val="0"/>
    <w:pPr>
      <w:widowControl w:val="0"/>
      <w:jc w:val="both"/>
    </w:pPr>
    <w:rPr>
      <w:rFonts w:ascii="Calibri" w:hAnsi="Calibri" w:eastAsia="宋体" w:cs="Times New Roman"/>
      <w:sz w:val="21"/>
      <w:szCs w:val="22"/>
      <w:lang w:val="en-US" w:eastAsia="zh-CN" w:bidi="ar-SA"/>
    </w:rPr>
  </w:style>
  <w:style w:type="paragraph" w:customStyle="1" w:styleId="1298">
    <w:name w:val="表头"/>
    <w:basedOn w:val="1"/>
    <w:qFormat/>
    <w:uiPriority w:val="0"/>
    <w:pPr>
      <w:spacing w:line="360" w:lineRule="auto"/>
      <w:jc w:val="center"/>
    </w:pPr>
    <w:rPr>
      <w:rFonts w:cs="宋体"/>
      <w:b/>
      <w:bCs/>
      <w:color w:val="000000"/>
      <w:szCs w:val="20"/>
    </w:rPr>
  </w:style>
  <w:style w:type="paragraph" w:customStyle="1" w:styleId="1299">
    <w:name w:val="样式 标题 2标题 2 Char Char子子系统子系统1子系统2子系统3子系统4子系统11子系统21子系统..."/>
    <w:basedOn w:val="202"/>
    <w:qFormat/>
    <w:uiPriority w:val="0"/>
    <w:pPr>
      <w:tabs>
        <w:tab w:val="left" w:pos="360"/>
      </w:tabs>
      <w:spacing w:before="0" w:after="0" w:line="240" w:lineRule="auto"/>
      <w:ind w:left="786" w:hanging="360"/>
      <w:jc w:val="both"/>
    </w:pPr>
    <w:rPr>
      <w:rFonts w:ascii="Arial" w:eastAsia="黑体"/>
      <w:sz w:val="30"/>
    </w:rPr>
  </w:style>
  <w:style w:type="paragraph" w:customStyle="1" w:styleId="1300">
    <w:name w:val="居中图片"/>
    <w:basedOn w:val="1"/>
    <w:qFormat/>
    <w:uiPriority w:val="0"/>
    <w:pPr>
      <w:jc w:val="center"/>
    </w:pPr>
    <w:rPr>
      <w:rFonts w:eastAsia="仿宋"/>
      <w:sz w:val="28"/>
      <w:szCs w:val="21"/>
    </w:rPr>
  </w:style>
  <w:style w:type="paragraph" w:customStyle="1" w:styleId="1301">
    <w:name w:val="01-标书-标题1"/>
    <w:next w:val="1"/>
    <w:qFormat/>
    <w:uiPriority w:val="0"/>
    <w:pPr>
      <w:tabs>
        <w:tab w:val="left" w:pos="425"/>
      </w:tabs>
      <w:spacing w:line="360" w:lineRule="auto"/>
      <w:ind w:left="425" w:hanging="425"/>
      <w:outlineLvl w:val="0"/>
    </w:pPr>
    <w:rPr>
      <w:rFonts w:ascii="黑体" w:hAnsi="宋体" w:eastAsia="黑体" w:cs="Times New Roman"/>
      <w:sz w:val="44"/>
      <w:szCs w:val="32"/>
      <w:lang w:val="en-US" w:eastAsia="zh-CN" w:bidi="ar-SA"/>
    </w:rPr>
  </w:style>
  <w:style w:type="paragraph" w:customStyle="1" w:styleId="1302">
    <w:name w:val="02-标书-标题2"/>
    <w:qFormat/>
    <w:uiPriority w:val="0"/>
    <w:pPr>
      <w:tabs>
        <w:tab w:val="left" w:pos="567"/>
      </w:tabs>
      <w:spacing w:line="360" w:lineRule="auto"/>
      <w:ind w:left="567" w:hanging="567"/>
      <w:outlineLvl w:val="1"/>
    </w:pPr>
    <w:rPr>
      <w:rFonts w:ascii="黑体" w:hAnsi="宋体" w:eastAsia="黑体" w:cs="Times New Roman"/>
      <w:sz w:val="32"/>
      <w:szCs w:val="28"/>
      <w:lang w:val="en-US" w:eastAsia="zh-CN" w:bidi="ar-SA"/>
    </w:rPr>
  </w:style>
  <w:style w:type="paragraph" w:customStyle="1" w:styleId="1303">
    <w:name w:val="03-标书-标题3"/>
    <w:qFormat/>
    <w:uiPriority w:val="0"/>
    <w:pPr>
      <w:tabs>
        <w:tab w:val="left" w:pos="1069"/>
      </w:tabs>
      <w:spacing w:line="360" w:lineRule="auto"/>
      <w:ind w:left="1069" w:hanging="709"/>
      <w:outlineLvl w:val="2"/>
    </w:pPr>
    <w:rPr>
      <w:rFonts w:ascii="黑体" w:hAnsi="宋体" w:eastAsia="黑体" w:cs="Times New Roman"/>
      <w:sz w:val="28"/>
      <w:szCs w:val="24"/>
      <w:lang w:val="en-US" w:eastAsia="zh-CN" w:bidi="ar-SA"/>
    </w:rPr>
  </w:style>
  <w:style w:type="paragraph" w:customStyle="1" w:styleId="1304">
    <w:name w:val="xl30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05">
    <w:name w:val="正文文本缩进 32"/>
    <w:basedOn w:val="1"/>
    <w:qFormat/>
    <w:uiPriority w:val="0"/>
    <w:pPr>
      <w:ind w:left="520" w:firstLine="425"/>
      <w:jc w:val="center"/>
    </w:pPr>
    <w:rPr>
      <w:rFonts w:ascii="方正行楷简体" w:hAnsi="Arial" w:eastAsia="方正行楷简体"/>
      <w:sz w:val="36"/>
      <w:szCs w:val="20"/>
    </w:rPr>
  </w:style>
  <w:style w:type="paragraph" w:customStyle="1" w:styleId="1306">
    <w:name w:val="xl2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07">
    <w:name w:val="正文文本缩进 21"/>
    <w:basedOn w:val="1"/>
    <w:qFormat/>
    <w:uiPriority w:val="0"/>
    <w:pPr>
      <w:spacing w:line="520" w:lineRule="exact"/>
      <w:ind w:firstLine="560"/>
    </w:pPr>
    <w:rPr>
      <w:rFonts w:ascii="楷体_GB2312" w:eastAsia="楷体_GB2312"/>
      <w:sz w:val="28"/>
      <w:szCs w:val="28"/>
    </w:rPr>
  </w:style>
  <w:style w:type="paragraph" w:customStyle="1" w:styleId="1308">
    <w:name w:val="Char Char3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309">
    <w:name w:val="目录标题"/>
    <w:next w:val="505"/>
    <w:qFormat/>
    <w:uiPriority w:val="0"/>
    <w:pPr>
      <w:spacing w:before="240" w:after="120"/>
      <w:jc w:val="center"/>
    </w:pPr>
    <w:rPr>
      <w:rFonts w:ascii="Calibri" w:hAnsi="Calibri" w:eastAsia="华文新魏" w:cs="Times New Roman"/>
      <w:sz w:val="44"/>
      <w:szCs w:val="24"/>
      <w:lang w:val="en-US" w:eastAsia="zh-CN" w:bidi="ar-SA"/>
    </w:rPr>
  </w:style>
  <w:style w:type="paragraph" w:customStyle="1" w:styleId="1310">
    <w:name w:val="xl1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11">
    <w:name w:val="封面标准代替信息"/>
    <w:basedOn w:val="935"/>
    <w:qFormat/>
    <w:uiPriority w:val="0"/>
    <w:pPr>
      <w:framePr w:wrap="around"/>
      <w:spacing w:before="57"/>
    </w:pPr>
    <w:rPr>
      <w:rFonts w:ascii="宋体"/>
      <w:sz w:val="21"/>
    </w:rPr>
  </w:style>
  <w:style w:type="paragraph" w:customStyle="1" w:styleId="1312">
    <w:name w:val="xl2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13">
    <w:name w:val="DT T-Body"/>
    <w:qFormat/>
    <w:uiPriority w:val="0"/>
    <w:pPr>
      <w:spacing w:before="60" w:after="60" w:line="300" w:lineRule="auto"/>
    </w:pPr>
    <w:rPr>
      <w:rFonts w:ascii="Trebuchet MS" w:hAnsi="Trebuchet MS" w:eastAsia="宋体" w:cs="Times New Roman"/>
      <w:szCs w:val="18"/>
      <w:lang w:val="en-GB" w:eastAsia="en-US" w:bidi="ar-SA"/>
    </w:rPr>
  </w:style>
  <w:style w:type="paragraph" w:customStyle="1" w:styleId="1314">
    <w:name w:val="xl2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15">
    <w:name w:val="xl1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16">
    <w:name w:val="xl2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17">
    <w:name w:val="样式 小四 首行缩进:  0.74 厘米"/>
    <w:basedOn w:val="1"/>
    <w:qFormat/>
    <w:uiPriority w:val="0"/>
    <w:pPr>
      <w:spacing w:line="360" w:lineRule="auto"/>
      <w:ind w:firstLine="420"/>
    </w:pPr>
    <w:rPr>
      <w:rFonts w:cs="宋体"/>
      <w:sz w:val="24"/>
      <w:szCs w:val="20"/>
    </w:rPr>
  </w:style>
  <w:style w:type="paragraph" w:customStyle="1" w:styleId="1318">
    <w:name w:val="正文文本缩进 22"/>
    <w:basedOn w:val="1"/>
    <w:qFormat/>
    <w:uiPriority w:val="0"/>
    <w:pPr>
      <w:spacing w:line="520" w:lineRule="exact"/>
      <w:ind w:firstLine="560"/>
    </w:pPr>
    <w:rPr>
      <w:rFonts w:ascii="楷体_GB2312" w:eastAsia="楷体_GB2312"/>
      <w:sz w:val="28"/>
      <w:szCs w:val="28"/>
    </w:rPr>
  </w:style>
  <w:style w:type="paragraph" w:customStyle="1" w:styleId="1319">
    <w:name w:val="xl2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320">
    <w:name w:val="正文文本缩进 31"/>
    <w:basedOn w:val="1"/>
    <w:qFormat/>
    <w:uiPriority w:val="0"/>
    <w:pPr>
      <w:ind w:left="520" w:firstLine="425"/>
      <w:jc w:val="center"/>
    </w:pPr>
    <w:rPr>
      <w:rFonts w:ascii="方正行楷简体" w:hAnsi="Arial" w:eastAsia="方正行楷简体"/>
      <w:sz w:val="36"/>
      <w:szCs w:val="20"/>
    </w:rPr>
  </w:style>
  <w:style w:type="paragraph" w:customStyle="1" w:styleId="1321">
    <w:name w:val="DLP正文"/>
    <w:basedOn w:val="1"/>
    <w:qFormat/>
    <w:uiPriority w:val="0"/>
    <w:pPr>
      <w:ind w:firstLine="473"/>
    </w:pPr>
    <w:rPr>
      <w:rFonts w:hAnsi="宋体"/>
    </w:rPr>
  </w:style>
  <w:style w:type="paragraph" w:customStyle="1" w:styleId="1322">
    <w:name w:val="xl1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23">
    <w:name w:val="xl1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2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325">
    <w:name w:val="xl2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26">
    <w:name w:val="xl2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327">
    <w:name w:val="正文图标题"/>
    <w:next w:val="399"/>
    <w:qFormat/>
    <w:uiPriority w:val="0"/>
    <w:pPr>
      <w:jc w:val="center"/>
    </w:pPr>
    <w:rPr>
      <w:rFonts w:ascii="黑体" w:hAnsi="Times New Roman" w:eastAsia="黑体" w:cs="Times New Roman"/>
      <w:sz w:val="21"/>
      <w:lang w:val="en-US" w:eastAsia="zh-CN" w:bidi="ar-SA"/>
    </w:rPr>
  </w:style>
  <w:style w:type="paragraph" w:customStyle="1" w:styleId="1328">
    <w:name w:val="文本块1"/>
    <w:basedOn w:val="1"/>
    <w:qFormat/>
    <w:uiPriority w:val="0"/>
    <w:pPr>
      <w:ind w:left="630" w:right="630"/>
      <w:jc w:val="center"/>
    </w:pPr>
    <w:rPr>
      <w:rFonts w:ascii="宋体"/>
      <w:b/>
      <w:sz w:val="32"/>
    </w:rPr>
  </w:style>
  <w:style w:type="paragraph" w:customStyle="1" w:styleId="1329">
    <w:name w:val="xl2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30">
    <w:name w:val="xl2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331">
    <w:name w:val="xl2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32">
    <w:name w:val="xl2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33">
    <w:name w:val="_Style 2"/>
    <w:basedOn w:val="1"/>
    <w:qFormat/>
    <w:uiPriority w:val="34"/>
    <w:pPr>
      <w:ind w:firstLine="420"/>
    </w:pPr>
  </w:style>
  <w:style w:type="paragraph" w:customStyle="1" w:styleId="1334">
    <w:name w:val="xl3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335">
    <w:name w:val="li_正文"/>
    <w:basedOn w:val="1"/>
    <w:qFormat/>
    <w:uiPriority w:val="0"/>
    <w:pPr>
      <w:spacing w:line="360" w:lineRule="auto"/>
      <w:ind w:firstLine="560"/>
    </w:pPr>
    <w:rPr>
      <w:rFonts w:ascii="仿宋_GB2312" w:eastAsia="仿宋_GB2312"/>
      <w:sz w:val="28"/>
      <w:szCs w:val="28"/>
    </w:rPr>
  </w:style>
  <w:style w:type="paragraph" w:customStyle="1" w:styleId="1336">
    <w:name w:val="xl2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37">
    <w:name w:val="xl2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38">
    <w:name w:val="xl2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39">
    <w:name w:val="附录表标题"/>
    <w:next w:val="399"/>
    <w:qFormat/>
    <w:uiPriority w:val="0"/>
    <w:pPr>
      <w:jc w:val="center"/>
    </w:pPr>
    <w:rPr>
      <w:rFonts w:ascii="黑体" w:hAnsi="Times New Roman" w:eastAsia="黑体" w:cs="Times New Roman"/>
      <w:sz w:val="21"/>
      <w:lang w:val="en-US" w:eastAsia="zh-CN" w:bidi="ar-SA"/>
    </w:rPr>
  </w:style>
  <w:style w:type="paragraph" w:customStyle="1" w:styleId="1340">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41">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42">
    <w:name w:val="xl210"/>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343">
    <w:name w:val="正文缩进1"/>
    <w:basedOn w:val="1"/>
    <w:qFormat/>
    <w:uiPriority w:val="0"/>
    <w:pPr>
      <w:ind w:firstLine="420"/>
    </w:pPr>
    <w:rPr>
      <w:szCs w:val="20"/>
    </w:rPr>
  </w:style>
  <w:style w:type="paragraph" w:customStyle="1" w:styleId="1344">
    <w:name w:val="xl2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345">
    <w:name w:val="TOC 标题12"/>
    <w:basedOn w:val="200"/>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346">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47">
    <w:name w:val="xl31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48">
    <w:name w:val="Char Char Char"/>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1349">
    <w:name w:val="xl23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50">
    <w:name w:val="四号正文"/>
    <w:basedOn w:val="1"/>
    <w:qFormat/>
    <w:uiPriority w:val="0"/>
    <w:pPr>
      <w:spacing w:line="360" w:lineRule="auto"/>
      <w:ind w:firstLine="560"/>
    </w:pPr>
    <w:rPr>
      <w:sz w:val="28"/>
      <w:szCs w:val="28"/>
    </w:rPr>
  </w:style>
  <w:style w:type="paragraph" w:customStyle="1" w:styleId="1351">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1352">
    <w:name w:val="五号字体"/>
    <w:basedOn w:val="1"/>
    <w:qFormat/>
    <w:uiPriority w:val="0"/>
    <w:pPr>
      <w:jc w:val="center"/>
    </w:pPr>
  </w:style>
  <w:style w:type="paragraph" w:customStyle="1" w:styleId="1353">
    <w:name w:val="字母编号列项（一级）"/>
    <w:qFormat/>
    <w:uiPriority w:val="0"/>
    <w:pPr>
      <w:ind w:left="840" w:hanging="420"/>
      <w:jc w:val="both"/>
    </w:pPr>
    <w:rPr>
      <w:rFonts w:ascii="宋体" w:hAnsi="Times New Roman" w:eastAsia="宋体" w:cs="Times New Roman"/>
      <w:sz w:val="21"/>
      <w:lang w:val="en-US" w:eastAsia="zh-CN" w:bidi="ar-SA"/>
    </w:rPr>
  </w:style>
  <w:style w:type="paragraph" w:customStyle="1" w:styleId="1354">
    <w:name w:val="msonormal"/>
    <w:basedOn w:val="1"/>
    <w:qFormat/>
    <w:uiPriority w:val="0"/>
    <w:pPr>
      <w:widowControl/>
      <w:spacing w:before="100" w:beforeAutospacing="1" w:after="100" w:afterAutospacing="1" w:line="360" w:lineRule="auto"/>
      <w:jc w:val="left"/>
    </w:pPr>
    <w:rPr>
      <w:rFonts w:ascii="宋体" w:hAnsi="宋体" w:cs="宋体"/>
      <w:sz w:val="24"/>
    </w:rPr>
  </w:style>
  <w:style w:type="paragraph" w:customStyle="1" w:styleId="1355">
    <w:name w:val="简单回函地址"/>
    <w:basedOn w:val="1"/>
    <w:qFormat/>
    <w:uiPriority w:val="0"/>
    <w:pPr>
      <w:tabs>
        <w:tab w:val="left" w:pos="1140"/>
      </w:tabs>
    </w:pPr>
  </w:style>
  <w:style w:type="paragraph" w:customStyle="1" w:styleId="1356">
    <w:name w:val="TOC 标题111"/>
    <w:basedOn w:val="200"/>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1357">
    <w:name w:val="Char Char111"/>
    <w:basedOn w:val="1"/>
    <w:semiHidden/>
    <w:qFormat/>
    <w:uiPriority w:val="99"/>
    <w:pPr>
      <w:widowControl/>
      <w:spacing w:after="160" w:line="240" w:lineRule="exact"/>
      <w:jc w:val="left"/>
    </w:pPr>
    <w:rPr>
      <w:rFonts w:ascii="Verdana" w:hAnsi="Verdana"/>
      <w:sz w:val="20"/>
      <w:lang w:eastAsia="en-US"/>
    </w:rPr>
  </w:style>
  <w:style w:type="paragraph" w:customStyle="1" w:styleId="1358">
    <w:name w:val="TOC 71"/>
    <w:basedOn w:val="1"/>
    <w:next w:val="1"/>
    <w:qFormat/>
    <w:uiPriority w:val="39"/>
    <w:pPr>
      <w:ind w:left="2520"/>
    </w:pPr>
  </w:style>
  <w:style w:type="paragraph" w:customStyle="1" w:styleId="1359">
    <w:name w:val="paragraphindent"/>
    <w:basedOn w:val="1"/>
    <w:qFormat/>
    <w:uiPriority w:val="0"/>
    <w:pPr>
      <w:widowControl/>
      <w:spacing w:before="100" w:beforeAutospacing="1" w:after="100" w:afterAutospacing="1"/>
      <w:ind w:firstLine="480"/>
      <w:jc w:val="left"/>
    </w:pPr>
    <w:rPr>
      <w:rFonts w:ascii="宋体" w:hAnsi="宋体" w:cs="宋体"/>
      <w:sz w:val="24"/>
    </w:rPr>
  </w:style>
  <w:style w:type="paragraph" w:customStyle="1" w:styleId="1360">
    <w:name w:val="助手文本"/>
    <w:basedOn w:val="1"/>
    <w:qFormat/>
    <w:uiPriority w:val="0"/>
    <w:pPr>
      <w:spacing w:line="360" w:lineRule="auto"/>
      <w:ind w:left="14" w:firstLine="434"/>
    </w:pPr>
    <w:rPr>
      <w:rFonts w:ascii="楷体_GB2312" w:eastAsia="楷体_GB2312"/>
      <w:sz w:val="24"/>
      <w:szCs w:val="20"/>
      <w:u w:val="single"/>
    </w:rPr>
  </w:style>
  <w:style w:type="paragraph" w:customStyle="1" w:styleId="1361">
    <w:name w:val="正文无缩进"/>
    <w:basedOn w:val="1"/>
    <w:qFormat/>
    <w:uiPriority w:val="0"/>
    <w:pPr>
      <w:spacing w:line="300" w:lineRule="auto"/>
      <w:jc w:val="center"/>
    </w:pPr>
    <w:rPr>
      <w:rFonts w:ascii="宋体" w:hAnsi="宋体"/>
      <w:sz w:val="24"/>
    </w:rPr>
  </w:style>
  <w:style w:type="paragraph" w:customStyle="1" w:styleId="1362">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1363">
    <w:name w:val="È±Ê¡ÎÄ±¾"/>
    <w:basedOn w:val="1"/>
    <w:qFormat/>
    <w:uiPriority w:val="0"/>
    <w:pPr>
      <w:widowControl/>
      <w:jc w:val="left"/>
    </w:pPr>
    <w:rPr>
      <w:sz w:val="24"/>
      <w:szCs w:val="20"/>
    </w:rPr>
  </w:style>
  <w:style w:type="paragraph" w:customStyle="1" w:styleId="1364">
    <w:name w:val="14_black"/>
    <w:basedOn w:val="1"/>
    <w:qFormat/>
    <w:uiPriority w:val="0"/>
    <w:pPr>
      <w:widowControl/>
      <w:spacing w:before="100" w:beforeAutospacing="1" w:after="100" w:afterAutospacing="1"/>
      <w:jc w:val="left"/>
    </w:pPr>
    <w:rPr>
      <w:rFonts w:ascii="宋体" w:hAnsi="宋体" w:cs="宋体"/>
      <w:color w:val="000000"/>
      <w:sz w:val="23"/>
      <w:szCs w:val="23"/>
    </w:rPr>
  </w:style>
  <w:style w:type="paragraph" w:customStyle="1" w:styleId="1365">
    <w:name w:val="Char Char Char Char"/>
    <w:basedOn w:val="233"/>
    <w:qFormat/>
    <w:uiPriority w:val="0"/>
    <w:pPr>
      <w:widowControl/>
      <w:shd w:val="clear" w:color="auto" w:fill="000080"/>
      <w:ind w:firstLine="454"/>
      <w:jc w:val="left"/>
    </w:pPr>
    <w:rPr>
      <w:rFonts w:ascii="Tahoma" w:hAnsi="Tahoma" w:cs="宋体"/>
      <w:sz w:val="21"/>
      <w:szCs w:val="20"/>
    </w:rPr>
  </w:style>
  <w:style w:type="paragraph" w:customStyle="1" w:styleId="1366">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367">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368">
    <w:name w:val="其他标准称谓"/>
    <w:qFormat/>
    <w:uiPriority w:val="0"/>
    <w:pPr>
      <w:spacing w:line="0" w:lineRule="atLeast"/>
      <w:jc w:val="both"/>
    </w:pPr>
    <w:rPr>
      <w:rFonts w:ascii="黑体" w:hAnsi="宋体" w:eastAsia="黑体" w:cs="Times New Roman"/>
      <w:sz w:val="52"/>
      <w:lang w:val="en-US" w:eastAsia="zh-CN" w:bidi="ar-SA"/>
    </w:rPr>
  </w:style>
  <w:style w:type="paragraph" w:customStyle="1" w:styleId="1369">
    <w:name w:val="四级无标题条"/>
    <w:basedOn w:val="1"/>
    <w:qFormat/>
    <w:uiPriority w:val="0"/>
    <w:pPr>
      <w:ind w:left="2520" w:hanging="420"/>
    </w:pPr>
  </w:style>
  <w:style w:type="paragraph" w:customStyle="1" w:styleId="1370">
    <w:name w:val="五级无标题条"/>
    <w:basedOn w:val="1"/>
    <w:qFormat/>
    <w:uiPriority w:val="0"/>
    <w:pPr>
      <w:ind w:left="2940" w:hanging="420"/>
    </w:pPr>
  </w:style>
  <w:style w:type="paragraph" w:customStyle="1" w:styleId="1371">
    <w:name w:val="正文表标题"/>
    <w:next w:val="399"/>
    <w:qFormat/>
    <w:uiPriority w:val="0"/>
    <w:pPr>
      <w:ind w:left="1740" w:hanging="420"/>
      <w:jc w:val="center"/>
    </w:pPr>
    <w:rPr>
      <w:rFonts w:ascii="黑体" w:hAnsi="Times New Roman" w:eastAsia="黑体" w:cs="Times New Roman"/>
      <w:sz w:val="21"/>
      <w:lang w:val="en-US" w:eastAsia="zh-CN" w:bidi="ar-SA"/>
    </w:rPr>
  </w:style>
  <w:style w:type="paragraph" w:customStyle="1" w:styleId="1372">
    <w:name w:val="我的图片"/>
    <w:basedOn w:val="1"/>
    <w:next w:val="693"/>
    <w:qFormat/>
    <w:uiPriority w:val="0"/>
    <w:pPr>
      <w:widowControl/>
      <w:spacing w:line="360" w:lineRule="auto"/>
      <w:jc w:val="center"/>
    </w:pPr>
    <w:rPr>
      <w:rFonts w:ascii="Arial" w:hAnsi="Arial" w:eastAsia="楷体_GB2312"/>
      <w:sz w:val="24"/>
    </w:rPr>
  </w:style>
  <w:style w:type="paragraph" w:customStyle="1" w:styleId="1373">
    <w:name w:val="1 Char Char Char Char"/>
    <w:basedOn w:val="1"/>
    <w:qFormat/>
    <w:uiPriority w:val="0"/>
    <w:rPr>
      <w:rFonts w:ascii="Tahoma" w:hAnsi="Tahoma"/>
      <w:sz w:val="24"/>
      <w:szCs w:val="20"/>
    </w:rPr>
  </w:style>
  <w:style w:type="paragraph" w:customStyle="1" w:styleId="1374">
    <w:name w:val="NAP Normal"/>
    <w:basedOn w:val="1"/>
    <w:qFormat/>
    <w:uiPriority w:val="0"/>
    <w:pPr>
      <w:spacing w:line="240" w:lineRule="exact"/>
    </w:pPr>
    <w:rPr>
      <w:sz w:val="22"/>
      <w:szCs w:val="20"/>
    </w:rPr>
  </w:style>
  <w:style w:type="paragraph" w:customStyle="1" w:styleId="1375">
    <w:name w:val="样式 标题 2第一章 标题 2Heading 2 HiddenHeading 2 CCBSH2h22nd level..."/>
    <w:basedOn w:val="202"/>
    <w:qFormat/>
    <w:uiPriority w:val="0"/>
    <w:pPr>
      <w:tabs>
        <w:tab w:val="left" w:pos="0"/>
        <w:tab w:val="left" w:pos="567"/>
      </w:tabs>
      <w:spacing w:line="240" w:lineRule="auto"/>
      <w:ind w:left="288" w:hanging="576"/>
      <w:jc w:val="both"/>
    </w:pPr>
    <w:rPr>
      <w:rFonts w:ascii="Arial" w:eastAsia="黑体" w:cs="宋体"/>
      <w:bCs/>
      <w:sz w:val="36"/>
    </w:rPr>
  </w:style>
  <w:style w:type="paragraph" w:customStyle="1" w:styleId="1376">
    <w:name w:val="Char Char Char Char Char Char Char Char Char Char"/>
    <w:basedOn w:val="210"/>
    <w:qFormat/>
    <w:uiPriority w:val="0"/>
    <w:pPr>
      <w:tabs>
        <w:tab w:val="left" w:pos="0"/>
        <w:tab w:val="clear" w:pos="1008"/>
      </w:tabs>
      <w:spacing w:before="120" w:after="120" w:line="360" w:lineRule="auto"/>
      <w:ind w:left="720" w:hanging="1009"/>
    </w:pPr>
    <w:rPr>
      <w:rFonts w:ascii="Tahoma" w:hAnsi="Tahoma"/>
      <w:bCs/>
      <w:spacing w:val="0"/>
      <w:position w:val="0"/>
      <w:sz w:val="24"/>
      <w:szCs w:val="24"/>
    </w:rPr>
  </w:style>
  <w:style w:type="paragraph" w:customStyle="1" w:styleId="1377">
    <w:name w:val="zn4"/>
    <w:basedOn w:val="771"/>
    <w:next w:val="208"/>
    <w:qFormat/>
    <w:uiPriority w:val="0"/>
    <w:pPr>
      <w:tabs>
        <w:tab w:val="left" w:pos="1080"/>
        <w:tab w:val="clear" w:pos="780"/>
        <w:tab w:val="clear" w:pos="1069"/>
      </w:tabs>
      <w:ind w:left="851" w:hanging="851"/>
      <w:outlineLvl w:val="3"/>
    </w:pPr>
    <w:rPr>
      <w:lang w:val="zh-CN"/>
    </w:rPr>
  </w:style>
  <w:style w:type="paragraph" w:customStyle="1" w:styleId="1378">
    <w:name w:val="图表"/>
    <w:basedOn w:val="1"/>
    <w:qFormat/>
    <w:uiPriority w:val="99"/>
    <w:pPr>
      <w:spacing w:line="360" w:lineRule="auto"/>
      <w:ind w:firstLine="200"/>
      <w:jc w:val="center"/>
    </w:pPr>
    <w:rPr>
      <w:rFonts w:ascii="方正仿宋_GBK" w:hAnsi="方正仿宋_GBK" w:eastAsia="方正仿宋_GBK"/>
      <w:sz w:val="32"/>
    </w:rPr>
  </w:style>
  <w:style w:type="paragraph" w:customStyle="1" w:styleId="1379">
    <w:name w:val="图释"/>
    <w:basedOn w:val="1"/>
    <w:qFormat/>
    <w:uiPriority w:val="99"/>
    <w:pPr>
      <w:spacing w:line="560" w:lineRule="exact"/>
      <w:ind w:firstLine="200"/>
      <w:jc w:val="center"/>
    </w:pPr>
    <w:rPr>
      <w:rFonts w:ascii="方正仿宋_GBK" w:hAnsi="方正仿宋_GBK" w:eastAsia="方正楷体_GBK"/>
      <w:sz w:val="28"/>
    </w:rPr>
  </w:style>
  <w:style w:type="paragraph" w:customStyle="1" w:styleId="1380">
    <w:name w:val="修订1"/>
    <w:semiHidden/>
    <w:qFormat/>
    <w:uiPriority w:val="99"/>
    <w:rPr>
      <w:rFonts w:ascii="Times New Roman" w:hAnsi="Times New Roman" w:eastAsia="仿宋" w:cs="Times New Roman"/>
      <w:sz w:val="28"/>
      <w:szCs w:val="24"/>
      <w:lang w:val="en-US" w:eastAsia="zh-CN" w:bidi="ar-SA"/>
    </w:rPr>
  </w:style>
  <w:style w:type="paragraph" w:customStyle="1" w:styleId="1381">
    <w:name w:val="五号正文项目（标准）"/>
    <w:basedOn w:val="1"/>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382">
    <w:name w:val="序列1"/>
    <w:basedOn w:val="1"/>
    <w:qFormat/>
    <w:uiPriority w:val="0"/>
    <w:pPr>
      <w:tabs>
        <w:tab w:val="left" w:pos="432"/>
        <w:tab w:val="left" w:pos="960"/>
        <w:tab w:val="left" w:pos="1260"/>
      </w:tabs>
      <w:spacing w:line="440" w:lineRule="atLeast"/>
      <w:ind w:left="432" w:hanging="432"/>
    </w:pPr>
    <w:rPr>
      <w:rFonts w:eastAsia="楷体_GB2312"/>
      <w:sz w:val="24"/>
    </w:rPr>
  </w:style>
  <w:style w:type="paragraph" w:customStyle="1" w:styleId="1383">
    <w:name w:val="标题8"/>
    <w:basedOn w:val="212"/>
    <w:qFormat/>
    <w:uiPriority w:val="0"/>
    <w:pPr>
      <w:tabs>
        <w:tab w:val="left" w:pos="0"/>
        <w:tab w:val="left" w:pos="1800"/>
        <w:tab w:val="clear" w:pos="1152"/>
      </w:tabs>
      <w:spacing w:before="120" w:after="120" w:line="360" w:lineRule="auto"/>
      <w:ind w:left="0" w:firstLine="300"/>
    </w:pPr>
    <w:rPr>
      <w:rFonts w:ascii="Cambria" w:hAnsi="Cambria" w:eastAsia="宋体"/>
      <w:bCs/>
      <w:spacing w:val="0"/>
      <w:position w:val="0"/>
      <w:szCs w:val="24"/>
    </w:rPr>
  </w:style>
  <w:style w:type="paragraph" w:customStyle="1" w:styleId="1384">
    <w:name w:val="wx正文+标号"/>
    <w:basedOn w:val="1"/>
    <w:semiHidden/>
    <w:qFormat/>
    <w:uiPriority w:val="0"/>
    <w:pPr>
      <w:tabs>
        <w:tab w:val="left" w:pos="510"/>
      </w:tabs>
      <w:spacing w:line="360" w:lineRule="auto"/>
      <w:ind w:left="510" w:hanging="340"/>
    </w:pPr>
    <w:rPr>
      <w:rFonts w:cs="宋体"/>
      <w:sz w:val="24"/>
      <w:szCs w:val="20"/>
    </w:rPr>
  </w:style>
  <w:style w:type="paragraph" w:customStyle="1" w:styleId="1385">
    <w:name w:val="text-center"/>
    <w:basedOn w:val="1"/>
    <w:qFormat/>
    <w:uiPriority w:val="0"/>
    <w:pPr>
      <w:widowControl/>
      <w:spacing w:after="150"/>
      <w:jc w:val="center"/>
    </w:pPr>
    <w:rPr>
      <w:rFonts w:ascii="宋体" w:hAnsi="宋体" w:cs="宋体"/>
      <w:sz w:val="24"/>
    </w:rPr>
  </w:style>
  <w:style w:type="paragraph" w:customStyle="1" w:styleId="1386">
    <w:name w:val="faqa"/>
    <w:basedOn w:val="1"/>
    <w:qFormat/>
    <w:uiPriority w:val="0"/>
    <w:pPr>
      <w:widowControl/>
      <w:spacing w:after="150"/>
      <w:jc w:val="left"/>
    </w:pPr>
    <w:rPr>
      <w:rFonts w:ascii="微软雅黑" w:hAnsi="微软雅黑" w:eastAsia="微软雅黑" w:cs="宋体"/>
      <w:b/>
      <w:bCs/>
      <w:sz w:val="27"/>
      <w:szCs w:val="27"/>
    </w:rPr>
  </w:style>
  <w:style w:type="paragraph" w:customStyle="1" w:styleId="1387">
    <w:name w:val="样式 标题 55l4H5h5Second Subheading + 段前: 0.5 行 段后: 0.5 行 行距:..."/>
    <w:basedOn w:val="210"/>
    <w:qFormat/>
    <w:uiPriority w:val="0"/>
    <w:pPr>
      <w:tabs>
        <w:tab w:val="left" w:pos="0"/>
        <w:tab w:val="left" w:pos="425"/>
        <w:tab w:val="left" w:pos="851"/>
        <w:tab w:val="left" w:pos="992"/>
        <w:tab w:val="left" w:pos="1276"/>
        <w:tab w:val="left" w:pos="1440"/>
        <w:tab w:val="clear" w:pos="1008"/>
      </w:tabs>
      <w:spacing w:after="0" w:line="360" w:lineRule="auto"/>
      <w:ind w:left="992" w:hanging="405"/>
    </w:pPr>
    <w:rPr>
      <w:rFonts w:ascii="Arial" w:hAnsi="Arial" w:eastAsia="楷体_GB2312" w:cs="宋体"/>
      <w:spacing w:val="0"/>
      <w:position w:val="0"/>
      <w:sz w:val="24"/>
    </w:rPr>
  </w:style>
  <w:style w:type="paragraph" w:customStyle="1" w:styleId="1388">
    <w:name w:val="Test2"/>
    <w:basedOn w:val="202"/>
    <w:qFormat/>
    <w:uiPriority w:val="0"/>
    <w:pPr>
      <w:widowControl/>
      <w:tabs>
        <w:tab w:val="left" w:pos="0"/>
        <w:tab w:val="left" w:pos="425"/>
        <w:tab w:val="left" w:pos="992"/>
      </w:tabs>
      <w:spacing w:line="480" w:lineRule="exact"/>
      <w:ind w:left="759" w:hanging="759"/>
    </w:pPr>
    <w:rPr>
      <w:rFonts w:ascii="黑体" w:hAnsi="黑体" w:eastAsia="黑体" w:cs="Arial"/>
      <w:bCs/>
      <w:sz w:val="24"/>
      <w:szCs w:val="24"/>
    </w:rPr>
  </w:style>
  <w:style w:type="paragraph" w:customStyle="1" w:styleId="1389">
    <w:name w:val="正文编号项"/>
    <w:basedOn w:val="243"/>
    <w:qFormat/>
    <w:uiPriority w:val="0"/>
    <w:pPr>
      <w:tabs>
        <w:tab w:val="left" w:pos="360"/>
      </w:tabs>
      <w:spacing w:line="360" w:lineRule="auto"/>
      <w:ind w:left="200" w:firstLine="200"/>
      <w:jc w:val="left"/>
    </w:pPr>
    <w:rPr>
      <w:color w:val="000000"/>
      <w:sz w:val="24"/>
    </w:rPr>
  </w:style>
  <w:style w:type="paragraph" w:customStyle="1" w:styleId="1390">
    <w:name w:val="正文文本2"/>
    <w:basedOn w:val="1"/>
    <w:qFormat/>
    <w:uiPriority w:val="99"/>
    <w:pPr>
      <w:widowControl/>
      <w:spacing w:after="120" w:line="288" w:lineRule="auto"/>
      <w:jc w:val="left"/>
    </w:pPr>
    <w:rPr>
      <w:rFonts w:ascii="Verdana" w:hAnsi="Verdana"/>
      <w:sz w:val="24"/>
      <w:szCs w:val="20"/>
      <w:lang w:eastAsia="en-US"/>
    </w:rPr>
  </w:style>
  <w:style w:type="paragraph" w:customStyle="1" w:styleId="1391">
    <w:name w:val="Char21"/>
    <w:basedOn w:val="1"/>
    <w:qFormat/>
    <w:uiPriority w:val="0"/>
    <w:rPr>
      <w:rFonts w:ascii="仿宋_GB2312" w:eastAsia="仿宋_GB2312"/>
      <w:b/>
      <w:sz w:val="32"/>
      <w:szCs w:val="32"/>
    </w:rPr>
  </w:style>
  <w:style w:type="paragraph" w:customStyle="1" w:styleId="1392">
    <w:name w:val="Char1 Char Char Char21"/>
    <w:basedOn w:val="1"/>
    <w:qFormat/>
    <w:uiPriority w:val="0"/>
    <w:rPr>
      <w:rFonts w:ascii="Tahoma" w:hAnsi="Tahoma"/>
      <w:sz w:val="24"/>
      <w:szCs w:val="20"/>
    </w:rPr>
  </w:style>
  <w:style w:type="paragraph" w:customStyle="1" w:styleId="1393">
    <w:name w:val="Char Char12"/>
    <w:basedOn w:val="1"/>
    <w:qFormat/>
    <w:uiPriority w:val="0"/>
    <w:pPr>
      <w:widowControl/>
      <w:spacing w:after="160" w:line="240" w:lineRule="exact"/>
      <w:jc w:val="left"/>
    </w:pPr>
    <w:rPr>
      <w:rFonts w:ascii="Verdana" w:hAnsi="Verdana"/>
      <w:sz w:val="20"/>
      <w:lang w:eastAsia="en-US"/>
    </w:rPr>
  </w:style>
  <w:style w:type="paragraph" w:customStyle="1" w:styleId="1394">
    <w:name w:val="Normal (Web)1"/>
    <w:basedOn w:val="1"/>
    <w:qFormat/>
    <w:uiPriority w:val="0"/>
    <w:pPr>
      <w:widowControl/>
      <w:spacing w:before="100" w:beforeAutospacing="1" w:after="100" w:afterAutospacing="1"/>
      <w:jc w:val="left"/>
    </w:pPr>
    <w:rPr>
      <w:rFonts w:ascii="宋体" w:hAnsi="宋体" w:cs="宋体"/>
      <w:sz w:val="24"/>
    </w:rPr>
  </w:style>
  <w:style w:type="paragraph" w:customStyle="1" w:styleId="1395">
    <w:name w:val="_Style 171"/>
    <w:basedOn w:val="1"/>
    <w:next w:val="1"/>
    <w:qFormat/>
    <w:uiPriority w:val="0"/>
    <w:pPr>
      <w:spacing w:line="500" w:lineRule="exact"/>
      <w:ind w:firstLine="560"/>
    </w:pPr>
    <w:rPr>
      <w:rFonts w:ascii="Cambria" w:hAnsi="Cambria" w:eastAsia="仿宋"/>
      <w:color w:val="000000"/>
      <w:sz w:val="28"/>
      <w:szCs w:val="20"/>
    </w:rPr>
  </w:style>
  <w:style w:type="paragraph" w:customStyle="1" w:styleId="1396">
    <w:name w:val="中等深浅底纹 1 - 着色 11"/>
    <w:next w:val="1397"/>
    <w:qFormat/>
    <w:uiPriority w:val="0"/>
    <w:pPr>
      <w:widowControl w:val="0"/>
    </w:pPr>
    <w:rPr>
      <w:rFonts w:ascii="宋体" w:hAnsi="Calibri" w:eastAsia="宋体" w:cs="Times New Roman"/>
      <w:sz w:val="21"/>
      <w:szCs w:val="22"/>
      <w:lang w:val="en-US" w:eastAsia="zh-CN" w:bidi="ar-SA"/>
    </w:rPr>
  </w:style>
  <w:style w:type="paragraph" w:customStyle="1" w:styleId="1397">
    <w:name w:val="D表"/>
    <w:basedOn w:val="1"/>
    <w:next w:val="233"/>
    <w:qFormat/>
    <w:uiPriority w:val="0"/>
    <w:pPr>
      <w:spacing w:line="500" w:lineRule="exact"/>
      <w:ind w:hanging="2"/>
    </w:pPr>
    <w:rPr>
      <w:rFonts w:eastAsia="仿宋"/>
      <w:sz w:val="18"/>
      <w:szCs w:val="18"/>
    </w:rPr>
  </w:style>
  <w:style w:type="paragraph" w:customStyle="1" w:styleId="1398">
    <w:name w:val="金宏发行正文 Char Char"/>
    <w:basedOn w:val="1"/>
    <w:next w:val="1369"/>
    <w:qFormat/>
    <w:uiPriority w:val="0"/>
    <w:pPr>
      <w:spacing w:line="500" w:lineRule="exact"/>
      <w:ind w:firstLine="560"/>
    </w:pPr>
    <w:rPr>
      <w:rFonts w:eastAsia="仿宋_GB2312" w:cs="宋体"/>
      <w:sz w:val="28"/>
      <w:szCs w:val="20"/>
    </w:rPr>
  </w:style>
  <w:style w:type="paragraph" w:customStyle="1" w:styleId="1399">
    <w:name w:val="Char1 Char Char Char2"/>
    <w:basedOn w:val="1"/>
    <w:qFormat/>
    <w:uiPriority w:val="0"/>
    <w:pPr>
      <w:spacing w:line="500" w:lineRule="exact"/>
      <w:ind w:firstLine="560"/>
    </w:pPr>
    <w:rPr>
      <w:rFonts w:ascii="Tahoma" w:hAnsi="Tahoma" w:eastAsia="仿宋"/>
      <w:sz w:val="28"/>
      <w:szCs w:val="20"/>
    </w:rPr>
  </w:style>
  <w:style w:type="paragraph" w:customStyle="1" w:styleId="1400">
    <w:name w:val="Char Char Char Char2"/>
    <w:basedOn w:val="1"/>
    <w:qFormat/>
    <w:uiPriority w:val="0"/>
    <w:pPr>
      <w:spacing w:line="500" w:lineRule="exact"/>
      <w:ind w:firstLine="560"/>
    </w:pPr>
    <w:rPr>
      <w:rFonts w:eastAsia="仿宋"/>
      <w:sz w:val="28"/>
    </w:rPr>
  </w:style>
  <w:style w:type="paragraph" w:customStyle="1" w:styleId="1401">
    <w:name w:val="Heading"/>
    <w:basedOn w:val="1"/>
    <w:next w:val="243"/>
    <w:qFormat/>
    <w:uiPriority w:val="0"/>
    <w:pPr>
      <w:keepNext/>
      <w:spacing w:before="240" w:after="120" w:line="360" w:lineRule="auto"/>
      <w:ind w:firstLine="720"/>
    </w:pPr>
    <w:rPr>
      <w:rFonts w:ascii="华文黑体" w:hAnsi="华文黑体" w:eastAsia="华文黑体" w:cs="华文黑体"/>
      <w:sz w:val="28"/>
      <w:szCs w:val="28"/>
      <w:lang w:eastAsia="ar-SA"/>
    </w:rPr>
  </w:style>
  <w:style w:type="paragraph" w:customStyle="1" w:styleId="1402">
    <w:name w:val="Char Char Char Char1"/>
    <w:basedOn w:val="1"/>
    <w:qFormat/>
    <w:uiPriority w:val="0"/>
    <w:pPr>
      <w:spacing w:line="500" w:lineRule="exact"/>
      <w:ind w:firstLine="560"/>
    </w:pPr>
    <w:rPr>
      <w:rFonts w:eastAsia="仿宋"/>
      <w:sz w:val="28"/>
    </w:rPr>
  </w:style>
  <w:style w:type="paragraph" w:customStyle="1" w:styleId="1403">
    <w:name w:val="Char Char Char Char Char Char Char Char Char Char Char Char Char Char Char Char Char Char Char Char"/>
    <w:basedOn w:val="1"/>
    <w:next w:val="1"/>
    <w:qFormat/>
    <w:uiPriority w:val="0"/>
    <w:pPr>
      <w:tabs>
        <w:tab w:val="left" w:pos="851"/>
      </w:tabs>
      <w:spacing w:line="360" w:lineRule="auto"/>
      <w:ind w:left="420" w:hanging="420"/>
    </w:pPr>
    <w:rPr>
      <w:rFonts w:eastAsia="仿宋"/>
      <w:sz w:val="28"/>
    </w:rPr>
  </w:style>
  <w:style w:type="paragraph" w:customStyle="1" w:styleId="1404">
    <w:name w:val="中等深浅网格 1 - 着色 21"/>
    <w:basedOn w:val="1"/>
    <w:qFormat/>
    <w:uiPriority w:val="34"/>
    <w:pPr>
      <w:ind w:firstLine="420"/>
    </w:pPr>
    <w:rPr>
      <w:rFonts w:eastAsia="仿宋"/>
      <w:sz w:val="28"/>
    </w:rPr>
  </w:style>
  <w:style w:type="paragraph" w:customStyle="1" w:styleId="1405">
    <w:name w:val="注意事项"/>
    <w:basedOn w:val="1"/>
    <w:qFormat/>
    <w:uiPriority w:val="0"/>
    <w:pPr>
      <w:spacing w:before="60" w:after="60" w:line="360" w:lineRule="auto"/>
      <w:ind w:firstLine="200"/>
    </w:pPr>
    <w:rPr>
      <w:rFonts w:ascii="仿宋" w:hAnsi="仿宋"/>
      <w:b/>
      <w:bCs/>
      <w:sz w:val="28"/>
      <w:lang w:eastAsia="ar-SA"/>
    </w:rPr>
  </w:style>
  <w:style w:type="paragraph" w:customStyle="1" w:styleId="1406">
    <w:name w:val="正常"/>
    <w:qFormat/>
    <w:uiPriority w:val="0"/>
    <w:pPr>
      <w:widowControl w:val="0"/>
      <w:jc w:val="both"/>
    </w:pPr>
    <w:rPr>
      <w:rFonts w:ascii="Calibri" w:hAnsi="Calibri" w:eastAsia="宋体" w:cs="Times New Roman"/>
      <w:sz w:val="21"/>
      <w:szCs w:val="22"/>
      <w:lang w:val="en-US" w:eastAsia="zh-CN" w:bidi="ar-SA"/>
    </w:rPr>
  </w:style>
  <w:style w:type="paragraph" w:customStyle="1" w:styleId="1407">
    <w:name w:val="无编号标题"/>
    <w:basedOn w:val="1"/>
    <w:next w:val="925"/>
    <w:qFormat/>
    <w:uiPriority w:val="0"/>
    <w:pPr>
      <w:pageBreakBefore/>
      <w:suppressLineNumbers/>
      <w:spacing w:line="480" w:lineRule="auto"/>
      <w:ind w:firstLine="560"/>
      <w:jc w:val="center"/>
    </w:pPr>
    <w:rPr>
      <w:rFonts w:ascii="宋体" w:hAnsi="宋体" w:eastAsia="仿宋"/>
      <w:b/>
      <w:sz w:val="36"/>
      <w:szCs w:val="44"/>
    </w:rPr>
  </w:style>
  <w:style w:type="paragraph" w:customStyle="1" w:styleId="1408">
    <w:name w:val="Bid_正文"/>
    <w:basedOn w:val="203"/>
    <w:next w:val="1409"/>
    <w:qFormat/>
    <w:uiPriority w:val="0"/>
    <w:pPr>
      <w:widowControl/>
      <w:spacing w:line="590" w:lineRule="atLeast"/>
      <w:ind w:firstLine="200"/>
      <w:jc w:val="left"/>
    </w:pPr>
    <w:rPr>
      <w:rFonts w:ascii="方正仿宋_GBK" w:hAnsi="Calibri" w:eastAsia="仿宋"/>
      <w:spacing w:val="-25"/>
      <w:sz w:val="32"/>
      <w:szCs w:val="20"/>
    </w:rPr>
  </w:style>
  <w:style w:type="paragraph" w:customStyle="1" w:styleId="1409">
    <w:name w:val="p1"/>
    <w:basedOn w:val="1"/>
    <w:next w:val="223"/>
    <w:qFormat/>
    <w:uiPriority w:val="0"/>
    <w:pPr>
      <w:widowControl/>
      <w:spacing w:line="500" w:lineRule="exact"/>
      <w:ind w:firstLine="560"/>
      <w:jc w:val="left"/>
    </w:pPr>
    <w:rPr>
      <w:rFonts w:ascii="Lucida Grande" w:hAnsi="Lucida Grande" w:eastAsia="仿宋" w:cs="Lucida Grande"/>
      <w:color w:val="000000"/>
      <w:sz w:val="20"/>
      <w:szCs w:val="20"/>
    </w:rPr>
  </w:style>
  <w:style w:type="paragraph" w:customStyle="1" w:styleId="1410">
    <w:name w:val="正文首行缩进 Char3"/>
    <w:basedOn w:val="1"/>
    <w:qFormat/>
    <w:uiPriority w:val="0"/>
    <w:pPr>
      <w:spacing w:line="500" w:lineRule="exact"/>
      <w:ind w:firstLine="560"/>
    </w:pPr>
    <w:rPr>
      <w:rFonts w:eastAsia="仿宋"/>
      <w:sz w:val="28"/>
      <w:szCs w:val="20"/>
    </w:rPr>
  </w:style>
  <w:style w:type="paragraph" w:customStyle="1" w:styleId="1411">
    <w:name w:val="表格内容"/>
    <w:basedOn w:val="1"/>
    <w:next w:val="1190"/>
    <w:qFormat/>
    <w:uiPriority w:val="0"/>
    <w:pPr>
      <w:spacing w:line="360" w:lineRule="auto"/>
      <w:ind w:firstLine="560"/>
      <w:jc w:val="left"/>
    </w:pPr>
    <w:rPr>
      <w:rFonts w:ascii="微软雅黑" w:hAnsi="微软雅黑" w:eastAsia="微软雅黑"/>
      <w:sz w:val="18"/>
      <w:lang w:val="en-GB"/>
    </w:rPr>
  </w:style>
  <w:style w:type="paragraph" w:customStyle="1" w:styleId="1412">
    <w:name w:val="文章正文"/>
    <w:basedOn w:val="1"/>
    <w:next w:val="1413"/>
    <w:qFormat/>
    <w:uiPriority w:val="0"/>
    <w:pPr>
      <w:spacing w:line="360" w:lineRule="auto"/>
      <w:ind w:firstLine="482"/>
    </w:pPr>
    <w:rPr>
      <w:rFonts w:eastAsia="仿宋"/>
    </w:rPr>
  </w:style>
  <w:style w:type="paragraph" w:customStyle="1" w:styleId="1413">
    <w:name w:val="我的图表标题"/>
    <w:basedOn w:val="1"/>
    <w:next w:val="401"/>
    <w:qFormat/>
    <w:uiPriority w:val="0"/>
    <w:pPr>
      <w:spacing w:line="360" w:lineRule="auto"/>
      <w:ind w:firstLine="560"/>
      <w:jc w:val="center"/>
    </w:pPr>
    <w:rPr>
      <w:rFonts w:ascii="Cambria" w:hAnsi="Cambria" w:eastAsia="黑体" w:cs="宋体"/>
      <w:sz w:val="28"/>
      <w:szCs w:val="20"/>
    </w:rPr>
  </w:style>
  <w:style w:type="paragraph" w:customStyle="1" w:styleId="1414">
    <w:name w:val="11111"/>
    <w:basedOn w:val="1"/>
    <w:next w:val="1415"/>
    <w:qFormat/>
    <w:uiPriority w:val="0"/>
    <w:pPr>
      <w:spacing w:after="120" w:line="360" w:lineRule="auto"/>
      <w:ind w:firstLine="200"/>
    </w:pPr>
    <w:rPr>
      <w:rFonts w:ascii="宋体" w:eastAsia="仿宋" w:cs="宋体"/>
      <w:color w:val="000000"/>
      <w:sz w:val="28"/>
      <w:lang w:val="zh-CN"/>
    </w:rPr>
  </w:style>
  <w:style w:type="paragraph" w:customStyle="1" w:styleId="1415">
    <w:name w:val="Char Char Char Char Char Char Char Char Char Char Char Char Char"/>
    <w:basedOn w:val="1"/>
    <w:next w:val="203"/>
    <w:qFormat/>
    <w:uiPriority w:val="0"/>
    <w:pPr>
      <w:widowControl/>
      <w:spacing w:after="160" w:line="240" w:lineRule="exact"/>
      <w:jc w:val="left"/>
    </w:pPr>
    <w:rPr>
      <w:rFonts w:ascii="Verdana" w:hAnsi="Verdana" w:eastAsia="仿宋_GB2312"/>
      <w:sz w:val="28"/>
      <w:szCs w:val="20"/>
      <w:lang w:eastAsia="en-US"/>
    </w:rPr>
  </w:style>
  <w:style w:type="paragraph" w:customStyle="1" w:styleId="1416">
    <w:name w:val="标题 41"/>
    <w:basedOn w:val="206"/>
    <w:next w:val="243"/>
    <w:qFormat/>
    <w:uiPriority w:val="0"/>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1417">
    <w:name w:val="Char Char Char Char Char Char Char Char Char1 Char Char Char Char Char Char Char Char Char Char"/>
    <w:basedOn w:val="1"/>
    <w:next w:val="1418"/>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18">
    <w:name w:val="样式3"/>
    <w:basedOn w:val="1"/>
    <w:qFormat/>
    <w:uiPriority w:val="0"/>
    <w:pPr>
      <w:tabs>
        <w:tab w:val="left" w:pos="695"/>
      </w:tabs>
      <w:spacing w:line="360" w:lineRule="auto"/>
      <w:ind w:firstLine="420"/>
    </w:pPr>
    <w:rPr>
      <w:rFonts w:eastAsia="仿宋"/>
      <w:sz w:val="28"/>
    </w:rPr>
  </w:style>
  <w:style w:type="paragraph" w:customStyle="1" w:styleId="1419">
    <w:name w:val="正文Normal"/>
    <w:basedOn w:val="1"/>
    <w:next w:val="323"/>
    <w:qFormat/>
    <w:uiPriority w:val="0"/>
    <w:pPr>
      <w:spacing w:after="120" w:line="360" w:lineRule="auto"/>
      <w:ind w:firstLine="480"/>
    </w:pPr>
    <w:rPr>
      <w:rFonts w:ascii="Arial" w:hAnsi="Arial" w:eastAsia="仿宋" w:cs="Arial"/>
      <w:sz w:val="28"/>
    </w:rPr>
  </w:style>
  <w:style w:type="paragraph" w:customStyle="1" w:styleId="1420">
    <w:name w:val="标准正文"/>
    <w:basedOn w:val="1"/>
    <w:next w:val="218"/>
    <w:qFormat/>
    <w:uiPriority w:val="0"/>
    <w:pPr>
      <w:spacing w:line="500" w:lineRule="exact"/>
      <w:ind w:firstLine="560"/>
    </w:pPr>
    <w:rPr>
      <w:rFonts w:eastAsia="仿宋"/>
      <w:sz w:val="28"/>
      <w:lang w:val="en-GB"/>
    </w:rPr>
  </w:style>
  <w:style w:type="paragraph" w:customStyle="1" w:styleId="1421">
    <w:name w:val="_Style 62"/>
    <w:next w:val="288"/>
    <w:qFormat/>
    <w:uiPriority w:val="0"/>
    <w:pPr>
      <w:widowControl w:val="0"/>
      <w:jc w:val="both"/>
    </w:pPr>
    <w:rPr>
      <w:rFonts w:ascii="Calibri" w:hAnsi="Calibri" w:eastAsia="宋体" w:cs="Times New Roman"/>
      <w:sz w:val="21"/>
      <w:szCs w:val="22"/>
      <w:lang w:val="en-US" w:eastAsia="zh-CN" w:bidi="ar-SA"/>
    </w:rPr>
  </w:style>
  <w:style w:type="paragraph" w:customStyle="1" w:styleId="1422">
    <w:name w:val="_Style 54"/>
    <w:next w:val="858"/>
    <w:qFormat/>
    <w:uiPriority w:val="0"/>
    <w:rPr>
      <w:rFonts w:ascii="Calibri" w:hAnsi="Calibri" w:eastAsia="宋体" w:cs="Times New Roman"/>
      <w:sz w:val="24"/>
      <w:szCs w:val="24"/>
      <w:lang w:val="en-US" w:eastAsia="zh-CN" w:bidi="ar-SA"/>
    </w:rPr>
  </w:style>
  <w:style w:type="paragraph" w:customStyle="1" w:styleId="1423">
    <w:name w:val="样式 标题 2 + 行距: 最小值 12 磅"/>
    <w:basedOn w:val="202"/>
    <w:next w:val="218"/>
    <w:qFormat/>
    <w:uiPriority w:val="0"/>
    <w:pPr>
      <w:tabs>
        <w:tab w:val="left" w:pos="0"/>
        <w:tab w:val="left" w:pos="840"/>
      </w:tabs>
      <w:spacing w:before="0" w:after="0" w:line="240" w:lineRule="atLeast"/>
      <w:ind w:left="1320" w:hanging="420"/>
      <w:jc w:val="left"/>
    </w:pPr>
    <w:rPr>
      <w:rFonts w:ascii="楷体" w:hAnsi="Calibri" w:eastAsia="宋体" w:cs="宋体"/>
      <w:bCs/>
      <w:color w:val="000000"/>
      <w:sz w:val="30"/>
      <w:szCs w:val="36"/>
    </w:rPr>
  </w:style>
  <w:style w:type="paragraph" w:customStyle="1" w:styleId="1424">
    <w:name w:val="ABC_正文"/>
    <w:basedOn w:val="1"/>
    <w:qFormat/>
    <w:uiPriority w:val="0"/>
    <w:pPr>
      <w:widowControl/>
      <w:ind w:firstLine="200"/>
    </w:pPr>
    <w:rPr>
      <w:rFonts w:hAnsi="宋体" w:eastAsia="Times New Roman"/>
      <w:sz w:val="20"/>
      <w:szCs w:val="20"/>
    </w:rPr>
  </w:style>
  <w:style w:type="paragraph" w:customStyle="1" w:styleId="1425">
    <w:name w:val="InfoBlue"/>
    <w:basedOn w:val="1"/>
    <w:qFormat/>
    <w:uiPriority w:val="0"/>
    <w:pPr>
      <w:spacing w:after="120" w:line="360" w:lineRule="auto"/>
      <w:ind w:left="720" w:firstLine="560"/>
      <w:jc w:val="left"/>
    </w:pPr>
    <w:rPr>
      <w:rFonts w:eastAsia="仿宋"/>
      <w:color w:val="0000FF"/>
      <w:szCs w:val="20"/>
    </w:rPr>
  </w:style>
  <w:style w:type="paragraph" w:customStyle="1" w:styleId="1426">
    <w:name w:val="样式 标题 3"/>
    <w:basedOn w:val="206"/>
    <w:next w:val="248"/>
    <w:qFormat/>
    <w:uiPriority w:val="0"/>
    <w:pPr>
      <w:keepLines w:val="0"/>
      <w:tabs>
        <w:tab w:val="left" w:pos="0"/>
        <w:tab w:val="left" w:pos="1260"/>
      </w:tabs>
      <w:spacing w:before="0" w:after="60" w:line="240" w:lineRule="atLeast"/>
      <w:ind w:left="567" w:hanging="567"/>
      <w:jc w:val="left"/>
    </w:pPr>
    <w:rPr>
      <w:rFonts w:ascii="仿宋" w:hAnsi="Calibri" w:eastAsia="仿宋"/>
      <w:iCs/>
      <w:sz w:val="28"/>
      <w:szCs w:val="36"/>
    </w:rPr>
  </w:style>
  <w:style w:type="paragraph" w:customStyle="1" w:styleId="1427">
    <w:name w:val="正文文本21"/>
    <w:qFormat/>
    <w:uiPriority w:val="0"/>
    <w:pPr>
      <w:keepLines/>
      <w:spacing w:after="120" w:line="220" w:lineRule="atLeast"/>
    </w:pPr>
    <w:rPr>
      <w:rFonts w:ascii="宋体" w:hAnsi="Calibri" w:eastAsia="宋体" w:cs="Times New Roman"/>
      <w:lang w:val="en-GB" w:eastAsia="zh-CN" w:bidi="ar-SA"/>
    </w:rPr>
  </w:style>
  <w:style w:type="paragraph" w:customStyle="1" w:styleId="1428">
    <w:name w:val="Char Char Char Char Char Char Char Char Char Char Char Char Char Char Char1 Char"/>
    <w:basedOn w:val="1"/>
    <w:next w:val="245"/>
    <w:qFormat/>
    <w:uiPriority w:val="0"/>
    <w:pPr>
      <w:widowControl/>
      <w:spacing w:after="160" w:line="240" w:lineRule="exact"/>
      <w:ind w:firstLine="560"/>
      <w:jc w:val="left"/>
    </w:pPr>
    <w:rPr>
      <w:rFonts w:ascii="Verdana" w:hAnsi="Verdana" w:eastAsia="仿宋"/>
      <w:sz w:val="20"/>
      <w:szCs w:val="20"/>
      <w:lang w:eastAsia="en-US"/>
    </w:rPr>
  </w:style>
  <w:style w:type="paragraph" w:customStyle="1" w:styleId="1429">
    <w:name w:val="无首行缩进正文"/>
    <w:basedOn w:val="1413"/>
    <w:next w:val="1365"/>
    <w:qFormat/>
    <w:uiPriority w:val="0"/>
    <w:pPr>
      <w:ind w:firstLine="0"/>
      <w:jc w:val="both"/>
    </w:pPr>
    <w:rPr>
      <w:rFonts w:ascii="Calibri" w:hAnsi="Calibri" w:eastAsia="方正仿宋_GBK" w:cs="Times New Roman"/>
      <w:sz w:val="21"/>
      <w:szCs w:val="24"/>
    </w:rPr>
  </w:style>
  <w:style w:type="paragraph" w:customStyle="1" w:styleId="1430">
    <w:name w:val="Plain Text1"/>
    <w:basedOn w:val="1"/>
    <w:next w:val="224"/>
    <w:qFormat/>
    <w:uiPriority w:val="0"/>
    <w:pPr>
      <w:spacing w:line="360" w:lineRule="auto"/>
      <w:ind w:firstLine="560"/>
    </w:pPr>
    <w:rPr>
      <w:rFonts w:ascii="宋体" w:hAnsi="宋体" w:eastAsia="仿宋"/>
      <w:sz w:val="28"/>
      <w:szCs w:val="20"/>
    </w:rPr>
  </w:style>
  <w:style w:type="paragraph" w:customStyle="1" w:styleId="1431">
    <w:name w:val="Char Char Char Char Char Char Char Char Char Char Char Char Char1"/>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32">
    <w:name w:val="样式 Tabletext + 五号 加粗 居中 段后: 0 磅 行距: 1.5 倍行距"/>
    <w:basedOn w:val="1"/>
    <w:qFormat/>
    <w:uiPriority w:val="0"/>
    <w:pPr>
      <w:spacing w:line="500" w:lineRule="exact"/>
      <w:ind w:firstLine="560"/>
    </w:pPr>
    <w:rPr>
      <w:rFonts w:eastAsia="仿宋"/>
      <w:sz w:val="28"/>
      <w:szCs w:val="20"/>
    </w:rPr>
  </w:style>
  <w:style w:type="paragraph" w:customStyle="1" w:styleId="1433">
    <w:name w:val="Subject"/>
    <w:basedOn w:val="1"/>
    <w:qFormat/>
    <w:uiPriority w:val="0"/>
    <w:pPr>
      <w:widowControl/>
      <w:jc w:val="center"/>
    </w:pPr>
    <w:rPr>
      <w:rFonts w:eastAsia="黑体"/>
      <w:b/>
      <w:sz w:val="48"/>
    </w:rPr>
  </w:style>
  <w:style w:type="paragraph" w:customStyle="1" w:styleId="1434">
    <w:name w:val="题注1"/>
    <w:basedOn w:val="1"/>
    <w:qFormat/>
    <w:uiPriority w:val="0"/>
    <w:pPr>
      <w:suppressLineNumbers/>
      <w:spacing w:before="120" w:after="120" w:line="360" w:lineRule="auto"/>
      <w:ind w:firstLine="720"/>
    </w:pPr>
    <w:rPr>
      <w:rFonts w:ascii="仿宋" w:hAnsi="仿宋"/>
      <w:i/>
      <w:iCs/>
      <w:sz w:val="28"/>
      <w:lang w:eastAsia="ar-SA"/>
    </w:rPr>
  </w:style>
  <w:style w:type="paragraph" w:customStyle="1" w:styleId="1435">
    <w:name w:val="默认段落字体 Para Char Char Char Char"/>
    <w:basedOn w:val="1"/>
    <w:next w:val="255"/>
    <w:qFormat/>
    <w:uiPriority w:val="0"/>
    <w:pPr>
      <w:spacing w:line="360" w:lineRule="auto"/>
      <w:ind w:firstLine="560"/>
    </w:pPr>
    <w:rPr>
      <w:rFonts w:eastAsia="仿宋"/>
      <w:sz w:val="28"/>
      <w:szCs w:val="20"/>
    </w:rPr>
  </w:style>
  <w:style w:type="paragraph" w:customStyle="1" w:styleId="1436">
    <w:name w:val="样式 标题 1 + 行距: 最小值 12 磅"/>
    <w:basedOn w:val="200"/>
    <w:next w:val="1425"/>
    <w:qFormat/>
    <w:uiPriority w:val="0"/>
    <w:pPr>
      <w:tabs>
        <w:tab w:val="left" w:pos="0"/>
        <w:tab w:val="left" w:pos="420"/>
      </w:tabs>
      <w:spacing w:line="240" w:lineRule="atLeast"/>
      <w:ind w:left="720" w:hanging="720"/>
      <w:jc w:val="left"/>
    </w:pPr>
    <w:rPr>
      <w:rFonts w:ascii="黑体" w:hAnsi="Calibri" w:eastAsia="黑体" w:cs="宋体"/>
      <w:bCs/>
      <w:sz w:val="36"/>
      <w:szCs w:val="36"/>
    </w:rPr>
  </w:style>
  <w:style w:type="paragraph" w:customStyle="1" w:styleId="1437">
    <w:name w:val="_Style 224"/>
    <w:basedOn w:val="1"/>
    <w:next w:val="1"/>
    <w:unhideWhenUsed/>
    <w:qFormat/>
    <w:uiPriority w:val="39"/>
    <w:pPr>
      <w:widowControl/>
      <w:ind w:left="2100"/>
      <w:jc w:val="left"/>
    </w:pPr>
  </w:style>
  <w:style w:type="paragraph" w:customStyle="1" w:styleId="1438">
    <w:name w:val="图中文字"/>
    <w:basedOn w:val="1"/>
    <w:next w:val="860"/>
    <w:qFormat/>
    <w:uiPriority w:val="0"/>
    <w:pPr>
      <w:widowControl/>
      <w:spacing w:line="500" w:lineRule="exact"/>
      <w:ind w:firstLine="560"/>
      <w:jc w:val="center"/>
    </w:pPr>
    <w:rPr>
      <w:rFonts w:eastAsia="仿宋_GB2312"/>
      <w:sz w:val="28"/>
      <w:szCs w:val="20"/>
    </w:rPr>
  </w:style>
  <w:style w:type="paragraph" w:customStyle="1" w:styleId="1439">
    <w:name w:val="标题 11"/>
    <w:basedOn w:val="1"/>
    <w:next w:val="1"/>
    <w:qFormat/>
    <w:uiPriority w:val="0"/>
    <w:pPr>
      <w:keepNext/>
      <w:keepLines/>
      <w:spacing w:line="590" w:lineRule="exact"/>
      <w:outlineLvl w:val="0"/>
    </w:pPr>
    <w:rPr>
      <w:rFonts w:eastAsia="方正黑体_GBK"/>
      <w:bCs/>
      <w:sz w:val="32"/>
      <w:szCs w:val="44"/>
    </w:rPr>
  </w:style>
  <w:style w:type="paragraph" w:customStyle="1" w:styleId="1440">
    <w:name w:val="样式 标题 + 右"/>
    <w:basedOn w:val="228"/>
    <w:next w:val="1327"/>
    <w:qFormat/>
    <w:uiPriority w:val="0"/>
    <w:pPr>
      <w:spacing w:line="500" w:lineRule="exact"/>
      <w:ind w:left="0" w:firstLine="560"/>
      <w:jc w:val="right"/>
    </w:pPr>
    <w:rPr>
      <w:rFonts w:ascii="宋体" w:eastAsia="方正小标宋_GBK" w:cs="宋体"/>
      <w:color w:val="000000"/>
      <w:sz w:val="28"/>
      <w:szCs w:val="20"/>
    </w:rPr>
  </w:style>
  <w:style w:type="paragraph" w:customStyle="1" w:styleId="1441">
    <w:name w:val="表号"/>
    <w:basedOn w:val="1"/>
    <w:next w:val="396"/>
    <w:qFormat/>
    <w:uiPriority w:val="0"/>
    <w:pPr>
      <w:keepNext/>
      <w:keepLines/>
      <w:tabs>
        <w:tab w:val="left" w:pos="5102"/>
      </w:tabs>
      <w:spacing w:line="360" w:lineRule="auto"/>
      <w:ind w:left="5102" w:hanging="1700"/>
      <w:jc w:val="center"/>
    </w:pPr>
    <w:rPr>
      <w:rFonts w:ascii="Arial" w:hAnsi="Arial" w:eastAsia="仿宋"/>
      <w:b/>
      <w:sz w:val="18"/>
      <w:szCs w:val="18"/>
    </w:rPr>
  </w:style>
  <w:style w:type="paragraph" w:customStyle="1" w:styleId="1442">
    <w:name w:val="表头样式"/>
    <w:basedOn w:val="1"/>
    <w:qFormat/>
    <w:uiPriority w:val="0"/>
    <w:pPr>
      <w:keepNext/>
      <w:spacing w:line="500" w:lineRule="exact"/>
      <w:ind w:firstLine="560"/>
      <w:jc w:val="center"/>
    </w:pPr>
    <w:rPr>
      <w:rFonts w:ascii="Arial" w:hAnsi="Arial" w:eastAsia="仿宋"/>
      <w:b/>
      <w:szCs w:val="21"/>
    </w:rPr>
  </w:style>
  <w:style w:type="paragraph" w:customStyle="1" w:styleId="1443">
    <w:name w:val="评估表"/>
    <w:basedOn w:val="1"/>
    <w:qFormat/>
    <w:uiPriority w:val="0"/>
    <w:pPr>
      <w:spacing w:line="240" w:lineRule="exact"/>
    </w:pPr>
    <w:rPr>
      <w:rFonts w:ascii="方正仿宋_GBK" w:hAnsi="方正仿宋_GBK" w:eastAsia="方正仿宋_GBK"/>
      <w:sz w:val="18"/>
      <w:szCs w:val="18"/>
    </w:rPr>
  </w:style>
  <w:style w:type="paragraph" w:customStyle="1" w:styleId="1444">
    <w:name w:val="Table Contents"/>
    <w:basedOn w:val="1"/>
    <w:qFormat/>
    <w:uiPriority w:val="0"/>
    <w:pPr>
      <w:suppressLineNumbers/>
      <w:spacing w:line="360" w:lineRule="auto"/>
      <w:ind w:firstLine="720"/>
    </w:pPr>
    <w:rPr>
      <w:rFonts w:ascii="仿宋" w:hAnsi="仿宋"/>
      <w:sz w:val="28"/>
      <w:lang w:eastAsia="ar-SA"/>
    </w:rPr>
  </w:style>
  <w:style w:type="paragraph" w:customStyle="1" w:styleId="1445">
    <w:name w:val="Paragraph1"/>
    <w:basedOn w:val="1"/>
    <w:next w:val="1089"/>
    <w:qFormat/>
    <w:uiPriority w:val="0"/>
    <w:pPr>
      <w:spacing w:before="80" w:line="500" w:lineRule="exact"/>
      <w:ind w:firstLine="560"/>
    </w:pPr>
    <w:rPr>
      <w:rFonts w:ascii="宋体" w:eastAsia="仿宋"/>
      <w:sz w:val="20"/>
      <w:szCs w:val="20"/>
    </w:rPr>
  </w:style>
  <w:style w:type="paragraph" w:customStyle="1" w:styleId="1446">
    <w:name w:val="Tabletext"/>
    <w:basedOn w:val="1"/>
    <w:next w:val="1003"/>
    <w:qFormat/>
    <w:uiPriority w:val="0"/>
    <w:pPr>
      <w:keepLines/>
      <w:spacing w:after="120" w:line="240" w:lineRule="atLeast"/>
      <w:ind w:firstLine="560"/>
      <w:jc w:val="left"/>
    </w:pPr>
    <w:rPr>
      <w:rFonts w:eastAsia="仿宋"/>
      <w:sz w:val="28"/>
      <w:szCs w:val="20"/>
      <w:lang w:eastAsia="en-US"/>
    </w:rPr>
  </w:style>
  <w:style w:type="paragraph" w:customStyle="1" w:styleId="1447">
    <w:name w:val="编写建议"/>
    <w:basedOn w:val="1"/>
    <w:next w:val="243"/>
    <w:qFormat/>
    <w:uiPriority w:val="0"/>
    <w:pPr>
      <w:spacing w:line="360" w:lineRule="auto"/>
      <w:ind w:firstLine="420"/>
      <w:jc w:val="left"/>
    </w:pPr>
    <w:rPr>
      <w:rFonts w:ascii="Arial" w:hAnsi="Arial" w:cs="宋体"/>
      <w:i/>
      <w:iCs/>
      <w:color w:val="0000FF"/>
      <w:sz w:val="28"/>
      <w:lang w:eastAsia="ar-SA"/>
    </w:rPr>
  </w:style>
  <w:style w:type="paragraph" w:customStyle="1" w:styleId="1448">
    <w:name w:val="引用 Char2"/>
    <w:basedOn w:val="1"/>
    <w:qFormat/>
    <w:uiPriority w:val="0"/>
    <w:pPr>
      <w:spacing w:line="500" w:lineRule="exact"/>
      <w:ind w:firstLine="560"/>
    </w:pPr>
    <w:rPr>
      <w:rFonts w:eastAsia="仿宋"/>
      <w:sz w:val="28"/>
      <w:szCs w:val="20"/>
    </w:rPr>
  </w:style>
  <w:style w:type="paragraph" w:customStyle="1" w:styleId="1449">
    <w:name w:val="文档名称"/>
    <w:basedOn w:val="1"/>
    <w:qFormat/>
    <w:uiPriority w:val="0"/>
    <w:pPr>
      <w:spacing w:line="360" w:lineRule="auto"/>
      <w:ind w:firstLine="720"/>
      <w:jc w:val="center"/>
    </w:pPr>
    <w:rPr>
      <w:rFonts w:ascii="仿宋" w:hAnsi="仿宋" w:eastAsia="黑体"/>
      <w:b/>
      <w:sz w:val="48"/>
      <w:szCs w:val="48"/>
      <w:lang w:eastAsia="ar-SA"/>
    </w:rPr>
  </w:style>
  <w:style w:type="paragraph" w:customStyle="1" w:styleId="1450">
    <w:name w:val="explanation"/>
    <w:basedOn w:val="1"/>
    <w:next w:val="1059"/>
    <w:qFormat/>
    <w:uiPriority w:val="0"/>
    <w:pPr>
      <w:spacing w:line="500" w:lineRule="exact"/>
      <w:ind w:firstLine="560"/>
    </w:pPr>
    <w:rPr>
      <w:rFonts w:eastAsia="仿宋"/>
      <w:sz w:val="28"/>
    </w:rPr>
  </w:style>
  <w:style w:type="paragraph" w:customStyle="1" w:styleId="1451">
    <w:name w:val="左对齐的表内文字"/>
    <w:basedOn w:val="1"/>
    <w:next w:val="287"/>
    <w:qFormat/>
    <w:uiPriority w:val="0"/>
    <w:pPr>
      <w:spacing w:line="500" w:lineRule="exact"/>
      <w:ind w:firstLine="560"/>
    </w:pPr>
    <w:rPr>
      <w:rFonts w:eastAsia="仿宋_GB2312" w:cs="宋体"/>
      <w:sz w:val="28"/>
      <w:szCs w:val="20"/>
    </w:rPr>
  </w:style>
  <w:style w:type="paragraph" w:customStyle="1" w:styleId="1452">
    <w:name w:val="_Style 44"/>
    <w:next w:val="1"/>
    <w:qFormat/>
    <w:uiPriority w:val="0"/>
    <w:pPr>
      <w:widowControl w:val="0"/>
      <w:jc w:val="both"/>
    </w:pPr>
    <w:rPr>
      <w:rFonts w:ascii="Calibri" w:hAnsi="Calibri" w:eastAsia="宋体" w:cs="Times New Roman"/>
      <w:sz w:val="24"/>
      <w:szCs w:val="24"/>
      <w:lang w:val="en-US" w:eastAsia="zh-CN" w:bidi="ar-SA"/>
    </w:rPr>
  </w:style>
  <w:style w:type="paragraph" w:customStyle="1" w:styleId="1453">
    <w:name w:val="样式 标题 3 + 非加粗 倾斜"/>
    <w:basedOn w:val="206"/>
    <w:next w:val="1454"/>
    <w:qFormat/>
    <w:uiPriority w:val="0"/>
    <w:pPr>
      <w:keepLines w:val="0"/>
      <w:tabs>
        <w:tab w:val="left" w:pos="0"/>
        <w:tab w:val="left" w:pos="1260"/>
      </w:tabs>
      <w:spacing w:before="0" w:after="0" w:line="240" w:lineRule="atLeast"/>
      <w:ind w:left="1740" w:hanging="420"/>
      <w:jc w:val="left"/>
    </w:pPr>
    <w:rPr>
      <w:rFonts w:ascii="仿宋" w:hAnsi="Calibri" w:eastAsia="仿宋"/>
      <w:bCs/>
      <w:iCs/>
      <w:sz w:val="28"/>
      <w:szCs w:val="36"/>
    </w:rPr>
  </w:style>
  <w:style w:type="paragraph" w:customStyle="1" w:styleId="1454">
    <w:name w:val="样式 标题 2 + 五号"/>
    <w:basedOn w:val="202"/>
    <w:next w:val="300"/>
    <w:qFormat/>
    <w:uiPriority w:val="0"/>
    <w:pPr>
      <w:keepLines w:val="0"/>
      <w:tabs>
        <w:tab w:val="left" w:pos="0"/>
        <w:tab w:val="left" w:pos="314"/>
      </w:tabs>
      <w:spacing w:before="60" w:after="60" w:line="360" w:lineRule="auto"/>
      <w:ind w:left="1035" w:hanging="720"/>
      <w:jc w:val="left"/>
    </w:pPr>
    <w:rPr>
      <w:rFonts w:ascii="楷体" w:hAnsi="Calibri" w:eastAsia="宋体"/>
      <w:bCs/>
      <w:color w:val="000000"/>
      <w:sz w:val="36"/>
    </w:rPr>
  </w:style>
  <w:style w:type="paragraph" w:customStyle="1" w:styleId="1455">
    <w:name w:val="版权申明"/>
    <w:basedOn w:val="1"/>
    <w:qFormat/>
    <w:uiPriority w:val="0"/>
    <w:pPr>
      <w:spacing w:line="360" w:lineRule="auto"/>
      <w:ind w:firstLine="720"/>
      <w:jc w:val="center"/>
    </w:pPr>
    <w:rPr>
      <w:rFonts w:ascii="宋体" w:hAnsi="宋体" w:cs="宋体"/>
      <w:b/>
      <w:bCs/>
      <w:color w:val="000000"/>
      <w:sz w:val="28"/>
      <w:szCs w:val="20"/>
      <w:lang w:eastAsia="ar-SA"/>
    </w:rPr>
  </w:style>
  <w:style w:type="paragraph" w:customStyle="1" w:styleId="1456">
    <w:name w:val="标题G"/>
    <w:basedOn w:val="228"/>
    <w:next w:val="1436"/>
    <w:qFormat/>
    <w:uiPriority w:val="0"/>
    <w:pPr>
      <w:spacing w:line="580" w:lineRule="exact"/>
      <w:ind w:left="0" w:firstLine="0"/>
      <w:jc w:val="center"/>
      <w:outlineLvl w:val="0"/>
    </w:pPr>
    <w:rPr>
      <w:rFonts w:ascii="宋体" w:hAnsi="宋体" w:eastAsia="方正小标宋_GBK"/>
      <w:color w:val="000000"/>
      <w:spacing w:val="-20"/>
      <w:sz w:val="44"/>
      <w:szCs w:val="52"/>
    </w:rPr>
  </w:style>
  <w:style w:type="paragraph" w:customStyle="1" w:styleId="1457">
    <w:name w:val="标题5"/>
    <w:basedOn w:val="1"/>
    <w:qFormat/>
    <w:uiPriority w:val="0"/>
    <w:pPr>
      <w:spacing w:line="500" w:lineRule="exact"/>
      <w:ind w:firstLine="560"/>
      <w:jc w:val="center"/>
    </w:pPr>
    <w:rPr>
      <w:rFonts w:ascii="宋体" w:hAnsi="宋体" w:eastAsia="仿宋"/>
      <w:b/>
      <w:sz w:val="52"/>
    </w:rPr>
  </w:style>
  <w:style w:type="paragraph" w:customStyle="1" w:styleId="1458">
    <w:name w:val="修订11"/>
    <w:qFormat/>
    <w:uiPriority w:val="99"/>
    <w:rPr>
      <w:rFonts w:ascii="宋体" w:hAnsi="Calibri" w:eastAsia="宋体" w:cs="Times New Roman"/>
      <w:sz w:val="21"/>
      <w:lang w:val="en-US" w:eastAsia="zh-CN" w:bidi="ar-SA"/>
    </w:rPr>
  </w:style>
  <w:style w:type="paragraph" w:customStyle="1" w:styleId="1459">
    <w:name w:val="正文文本3"/>
    <w:qFormat/>
    <w:uiPriority w:val="0"/>
    <w:pPr>
      <w:keepLines/>
      <w:spacing w:after="120" w:line="220" w:lineRule="atLeast"/>
    </w:pPr>
    <w:rPr>
      <w:rFonts w:ascii="宋体" w:hAnsi="Calibri" w:eastAsia="宋体" w:cs="Times New Roman"/>
      <w:lang w:val="en-GB" w:eastAsia="zh-CN" w:bidi="ar-SA"/>
    </w:rPr>
  </w:style>
  <w:style w:type="paragraph" w:customStyle="1" w:styleId="1460">
    <w:name w:val="目录标题2"/>
    <w:basedOn w:val="200"/>
    <w:next w:val="1"/>
    <w:unhideWhenUsed/>
    <w:qFormat/>
    <w:uiPriority w:val="39"/>
    <w:pPr>
      <w:keepLines/>
      <w:tabs>
        <w:tab w:val="left" w:pos="0"/>
      </w:tabs>
      <w:spacing w:before="480" w:line="276" w:lineRule="auto"/>
      <w:ind w:left="360" w:hanging="360"/>
      <w:outlineLvl w:val="9"/>
    </w:pPr>
    <w:rPr>
      <w:rFonts w:ascii="Calibri Light" w:hAnsi="Calibri Light" w:eastAsia="等线 Light" w:cs="等线 Light"/>
      <w:color w:val="2F5496"/>
      <w:szCs w:val="28"/>
    </w:rPr>
  </w:style>
  <w:style w:type="paragraph" w:customStyle="1" w:styleId="1461">
    <w:name w:val="Char1 Char Char Char1"/>
    <w:basedOn w:val="1"/>
    <w:qFormat/>
    <w:uiPriority w:val="0"/>
    <w:pPr>
      <w:spacing w:line="500" w:lineRule="exact"/>
      <w:ind w:firstLine="560"/>
    </w:pPr>
    <w:rPr>
      <w:rFonts w:ascii="Tahoma" w:hAnsi="Tahoma" w:eastAsia="仿宋"/>
      <w:sz w:val="28"/>
      <w:szCs w:val="20"/>
    </w:rPr>
  </w:style>
  <w:style w:type="paragraph" w:customStyle="1" w:styleId="1462">
    <w:name w:val="Bullet Text"/>
    <w:basedOn w:val="1"/>
    <w:next w:val="1426"/>
    <w:qFormat/>
    <w:uiPriority w:val="0"/>
    <w:pPr>
      <w:spacing w:after="60" w:line="500" w:lineRule="exact"/>
      <w:ind w:left="360" w:hanging="360"/>
      <w:jc w:val="left"/>
    </w:pPr>
    <w:rPr>
      <w:rFonts w:ascii="Arial" w:hAnsi="Arial" w:eastAsia="仿宋"/>
      <w:sz w:val="20"/>
      <w:szCs w:val="20"/>
    </w:rPr>
  </w:style>
  <w:style w:type="paragraph" w:customStyle="1" w:styleId="1463">
    <w:name w:val="_Style 47"/>
    <w:basedOn w:val="1"/>
    <w:next w:val="368"/>
    <w:qFormat/>
    <w:uiPriority w:val="0"/>
    <w:pPr>
      <w:spacing w:line="360" w:lineRule="auto"/>
      <w:ind w:firstLine="420"/>
      <w:jc w:val="left"/>
    </w:pPr>
    <w:rPr>
      <w:rFonts w:ascii="宋体"/>
      <w:szCs w:val="20"/>
    </w:rPr>
  </w:style>
  <w:style w:type="paragraph" w:customStyle="1" w:styleId="1464">
    <w:name w:val="_Style 196"/>
    <w:basedOn w:val="1"/>
    <w:next w:val="1"/>
    <w:qFormat/>
    <w:uiPriority w:val="0"/>
    <w:pPr>
      <w:spacing w:line="500" w:lineRule="exact"/>
      <w:ind w:firstLine="560"/>
    </w:pPr>
    <w:rPr>
      <w:rFonts w:ascii="Calibri Light" w:hAnsi="Calibri Light" w:eastAsia="仿宋"/>
      <w:color w:val="000000"/>
      <w:sz w:val="28"/>
      <w:szCs w:val="20"/>
    </w:rPr>
  </w:style>
  <w:style w:type="paragraph" w:customStyle="1" w:styleId="1465">
    <w:name w:val="Contents 10"/>
    <w:basedOn w:val="1466"/>
    <w:qFormat/>
    <w:uiPriority w:val="0"/>
    <w:pPr>
      <w:tabs>
        <w:tab w:val="right" w:leader="dot" w:pos="24919"/>
      </w:tabs>
      <w:ind w:left="2547"/>
    </w:pPr>
  </w:style>
  <w:style w:type="paragraph" w:customStyle="1" w:styleId="1466">
    <w:name w:val="Index"/>
    <w:basedOn w:val="1"/>
    <w:qFormat/>
    <w:uiPriority w:val="0"/>
    <w:pPr>
      <w:suppressLineNumbers/>
      <w:spacing w:line="360" w:lineRule="auto"/>
      <w:ind w:firstLine="720"/>
    </w:pPr>
    <w:rPr>
      <w:rFonts w:ascii="仿宋" w:hAnsi="仿宋"/>
      <w:sz w:val="28"/>
      <w:lang w:eastAsia="ar-SA"/>
    </w:rPr>
  </w:style>
  <w:style w:type="paragraph" w:customStyle="1" w:styleId="1467">
    <w:name w:val="subhead1"/>
    <w:basedOn w:val="1"/>
    <w:next w:val="263"/>
    <w:qFormat/>
    <w:uiPriority w:val="0"/>
    <w:pPr>
      <w:spacing w:line="500" w:lineRule="exact"/>
      <w:ind w:firstLine="560"/>
      <w:jc w:val="left"/>
    </w:pPr>
    <w:rPr>
      <w:rFonts w:ascii="Arial" w:hAnsi="Arial" w:eastAsia="仿宋"/>
      <w:b/>
      <w:sz w:val="28"/>
      <w:szCs w:val="20"/>
    </w:rPr>
  </w:style>
  <w:style w:type="paragraph" w:customStyle="1" w:styleId="1468">
    <w:name w:val="txt"/>
    <w:basedOn w:val="1"/>
    <w:next w:val="971"/>
    <w:qFormat/>
    <w:uiPriority w:val="0"/>
    <w:pPr>
      <w:widowControl/>
      <w:spacing w:before="100" w:beforeAutospacing="1" w:after="100" w:afterAutospacing="1" w:line="390" w:lineRule="atLeast"/>
      <w:ind w:firstLine="560"/>
      <w:jc w:val="left"/>
    </w:pPr>
    <w:rPr>
      <w:rFonts w:ascii="宋体" w:hAnsi="宋体" w:eastAsia="仿宋" w:cs="宋体"/>
      <w:color w:val="000000"/>
      <w:sz w:val="28"/>
      <w:szCs w:val="21"/>
    </w:rPr>
  </w:style>
  <w:style w:type="paragraph" w:customStyle="1" w:styleId="1469">
    <w:name w:val="目录标题1"/>
    <w:basedOn w:val="200"/>
    <w:next w:val="1"/>
    <w:qFormat/>
    <w:uiPriority w:val="39"/>
    <w:pPr>
      <w:keepLines/>
      <w:tabs>
        <w:tab w:val="left" w:pos="0"/>
        <w:tab w:val="left" w:pos="432"/>
      </w:tabs>
      <w:spacing w:before="480" w:line="276" w:lineRule="auto"/>
      <w:ind w:left="360" w:hanging="360"/>
      <w:outlineLvl w:val="9"/>
    </w:pPr>
    <w:rPr>
      <w:rFonts w:ascii="Cambria" w:hAnsi="Cambria" w:eastAsia="宋体"/>
      <w:color w:val="365F91"/>
      <w:szCs w:val="28"/>
    </w:rPr>
  </w:style>
  <w:style w:type="paragraph" w:customStyle="1" w:styleId="1470">
    <w:name w:val="Header Odd"/>
    <w:basedOn w:val="1471"/>
    <w:next w:val="1025"/>
    <w:qFormat/>
    <w:uiPriority w:val="0"/>
    <w:pPr>
      <w:widowControl/>
      <w:pBdr>
        <w:bottom w:val="single" w:color="4F81BD" w:sz="4" w:space="1"/>
      </w:pBdr>
      <w:jc w:val="right"/>
    </w:pPr>
    <w:rPr>
      <w:b/>
      <w:bCs/>
      <w:color w:val="1F497D"/>
      <w:sz w:val="20"/>
      <w:szCs w:val="23"/>
    </w:rPr>
  </w:style>
  <w:style w:type="paragraph" w:customStyle="1" w:styleId="1471">
    <w:name w:val="中等深浅网格 2 - 着色 11"/>
    <w:qFormat/>
    <w:uiPriority w:val="99"/>
    <w:pPr>
      <w:widowControl w:val="0"/>
    </w:pPr>
    <w:rPr>
      <w:rFonts w:ascii="宋体" w:hAnsi="Calibri" w:eastAsia="宋体" w:cs="Times New Roman"/>
      <w:sz w:val="21"/>
      <w:lang w:val="en-US" w:eastAsia="zh-CN" w:bidi="ar-SA"/>
    </w:rPr>
  </w:style>
  <w:style w:type="paragraph" w:customStyle="1" w:styleId="1472">
    <w:name w:val="样式 两端对齐"/>
    <w:basedOn w:val="1"/>
    <w:next w:val="1432"/>
    <w:qFormat/>
    <w:uiPriority w:val="0"/>
    <w:pPr>
      <w:spacing w:line="360" w:lineRule="auto"/>
      <w:ind w:firstLine="560"/>
    </w:pPr>
    <w:rPr>
      <w:rFonts w:ascii="宋体" w:eastAsia="仿宋" w:cs="宋体"/>
      <w:sz w:val="28"/>
      <w:szCs w:val="20"/>
    </w:rPr>
  </w:style>
  <w:style w:type="paragraph" w:customStyle="1" w:styleId="1473">
    <w:name w:val="样式 行距: 固定值 20 磅 首行缩进:  2 字符"/>
    <w:basedOn w:val="1"/>
    <w:next w:val="1407"/>
    <w:qFormat/>
    <w:uiPriority w:val="0"/>
    <w:pPr>
      <w:spacing w:line="360" w:lineRule="auto"/>
      <w:ind w:firstLine="200"/>
      <w:jc w:val="left"/>
    </w:pPr>
    <w:rPr>
      <w:rFonts w:ascii="宋体" w:eastAsia="仿宋" w:cs="宋体"/>
      <w:sz w:val="28"/>
      <w:szCs w:val="20"/>
    </w:rPr>
  </w:style>
  <w:style w:type="paragraph" w:customStyle="1" w:styleId="1474">
    <w:name w:val="_Style 3"/>
    <w:basedOn w:val="1"/>
    <w:qFormat/>
    <w:uiPriority w:val="34"/>
    <w:pPr>
      <w:widowControl/>
      <w:spacing w:before="100" w:beforeAutospacing="1" w:after="100" w:afterAutospacing="1"/>
      <w:jc w:val="left"/>
    </w:pPr>
    <w:rPr>
      <w:rFonts w:ascii="宋体" w:hAnsi="宋体" w:cs="宋体"/>
      <w:sz w:val="28"/>
    </w:rPr>
  </w:style>
  <w:style w:type="paragraph" w:customStyle="1" w:styleId="1475">
    <w:name w:val="文头"/>
    <w:basedOn w:val="1"/>
    <w:qFormat/>
    <w:uiPriority w:val="0"/>
    <w:pPr>
      <w:spacing w:before="120" w:line="227" w:lineRule="atLeast"/>
      <w:ind w:left="227" w:right="227"/>
    </w:pPr>
    <w:rPr>
      <w:rFonts w:eastAsia="方正小标宋_GBK" w:cs="Calibri"/>
      <w:color w:val="FF0000"/>
      <w:spacing w:val="36"/>
      <w:sz w:val="90"/>
      <w:szCs w:val="20"/>
    </w:rPr>
  </w:style>
  <w:style w:type="paragraph" w:customStyle="1" w:styleId="1476">
    <w:name w:val="日期 Char2"/>
    <w:basedOn w:val="1"/>
    <w:qFormat/>
    <w:uiPriority w:val="0"/>
    <w:pPr>
      <w:spacing w:line="500" w:lineRule="exact"/>
      <w:ind w:firstLine="560"/>
    </w:pPr>
    <w:rPr>
      <w:rFonts w:eastAsia="仿宋"/>
      <w:sz w:val="28"/>
      <w:szCs w:val="20"/>
    </w:rPr>
  </w:style>
  <w:style w:type="paragraph" w:customStyle="1" w:styleId="1477">
    <w:name w:val="样式 正文内容 + 左侧:  0.74 厘米 首行缩进:  0.85 厘米"/>
    <w:basedOn w:val="1"/>
    <w:qFormat/>
    <w:uiPriority w:val="0"/>
    <w:pPr>
      <w:spacing w:line="380" w:lineRule="exact"/>
      <w:ind w:left="420" w:firstLine="480"/>
    </w:pPr>
    <w:rPr>
      <w:rFonts w:ascii="宋体" w:hAnsi="宋体" w:cs="宋体"/>
      <w:sz w:val="28"/>
      <w:szCs w:val="20"/>
      <w:lang w:eastAsia="ar-SA"/>
    </w:rPr>
  </w:style>
  <w:style w:type="paragraph" w:customStyle="1" w:styleId="1478">
    <w:name w:val="标题11"/>
    <w:basedOn w:val="1"/>
    <w:next w:val="1"/>
    <w:qFormat/>
    <w:uiPriority w:val="0"/>
    <w:pPr>
      <w:tabs>
        <w:tab w:val="left" w:pos="9193"/>
        <w:tab w:val="left" w:pos="9827"/>
      </w:tabs>
      <w:spacing w:line="700" w:lineRule="atLeast"/>
      <w:ind w:firstLine="560"/>
      <w:jc w:val="center"/>
    </w:pPr>
    <w:rPr>
      <w:rFonts w:ascii="方正小标宋_GBK" w:eastAsia="方正小标宋_GBK"/>
      <w:sz w:val="44"/>
      <w:szCs w:val="20"/>
    </w:rPr>
  </w:style>
  <w:style w:type="paragraph" w:customStyle="1" w:styleId="1479">
    <w:name w:val="正文3"/>
    <w:basedOn w:val="1"/>
    <w:qFormat/>
    <w:uiPriority w:val="0"/>
    <w:pPr>
      <w:widowControl/>
      <w:spacing w:line="500" w:lineRule="exact"/>
      <w:ind w:firstLine="560"/>
    </w:pPr>
    <w:rPr>
      <w:rFonts w:eastAsia="仿宋"/>
      <w:sz w:val="28"/>
      <w:szCs w:val="20"/>
    </w:rPr>
  </w:style>
  <w:style w:type="paragraph" w:customStyle="1" w:styleId="1480">
    <w:name w:val="正文文本 Char2"/>
    <w:basedOn w:val="1"/>
    <w:qFormat/>
    <w:uiPriority w:val="0"/>
    <w:pPr>
      <w:spacing w:line="500" w:lineRule="exact"/>
      <w:ind w:firstLine="560"/>
    </w:pPr>
    <w:rPr>
      <w:rFonts w:eastAsia="仿宋"/>
      <w:sz w:val="28"/>
      <w:szCs w:val="20"/>
    </w:rPr>
  </w:style>
  <w:style w:type="paragraph" w:customStyle="1" w:styleId="1481">
    <w:name w:val="彩色底纹 - 强调文字颜色 11"/>
    <w:semiHidden/>
    <w:qFormat/>
    <w:uiPriority w:val="99"/>
    <w:rPr>
      <w:rFonts w:ascii="Calibri" w:hAnsi="Calibri" w:eastAsia="宋体" w:cs="Times New Roman"/>
      <w:sz w:val="21"/>
      <w:szCs w:val="22"/>
      <w:lang w:val="en-US" w:eastAsia="zh-CN" w:bidi="ar-SA"/>
    </w:rPr>
  </w:style>
  <w:style w:type="paragraph" w:customStyle="1" w:styleId="1482">
    <w:name w:val="样式 InfoBlue + 倾斜"/>
    <w:basedOn w:val="1453"/>
    <w:next w:val="1417"/>
    <w:qFormat/>
    <w:uiPriority w:val="0"/>
    <w:pPr>
      <w:keepNext w:val="0"/>
      <w:tabs>
        <w:tab w:val="clear" w:pos="1260"/>
      </w:tabs>
      <w:spacing w:after="120" w:line="360" w:lineRule="auto"/>
      <w:ind w:left="720" w:firstLine="560"/>
      <w:outlineLvl w:val="9"/>
    </w:pPr>
    <w:rPr>
      <w:bCs w:val="0"/>
      <w:iCs w:val="0"/>
      <w:color w:val="0000FF"/>
      <w:sz w:val="21"/>
      <w:szCs w:val="20"/>
    </w:rPr>
  </w:style>
  <w:style w:type="paragraph" w:customStyle="1" w:styleId="1483">
    <w:name w:val="Char Char Char Char Char Char Char Char Char Char Char Char Char2"/>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84">
    <w:name w:val="样式 正文文本缩进 + 左侧:  2 字符 行距: 固定值 20 磅 首行缩进:  2 字符"/>
    <w:basedOn w:val="235"/>
    <w:next w:val="869"/>
    <w:qFormat/>
    <w:uiPriority w:val="0"/>
    <w:pPr>
      <w:spacing w:line="360" w:lineRule="auto"/>
      <w:ind w:left="400" w:firstLine="400"/>
      <w:jc w:val="both"/>
    </w:pPr>
    <w:rPr>
      <w:rFonts w:cs="宋体"/>
      <w:szCs w:val="20"/>
    </w:rPr>
  </w:style>
  <w:style w:type="paragraph" w:customStyle="1" w:styleId="1485">
    <w:name w:val="正文文本4"/>
    <w:basedOn w:val="1"/>
    <w:qFormat/>
    <w:uiPriority w:val="99"/>
    <w:pPr>
      <w:widowControl/>
      <w:spacing w:after="120" w:line="288" w:lineRule="auto"/>
      <w:jc w:val="left"/>
    </w:pPr>
    <w:rPr>
      <w:rFonts w:ascii="Verdana" w:hAnsi="Verdana"/>
      <w:sz w:val="24"/>
      <w:szCs w:val="20"/>
      <w:lang w:eastAsia="en-US"/>
    </w:rPr>
  </w:style>
  <w:style w:type="paragraph" w:customStyle="1" w:styleId="1486">
    <w:name w:val="Char1 Char Char Char3"/>
    <w:basedOn w:val="1"/>
    <w:qFormat/>
    <w:uiPriority w:val="0"/>
    <w:rPr>
      <w:rFonts w:ascii="Tahoma" w:hAnsi="Tahoma"/>
      <w:sz w:val="24"/>
      <w:szCs w:val="20"/>
    </w:rPr>
  </w:style>
  <w:style w:type="paragraph" w:customStyle="1" w:styleId="1487">
    <w:name w:val="Char Char112"/>
    <w:basedOn w:val="1"/>
    <w:semiHidden/>
    <w:qFormat/>
    <w:uiPriority w:val="0"/>
    <w:pPr>
      <w:widowControl/>
      <w:spacing w:after="160" w:line="240" w:lineRule="exact"/>
      <w:jc w:val="left"/>
    </w:pPr>
    <w:rPr>
      <w:rFonts w:ascii="Verdana" w:hAnsi="Verdana"/>
      <w:sz w:val="20"/>
      <w:lang w:eastAsia="en-US"/>
    </w:rPr>
  </w:style>
  <w:style w:type="paragraph" w:customStyle="1" w:styleId="1488">
    <w:name w:val="TOC Heading1"/>
    <w:basedOn w:val="200"/>
    <w:next w:val="1"/>
    <w:qFormat/>
    <w:uiPriority w:val="39"/>
    <w:pPr>
      <w:keepLines/>
      <w:tabs>
        <w:tab w:val="left" w:pos="0"/>
      </w:tabs>
      <w:spacing w:before="340" w:after="330" w:line="578" w:lineRule="atLeast"/>
      <w:ind w:firstLine="560"/>
      <w:outlineLvl w:val="9"/>
    </w:pPr>
    <w:rPr>
      <w:rFonts w:ascii="黑体" w:hAnsi="Calibri" w:eastAsia="方正仿宋_GBK"/>
      <w:bCs/>
      <w:sz w:val="44"/>
      <w:szCs w:val="44"/>
    </w:rPr>
  </w:style>
  <w:style w:type="paragraph" w:customStyle="1" w:styleId="1489">
    <w:name w:val="一级项目符号"/>
    <w:basedOn w:val="1"/>
    <w:next w:val="1"/>
    <w:qFormat/>
    <w:uiPriority w:val="99"/>
    <w:pPr>
      <w:widowControl/>
      <w:tabs>
        <w:tab w:val="left" w:pos="0"/>
        <w:tab w:val="left" w:pos="1140"/>
      </w:tabs>
      <w:spacing w:before="60" w:after="60"/>
      <w:ind w:left="720"/>
    </w:pPr>
    <w:rPr>
      <w:rFonts w:ascii="微软雅黑" w:hAnsi="微软雅黑" w:eastAsia="微软雅黑"/>
      <w:sz w:val="18"/>
      <w:szCs w:val="20"/>
    </w:rPr>
  </w:style>
  <w:style w:type="paragraph" w:customStyle="1" w:styleId="1490">
    <w:name w:val="正文排列"/>
    <w:basedOn w:val="1"/>
    <w:qFormat/>
    <w:uiPriority w:val="0"/>
    <w:pPr>
      <w:tabs>
        <w:tab w:val="left" w:pos="902"/>
      </w:tabs>
      <w:ind w:left="902"/>
    </w:pPr>
    <w:rPr>
      <w:rFonts w:eastAsia="仿宋"/>
      <w:sz w:val="28"/>
      <w:szCs w:val="20"/>
    </w:rPr>
  </w:style>
  <w:style w:type="paragraph" w:customStyle="1" w:styleId="1491">
    <w:name w:val="H2 List Num cont"/>
    <w:basedOn w:val="1"/>
    <w:qFormat/>
    <w:uiPriority w:val="0"/>
    <w:pPr>
      <w:widowControl/>
      <w:tabs>
        <w:tab w:val="left" w:pos="900"/>
        <w:tab w:val="left" w:pos="1170"/>
        <w:tab w:val="left" w:pos="1701"/>
      </w:tabs>
      <w:spacing w:after="60"/>
      <w:ind w:left="1701" w:hanging="567"/>
      <w:jc w:val="left"/>
    </w:pPr>
    <w:rPr>
      <w:rFonts w:ascii="Times" w:hAnsi="Times" w:eastAsia="仿宋_GB2312"/>
      <w:bCs/>
      <w:iCs/>
      <w:sz w:val="22"/>
      <w:szCs w:val="20"/>
      <w:lang w:eastAsia="en-US"/>
    </w:rPr>
  </w:style>
  <w:style w:type="paragraph" w:customStyle="1" w:styleId="1492">
    <w:name w:val="number0"/>
    <w:basedOn w:val="243"/>
    <w:qFormat/>
    <w:uiPriority w:val="0"/>
    <w:pPr>
      <w:widowControl/>
      <w:tabs>
        <w:tab w:val="left" w:pos="1320"/>
        <w:tab w:val="left" w:pos="1440"/>
      </w:tabs>
      <w:spacing w:line="360" w:lineRule="auto"/>
      <w:ind w:left="1259"/>
    </w:pPr>
    <w:rPr>
      <w:sz w:val="24"/>
    </w:rPr>
  </w:style>
  <w:style w:type="paragraph" w:customStyle="1" w:styleId="1493">
    <w:name w:val="文件标题1.1"/>
    <w:basedOn w:val="1"/>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494">
    <w:name w:val="编号1-2"/>
    <w:basedOn w:val="1"/>
    <w:next w:val="1"/>
    <w:qFormat/>
    <w:uiPriority w:val="0"/>
    <w:pPr>
      <w:widowControl/>
      <w:tabs>
        <w:tab w:val="left" w:pos="720"/>
        <w:tab w:val="left" w:pos="1260"/>
      </w:tabs>
      <w:spacing w:line="360" w:lineRule="auto"/>
      <w:ind w:left="1260" w:firstLine="200"/>
    </w:pPr>
    <w:rPr>
      <w:rFonts w:eastAsia="仿宋_GB2312" w:cs="宋体"/>
      <w:sz w:val="28"/>
      <w:szCs w:val="20"/>
    </w:rPr>
  </w:style>
  <w:style w:type="paragraph" w:customStyle="1" w:styleId="1495">
    <w:name w:val="章正文 Char"/>
    <w:basedOn w:val="1"/>
    <w:qFormat/>
    <w:uiPriority w:val="0"/>
    <w:pPr>
      <w:widowControl/>
      <w:tabs>
        <w:tab w:val="left" w:pos="780"/>
      </w:tabs>
      <w:spacing w:line="380" w:lineRule="exact"/>
      <w:ind w:firstLine="504"/>
    </w:pPr>
    <w:rPr>
      <w:rFonts w:ascii="宋体" w:hAnsi="宋体" w:eastAsia="仿宋_GB2312"/>
      <w:spacing w:val="6"/>
      <w:sz w:val="24"/>
    </w:rPr>
  </w:style>
  <w:style w:type="paragraph" w:customStyle="1" w:styleId="1496">
    <w:name w:val="ordinary-output"/>
    <w:basedOn w:val="1"/>
    <w:qFormat/>
    <w:uiPriority w:val="0"/>
    <w:pPr>
      <w:widowControl/>
      <w:spacing w:before="100" w:beforeAutospacing="1" w:after="100" w:afterAutospacing="1" w:line="330" w:lineRule="atLeast"/>
      <w:jc w:val="left"/>
    </w:pPr>
    <w:rPr>
      <w:rFonts w:ascii="宋体" w:hAnsi="宋体" w:cs="宋体"/>
      <w:color w:val="333333"/>
      <w:sz w:val="24"/>
    </w:rPr>
  </w:style>
  <w:style w:type="paragraph" w:customStyle="1" w:styleId="1497">
    <w:name w:val="正文 New New"/>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498">
    <w:name w:val="Char Char11"/>
    <w:basedOn w:val="1"/>
    <w:semiHidden/>
    <w:qFormat/>
    <w:uiPriority w:val="0"/>
    <w:pPr>
      <w:widowControl/>
      <w:spacing w:after="160" w:line="240" w:lineRule="exact"/>
      <w:jc w:val="left"/>
    </w:pPr>
    <w:rPr>
      <w:rFonts w:ascii="Verdana" w:hAnsi="Verdana"/>
      <w:sz w:val="20"/>
      <w:lang w:eastAsia="en-US"/>
    </w:rPr>
  </w:style>
  <w:style w:type="paragraph" w:customStyle="1" w:styleId="1499">
    <w:name w:val="列项——（一级）"/>
    <w:qFormat/>
    <w:uiPriority w:val="0"/>
    <w:pPr>
      <w:widowControl w:val="0"/>
      <w:ind w:left="833" w:hanging="408"/>
      <w:jc w:val="both"/>
    </w:pPr>
    <w:rPr>
      <w:rFonts w:ascii="宋体" w:hAnsi="Times New Roman" w:eastAsia="宋体" w:cs="Times New Roman"/>
      <w:sz w:val="21"/>
      <w:lang w:val="en-US" w:eastAsia="zh-CN" w:bidi="ar-SA"/>
    </w:rPr>
  </w:style>
  <w:style w:type="paragraph" w:customStyle="1" w:styleId="1500">
    <w:name w:val="列项●（二级）"/>
    <w:qFormat/>
    <w:uiPriority w:val="0"/>
    <w:pPr>
      <w:tabs>
        <w:tab w:val="left" w:pos="760"/>
        <w:tab w:val="left" w:pos="840"/>
      </w:tabs>
      <w:ind w:left="1264" w:hanging="413"/>
      <w:jc w:val="both"/>
    </w:pPr>
    <w:rPr>
      <w:rFonts w:ascii="宋体" w:hAnsi="Times New Roman" w:eastAsia="宋体" w:cs="Times New Roman"/>
      <w:sz w:val="21"/>
      <w:lang w:val="en-US" w:eastAsia="zh-CN" w:bidi="ar-SA"/>
    </w:rPr>
  </w:style>
  <w:style w:type="paragraph" w:customStyle="1" w:styleId="1501">
    <w:name w:val="示例内容"/>
    <w:qFormat/>
    <w:uiPriority w:val="0"/>
    <w:pPr>
      <w:tabs>
        <w:tab w:val="left" w:pos="1620"/>
      </w:tabs>
      <w:ind w:firstLine="200"/>
    </w:pPr>
    <w:rPr>
      <w:rFonts w:ascii="宋体" w:hAnsi="Times New Roman" w:eastAsia="宋体" w:cs="Times New Roman"/>
      <w:sz w:val="18"/>
      <w:szCs w:val="18"/>
      <w:lang w:val="en-US" w:eastAsia="zh-CN" w:bidi="ar-SA"/>
    </w:rPr>
  </w:style>
  <w:style w:type="paragraph" w:customStyle="1" w:styleId="1502">
    <w:name w:val="列项◆（三级）"/>
    <w:basedOn w:val="1"/>
    <w:qFormat/>
    <w:uiPriority w:val="0"/>
    <w:pPr>
      <w:ind w:left="1680" w:hanging="420"/>
    </w:pPr>
    <w:rPr>
      <w:rFonts w:ascii="宋体"/>
      <w:szCs w:val="21"/>
    </w:rPr>
  </w:style>
  <w:style w:type="paragraph" w:customStyle="1" w:styleId="1503">
    <w:name w:val="编号列项（三级）"/>
    <w:qFormat/>
    <w:uiPriority w:val="0"/>
    <w:pPr>
      <w:ind w:left="1260" w:hanging="420"/>
    </w:pPr>
    <w:rPr>
      <w:rFonts w:ascii="宋体" w:hAnsi="Times New Roman" w:eastAsia="宋体" w:cs="Times New Roman"/>
      <w:sz w:val="21"/>
      <w:lang w:val="en-US" w:eastAsia="zh-CN" w:bidi="ar-SA"/>
    </w:rPr>
  </w:style>
  <w:style w:type="paragraph" w:customStyle="1" w:styleId="1504">
    <w:name w:val="示例×："/>
    <w:basedOn w:val="424"/>
    <w:qFormat/>
    <w:uiPriority w:val="0"/>
    <w:pPr>
      <w:tabs>
        <w:tab w:val="left" w:pos="360"/>
        <w:tab w:val="clear" w:pos="780"/>
      </w:tabs>
      <w:ind w:left="842" w:hanging="420"/>
      <w:outlineLvl w:val="9"/>
    </w:pPr>
    <w:rPr>
      <w:rFonts w:ascii="宋体" w:eastAsia="宋体"/>
      <w:sz w:val="18"/>
      <w:szCs w:val="18"/>
    </w:rPr>
  </w:style>
  <w:style w:type="paragraph" w:customStyle="1" w:styleId="1505">
    <w:name w:val="二级无"/>
    <w:basedOn w:val="422"/>
    <w:qFormat/>
    <w:uiPriority w:val="0"/>
    <w:pPr>
      <w:ind w:left="0" w:firstLine="0"/>
      <w:jc w:val="left"/>
    </w:pPr>
    <w:rPr>
      <w:rFonts w:ascii="宋体" w:eastAsia="宋体"/>
      <w:szCs w:val="21"/>
      <w:lang w:val="zh-CN"/>
    </w:rPr>
  </w:style>
  <w:style w:type="paragraph" w:customStyle="1" w:styleId="1506">
    <w:name w:val="注：（正文）"/>
    <w:basedOn w:val="752"/>
    <w:next w:val="399"/>
    <w:qFormat/>
    <w:uiPriority w:val="0"/>
    <w:pPr>
      <w:tabs>
        <w:tab w:val="left" w:pos="425"/>
        <w:tab w:val="clear" w:pos="1200"/>
      </w:tabs>
      <w:ind w:left="425" w:hanging="425"/>
    </w:pPr>
    <w:rPr>
      <w:szCs w:val="18"/>
    </w:rPr>
  </w:style>
  <w:style w:type="paragraph" w:customStyle="1" w:styleId="1507">
    <w:name w:val="注×：（正文）"/>
    <w:qFormat/>
    <w:uiPriority w:val="0"/>
    <w:pPr>
      <w:tabs>
        <w:tab w:val="left" w:pos="0"/>
      </w:tabs>
      <w:ind w:left="360" w:hanging="360"/>
      <w:jc w:val="both"/>
    </w:pPr>
    <w:rPr>
      <w:rFonts w:ascii="宋体" w:hAnsi="Times New Roman" w:eastAsia="宋体" w:cs="Times New Roman"/>
      <w:sz w:val="18"/>
      <w:szCs w:val="18"/>
      <w:lang w:val="en-US" w:eastAsia="zh-CN" w:bidi="ar-SA"/>
    </w:rPr>
  </w:style>
  <w:style w:type="paragraph" w:customStyle="1" w:styleId="1508">
    <w:name w:val="参考文献"/>
    <w:basedOn w:val="1"/>
    <w:next w:val="399"/>
    <w:qFormat/>
    <w:uiPriority w:val="0"/>
    <w:pPr>
      <w:keepNext/>
      <w:pageBreakBefore/>
      <w:widowControl/>
      <w:shd w:val="clear" w:color="FFFFFF" w:fill="FFFFFF"/>
      <w:spacing w:before="640" w:after="200"/>
      <w:jc w:val="center"/>
      <w:outlineLvl w:val="0"/>
    </w:pPr>
    <w:rPr>
      <w:rFonts w:ascii="黑体" w:eastAsia="黑体"/>
      <w:szCs w:val="20"/>
    </w:rPr>
  </w:style>
  <w:style w:type="paragraph" w:customStyle="1" w:styleId="1509">
    <w:name w:val="附录标题"/>
    <w:basedOn w:val="399"/>
    <w:next w:val="399"/>
    <w:qFormat/>
    <w:uiPriority w:val="0"/>
    <w:pPr>
      <w:tabs>
        <w:tab w:val="center" w:pos="4201"/>
        <w:tab w:val="right" w:leader="dot" w:pos="9298"/>
      </w:tabs>
      <w:ind w:firstLine="0"/>
      <w:jc w:val="center"/>
    </w:pPr>
    <w:rPr>
      <w:rFonts w:ascii="黑体" w:eastAsia="黑体"/>
    </w:rPr>
  </w:style>
  <w:style w:type="paragraph" w:customStyle="1" w:styleId="1510">
    <w:name w:val="附录表标号"/>
    <w:basedOn w:val="1"/>
    <w:next w:val="399"/>
    <w:qFormat/>
    <w:uiPriority w:val="0"/>
    <w:pPr>
      <w:spacing w:line="14" w:lineRule="exact"/>
      <w:ind w:left="811" w:hanging="448"/>
      <w:jc w:val="center"/>
      <w:outlineLvl w:val="0"/>
    </w:pPr>
    <w:rPr>
      <w:color w:val="FFFFFF"/>
    </w:rPr>
  </w:style>
  <w:style w:type="paragraph" w:customStyle="1" w:styleId="1511">
    <w:name w:val="附录二级无"/>
    <w:basedOn w:val="1012"/>
    <w:qFormat/>
    <w:uiPriority w:val="0"/>
    <w:pPr>
      <w:tabs>
        <w:tab w:val="left" w:pos="360"/>
      </w:tabs>
      <w:ind w:left="851" w:hanging="851"/>
    </w:pPr>
    <w:rPr>
      <w:rFonts w:ascii="宋体" w:eastAsia="宋体"/>
      <w:szCs w:val="21"/>
    </w:rPr>
  </w:style>
  <w:style w:type="paragraph" w:customStyle="1" w:styleId="1512">
    <w:name w:val="附录公式编号制表符"/>
    <w:basedOn w:val="1"/>
    <w:next w:val="399"/>
    <w:qFormat/>
    <w:uiPriority w:val="0"/>
    <w:pPr>
      <w:widowControl/>
      <w:tabs>
        <w:tab w:val="center" w:pos="4201"/>
        <w:tab w:val="right" w:leader="dot" w:pos="9298"/>
      </w:tabs>
    </w:pPr>
    <w:rPr>
      <w:rFonts w:ascii="宋体"/>
      <w:szCs w:val="20"/>
    </w:rPr>
  </w:style>
  <w:style w:type="paragraph" w:customStyle="1" w:styleId="1513">
    <w:name w:val="附录三级无"/>
    <w:basedOn w:val="1018"/>
    <w:qFormat/>
    <w:uiPriority w:val="0"/>
    <w:pPr>
      <w:tabs>
        <w:tab w:val="left" w:pos="360"/>
      </w:tabs>
      <w:ind w:left="992" w:hanging="992"/>
    </w:pPr>
    <w:rPr>
      <w:rFonts w:ascii="宋体" w:eastAsia="宋体"/>
      <w:szCs w:val="21"/>
    </w:rPr>
  </w:style>
  <w:style w:type="paragraph" w:customStyle="1" w:styleId="1514">
    <w:name w:val="附录数字编号列项（二级）"/>
    <w:qFormat/>
    <w:uiPriority w:val="0"/>
    <w:pPr>
      <w:ind w:left="1320" w:hanging="420"/>
    </w:pPr>
    <w:rPr>
      <w:rFonts w:ascii="宋体" w:hAnsi="Times New Roman" w:eastAsia="宋体" w:cs="Times New Roman"/>
      <w:sz w:val="21"/>
      <w:lang w:val="en-US" w:eastAsia="zh-CN" w:bidi="ar-SA"/>
    </w:rPr>
  </w:style>
  <w:style w:type="paragraph" w:customStyle="1" w:styleId="1515">
    <w:name w:val="附录四级无"/>
    <w:basedOn w:val="1025"/>
    <w:qFormat/>
    <w:uiPriority w:val="0"/>
    <w:pPr>
      <w:tabs>
        <w:tab w:val="left" w:pos="360"/>
      </w:tabs>
      <w:ind w:left="1134" w:hanging="1134"/>
    </w:pPr>
    <w:rPr>
      <w:rFonts w:ascii="宋体" w:eastAsia="宋体"/>
      <w:szCs w:val="21"/>
    </w:rPr>
  </w:style>
  <w:style w:type="paragraph" w:customStyle="1" w:styleId="1516">
    <w:name w:val="附录图标号"/>
    <w:basedOn w:val="1"/>
    <w:qFormat/>
    <w:uiPriority w:val="0"/>
    <w:pPr>
      <w:keepNext/>
      <w:pageBreakBefore/>
      <w:widowControl/>
      <w:spacing w:line="14" w:lineRule="exact"/>
      <w:ind w:firstLine="363"/>
      <w:jc w:val="center"/>
      <w:outlineLvl w:val="0"/>
    </w:pPr>
    <w:rPr>
      <w:color w:val="FFFFFF"/>
    </w:rPr>
  </w:style>
  <w:style w:type="paragraph" w:customStyle="1" w:styleId="1517">
    <w:name w:val="附录五级无"/>
    <w:basedOn w:val="1037"/>
    <w:qFormat/>
    <w:uiPriority w:val="0"/>
    <w:pPr>
      <w:tabs>
        <w:tab w:val="left" w:pos="360"/>
        <w:tab w:val="clear" w:pos="780"/>
      </w:tabs>
      <w:ind w:left="980"/>
    </w:pPr>
    <w:rPr>
      <w:rFonts w:ascii="宋体" w:eastAsia="宋体"/>
      <w:szCs w:val="21"/>
    </w:rPr>
  </w:style>
  <w:style w:type="paragraph" w:customStyle="1" w:styleId="1518">
    <w:name w:val="附录一级无"/>
    <w:basedOn w:val="862"/>
    <w:qFormat/>
    <w:uiPriority w:val="0"/>
    <w:pPr>
      <w:tabs>
        <w:tab w:val="left" w:pos="360"/>
      </w:tabs>
      <w:ind w:left="1779" w:hanging="1069"/>
    </w:pPr>
    <w:rPr>
      <w:rFonts w:ascii="宋体" w:eastAsia="宋体"/>
      <w:szCs w:val="21"/>
    </w:rPr>
  </w:style>
  <w:style w:type="paragraph" w:customStyle="1" w:styleId="1519">
    <w:name w:val="附录字母编号列项（一级）"/>
    <w:qFormat/>
    <w:uiPriority w:val="0"/>
    <w:pPr>
      <w:ind w:left="900" w:hanging="420"/>
    </w:pPr>
    <w:rPr>
      <w:rFonts w:ascii="宋体" w:hAnsi="Times New Roman" w:eastAsia="宋体" w:cs="Times New Roman"/>
      <w:sz w:val="21"/>
      <w:lang w:val="en-US" w:eastAsia="zh-CN" w:bidi="ar-SA"/>
    </w:rPr>
  </w:style>
  <w:style w:type="paragraph" w:customStyle="1" w:styleId="1520">
    <w:name w:val="列项说明"/>
    <w:basedOn w:val="1"/>
    <w:qFormat/>
    <w:uiPriority w:val="0"/>
    <w:pPr>
      <w:spacing w:line="320" w:lineRule="exact"/>
      <w:ind w:left="400" w:hanging="200"/>
      <w:jc w:val="left"/>
    </w:pPr>
    <w:rPr>
      <w:rFonts w:ascii="宋体"/>
      <w:szCs w:val="20"/>
    </w:rPr>
  </w:style>
  <w:style w:type="paragraph" w:customStyle="1" w:styleId="1521">
    <w:name w:val="列项说明数字编号"/>
    <w:qFormat/>
    <w:uiPriority w:val="0"/>
    <w:pPr>
      <w:ind w:left="600" w:hanging="200"/>
    </w:pPr>
    <w:rPr>
      <w:rFonts w:ascii="宋体" w:hAnsi="Times New Roman" w:eastAsia="宋体" w:cs="Times New Roman"/>
      <w:sz w:val="21"/>
      <w:lang w:val="en-US" w:eastAsia="zh-CN" w:bidi="ar-SA"/>
    </w:rPr>
  </w:style>
  <w:style w:type="paragraph" w:customStyle="1" w:styleId="1522">
    <w:name w:val="其他标准标志"/>
    <w:basedOn w:val="1064"/>
    <w:qFormat/>
    <w:uiPriority w:val="0"/>
    <w:pPr>
      <w:framePr w:w="6101" w:h="1389" w:hRule="exact" w:hSpace="181" w:vSpace="181" w:wrap="around" w:vAnchor="page" w:hAnchor="page" w:x="4673" w:y="942"/>
    </w:pPr>
    <w:rPr>
      <w:szCs w:val="96"/>
    </w:rPr>
  </w:style>
  <w:style w:type="paragraph" w:customStyle="1" w:styleId="1523">
    <w:name w:val="三级无"/>
    <w:basedOn w:val="748"/>
    <w:qFormat/>
    <w:uiPriority w:val="0"/>
    <w:pPr>
      <w:jc w:val="left"/>
    </w:pPr>
    <w:rPr>
      <w:rFonts w:ascii="宋体" w:eastAsia="宋体"/>
      <w:szCs w:val="21"/>
      <w:lang w:val="zh-CN"/>
    </w:rPr>
  </w:style>
  <w:style w:type="paragraph" w:customStyle="1" w:styleId="1524">
    <w:name w:val="示例后文字"/>
    <w:basedOn w:val="399"/>
    <w:next w:val="399"/>
    <w:qFormat/>
    <w:uiPriority w:val="0"/>
    <w:pPr>
      <w:tabs>
        <w:tab w:val="center" w:pos="4201"/>
        <w:tab w:val="right" w:leader="dot" w:pos="9298"/>
      </w:tabs>
      <w:ind w:firstLine="360"/>
    </w:pPr>
    <w:rPr>
      <w:sz w:val="18"/>
    </w:rPr>
  </w:style>
  <w:style w:type="paragraph" w:customStyle="1" w:styleId="1525">
    <w:name w:val="四级无"/>
    <w:basedOn w:val="900"/>
    <w:qFormat/>
    <w:uiPriority w:val="0"/>
    <w:pPr>
      <w:jc w:val="left"/>
    </w:pPr>
    <w:rPr>
      <w:rFonts w:ascii="宋体" w:eastAsia="宋体"/>
      <w:szCs w:val="21"/>
      <w:lang w:val="zh-CN"/>
    </w:rPr>
  </w:style>
  <w:style w:type="paragraph" w:customStyle="1" w:styleId="1526">
    <w:name w:val="图标脚注说明"/>
    <w:basedOn w:val="399"/>
    <w:qFormat/>
    <w:uiPriority w:val="0"/>
    <w:pPr>
      <w:tabs>
        <w:tab w:val="center" w:pos="4201"/>
        <w:tab w:val="right" w:leader="dot" w:pos="9298"/>
      </w:tabs>
      <w:ind w:left="840" w:hanging="420"/>
    </w:pPr>
    <w:rPr>
      <w:sz w:val="18"/>
      <w:szCs w:val="18"/>
    </w:rPr>
  </w:style>
  <w:style w:type="paragraph" w:customStyle="1" w:styleId="1527">
    <w:name w:val="图表脚注说明"/>
    <w:basedOn w:val="1"/>
    <w:qFormat/>
    <w:uiPriority w:val="0"/>
    <w:pPr>
      <w:ind w:left="811" w:hanging="448"/>
    </w:pPr>
    <w:rPr>
      <w:rFonts w:ascii="宋体"/>
      <w:sz w:val="18"/>
      <w:szCs w:val="18"/>
    </w:rPr>
  </w:style>
  <w:style w:type="paragraph" w:customStyle="1" w:styleId="1528">
    <w:name w:val="图的脚注"/>
    <w:next w:val="399"/>
    <w:qFormat/>
    <w:uiPriority w:val="0"/>
    <w:pPr>
      <w:widowControl w:val="0"/>
      <w:ind w:left="840" w:hanging="420"/>
      <w:jc w:val="both"/>
    </w:pPr>
    <w:rPr>
      <w:rFonts w:ascii="宋体" w:hAnsi="Times New Roman" w:eastAsia="宋体" w:cs="Times New Roman"/>
      <w:sz w:val="18"/>
      <w:lang w:val="en-US" w:eastAsia="zh-CN" w:bidi="ar-SA"/>
    </w:rPr>
  </w:style>
  <w:style w:type="paragraph" w:customStyle="1" w:styleId="1529">
    <w:name w:val="五级无"/>
    <w:basedOn w:val="963"/>
    <w:qFormat/>
    <w:uiPriority w:val="0"/>
    <w:pPr>
      <w:jc w:val="left"/>
    </w:pPr>
    <w:rPr>
      <w:rFonts w:ascii="宋体" w:eastAsia="宋体"/>
      <w:szCs w:val="21"/>
      <w:lang w:val="zh-CN"/>
    </w:rPr>
  </w:style>
  <w:style w:type="paragraph" w:customStyle="1" w:styleId="1530">
    <w:name w:val="一级无"/>
    <w:basedOn w:val="423"/>
    <w:qFormat/>
    <w:uiPriority w:val="0"/>
    <w:pPr>
      <w:ind w:left="0" w:firstLine="0"/>
      <w:jc w:val="left"/>
    </w:pPr>
    <w:rPr>
      <w:rFonts w:ascii="宋体" w:eastAsia="宋体"/>
      <w:szCs w:val="21"/>
    </w:rPr>
  </w:style>
  <w:style w:type="paragraph" w:customStyle="1" w:styleId="1531">
    <w:name w:val="正文公式编号制表符"/>
    <w:basedOn w:val="399"/>
    <w:next w:val="399"/>
    <w:qFormat/>
    <w:uiPriority w:val="0"/>
    <w:pPr>
      <w:tabs>
        <w:tab w:val="center" w:pos="4201"/>
        <w:tab w:val="right" w:leader="dot" w:pos="9298"/>
      </w:tabs>
      <w:ind w:firstLine="0"/>
    </w:pPr>
  </w:style>
  <w:style w:type="paragraph" w:customStyle="1" w:styleId="1532">
    <w:name w:val="终结线"/>
    <w:basedOn w:val="1"/>
    <w:qFormat/>
    <w:uiPriority w:val="0"/>
    <w:pPr>
      <w:framePr w:hSpace="181" w:vSpace="181" w:wrap="around" w:vAnchor="text" w:hAnchor="margin" w:xAlign="center" w:y="285"/>
    </w:pPr>
  </w:style>
  <w:style w:type="paragraph" w:customStyle="1" w:styleId="1533">
    <w:name w:val="其他发布日期"/>
    <w:basedOn w:val="891"/>
    <w:qFormat/>
    <w:uiPriority w:val="0"/>
    <w:pPr>
      <w:framePr w:w="3997" w:h="471" w:hRule="exact" w:hSpace="0" w:vSpace="181" w:wrap="around" w:vAnchor="page" w:hAnchor="page" w:x="1419" w:y="14097"/>
    </w:pPr>
  </w:style>
  <w:style w:type="paragraph" w:customStyle="1" w:styleId="1534">
    <w:name w:val="其他实施日期"/>
    <w:basedOn w:val="890"/>
    <w:qFormat/>
    <w:uiPriority w:val="0"/>
    <w:pPr>
      <w:framePr w:w="3997" w:h="471" w:hRule="exact" w:vSpace="181" w:wrap="around" w:vAnchor="page" w:hAnchor="page" w:x="7089" w:y="14097"/>
      <w:ind w:left="0" w:firstLine="0"/>
    </w:pPr>
  </w:style>
  <w:style w:type="paragraph" w:customStyle="1" w:styleId="1535">
    <w:name w:val="封面标准名称2"/>
    <w:basedOn w:val="1143"/>
    <w:qFormat/>
    <w:uiPriority w:val="0"/>
    <w:pPr>
      <w:framePr w:w="9639" w:wrap="around" w:vAnchor="page" w:hAnchor="page" w:y="4469"/>
    </w:pPr>
  </w:style>
  <w:style w:type="paragraph" w:customStyle="1" w:styleId="1536">
    <w:name w:val="封面标准英文名称2"/>
    <w:basedOn w:val="942"/>
    <w:qFormat/>
    <w:uiPriority w:val="0"/>
    <w:pPr>
      <w:framePr w:w="9639" w:h="6917" w:hRule="exact" w:wrap="around" w:vAnchor="page" w:hAnchor="page" w:xAlign="center" w:y="4469"/>
    </w:pPr>
    <w:rPr>
      <w:rFonts w:eastAsia="黑体"/>
      <w:szCs w:val="28"/>
    </w:rPr>
  </w:style>
  <w:style w:type="paragraph" w:customStyle="1" w:styleId="1537">
    <w:name w:val="封面一致性程度标识2"/>
    <w:basedOn w:val="1324"/>
    <w:qFormat/>
    <w:uiPriority w:val="0"/>
    <w:pPr>
      <w:framePr w:w="9639" w:h="6917" w:hRule="exact" w:wrap="around" w:vAnchor="page" w:hAnchor="page" w:xAlign="center" w:y="4469"/>
      <w:widowControl w:val="0"/>
    </w:pPr>
    <w:rPr>
      <w:szCs w:val="28"/>
    </w:rPr>
  </w:style>
  <w:style w:type="paragraph" w:customStyle="1" w:styleId="1538">
    <w:name w:val="封面标准文稿类别2"/>
    <w:basedOn w:val="1198"/>
    <w:qFormat/>
    <w:uiPriority w:val="0"/>
    <w:pPr>
      <w:framePr w:w="9639" w:h="6917" w:hRule="exact" w:wrap="around" w:vAnchor="page" w:hAnchor="page" w:xAlign="center" w:y="4469"/>
      <w:widowControl w:val="0"/>
      <w:spacing w:after="160" w:line="240" w:lineRule="auto"/>
    </w:pPr>
    <w:rPr>
      <w:szCs w:val="28"/>
    </w:rPr>
  </w:style>
  <w:style w:type="paragraph" w:customStyle="1" w:styleId="1539">
    <w:name w:val="封面标准文稿编辑信息2"/>
    <w:basedOn w:val="1366"/>
    <w:qFormat/>
    <w:uiPriority w:val="0"/>
    <w:pPr>
      <w:framePr w:w="9639" w:h="6917" w:hRule="exact" w:wrap="around" w:vAnchor="page" w:hAnchor="page" w:xAlign="center" w:y="4469"/>
      <w:widowControl w:val="0"/>
      <w:spacing w:after="160"/>
    </w:pPr>
    <w:rPr>
      <w:szCs w:val="28"/>
    </w:rPr>
  </w:style>
  <w:style w:type="paragraph" w:customStyle="1" w:styleId="1540">
    <w:name w:val="标准文件_段"/>
    <w:qFormat/>
    <w:uiPriority w:val="0"/>
    <w:pPr>
      <w:spacing w:line="276" w:lineRule="auto"/>
      <w:ind w:left="-50" w:right="-50" w:firstLine="428"/>
      <w:jc w:val="both"/>
    </w:pPr>
    <w:rPr>
      <w:rFonts w:ascii="宋体" w:hAnsi="Times New Roman" w:eastAsia="宋体" w:cs="Times New Roman"/>
      <w:color w:val="000000"/>
      <w:spacing w:val="2"/>
      <w:sz w:val="21"/>
      <w:lang w:val="en-GB" w:eastAsia="zh-CN" w:bidi="ar-SA"/>
    </w:rPr>
  </w:style>
  <w:style w:type="paragraph" w:customStyle="1" w:styleId="1541">
    <w:name w:val="封面正文内容"/>
    <w:basedOn w:val="1"/>
    <w:next w:val="1"/>
    <w:qFormat/>
    <w:uiPriority w:val="0"/>
    <w:rPr>
      <w:rFonts w:ascii="宋体" w:hAnsi="宋体" w:cs="宋体"/>
      <w:sz w:val="30"/>
      <w:szCs w:val="30"/>
    </w:rPr>
  </w:style>
  <w:style w:type="paragraph" w:customStyle="1" w:styleId="1542">
    <w:name w:val="a"/>
    <w:basedOn w:val="1"/>
    <w:qFormat/>
    <w:uiPriority w:val="0"/>
    <w:pPr>
      <w:widowControl/>
      <w:spacing w:before="100" w:beforeAutospacing="1" w:after="100" w:afterAutospacing="1"/>
      <w:jc w:val="left"/>
    </w:pPr>
    <w:rPr>
      <w:rFonts w:ascii="宋体" w:hAnsi="宋体" w:cs="宋体"/>
      <w:sz w:val="24"/>
    </w:rPr>
  </w:style>
  <w:style w:type="paragraph" w:customStyle="1" w:styleId="1543">
    <w:name w:val="方框下的ABC标题"/>
    <w:basedOn w:val="1"/>
    <w:qFormat/>
    <w:uiPriority w:val="0"/>
    <w:pPr>
      <w:spacing w:line="360" w:lineRule="auto"/>
    </w:pPr>
    <w:rPr>
      <w:rFonts w:hAnsi="宋体"/>
    </w:rPr>
  </w:style>
  <w:style w:type="paragraph" w:customStyle="1" w:styleId="1544">
    <w:name w:val="SUR-方框下的ABC标题"/>
    <w:basedOn w:val="1"/>
    <w:qFormat/>
    <w:uiPriority w:val="0"/>
    <w:pPr>
      <w:tabs>
        <w:tab w:val="left" w:pos="1140"/>
      </w:tabs>
      <w:spacing w:line="360" w:lineRule="auto"/>
      <w:ind w:left="726" w:hanging="363"/>
      <w:jc w:val="left"/>
    </w:pPr>
    <w:rPr>
      <w:szCs w:val="20"/>
      <w:lang w:eastAsia="en-US"/>
    </w:rPr>
  </w:style>
  <w:style w:type="paragraph" w:customStyle="1" w:styleId="1545">
    <w:name w:val="D正文"/>
    <w:qFormat/>
    <w:uiPriority w:val="0"/>
    <w:pPr>
      <w:spacing w:line="360" w:lineRule="auto"/>
      <w:ind w:firstLine="200"/>
    </w:pPr>
    <w:rPr>
      <w:rFonts w:ascii="Times New Roman" w:hAnsi="Times New Roman" w:eastAsia="楷体_GB2312" w:cs="Times New Roman"/>
      <w:sz w:val="24"/>
      <w:szCs w:val="24"/>
      <w:lang w:val="en-US" w:eastAsia="zh-CN" w:bidi="ar-SA"/>
    </w:rPr>
  </w:style>
  <w:style w:type="paragraph" w:customStyle="1" w:styleId="1546">
    <w:name w:val="D标题二"/>
    <w:basedOn w:val="1545"/>
    <w:next w:val="1545"/>
    <w:qFormat/>
    <w:uiPriority w:val="0"/>
    <w:rPr>
      <w:rFonts w:eastAsia="黑体"/>
    </w:rPr>
  </w:style>
  <w:style w:type="paragraph" w:customStyle="1" w:styleId="1547">
    <w:name w:val="点对点应答文字"/>
    <w:basedOn w:val="1"/>
    <w:qFormat/>
    <w:uiPriority w:val="0"/>
    <w:pPr>
      <w:spacing w:line="360" w:lineRule="auto"/>
      <w:jc w:val="left"/>
    </w:pPr>
    <w:rPr>
      <w:i/>
      <w:color w:val="0000FF"/>
      <w:szCs w:val="20"/>
      <w:lang w:eastAsia="en-US"/>
    </w:rPr>
  </w:style>
  <w:style w:type="paragraph" w:customStyle="1" w:styleId="1548">
    <w:name w:val="SUR-方框标题"/>
    <w:basedOn w:val="1"/>
    <w:qFormat/>
    <w:uiPriority w:val="0"/>
    <w:pPr>
      <w:spacing w:line="360" w:lineRule="auto"/>
      <w:jc w:val="left"/>
    </w:pPr>
    <w:rPr>
      <w:szCs w:val="20"/>
      <w:lang w:eastAsia="en-US"/>
    </w:rPr>
  </w:style>
  <w:style w:type="paragraph" w:customStyle="1" w:styleId="1549">
    <w:name w:val="表内文字"/>
    <w:qFormat/>
    <w:uiPriority w:val="0"/>
    <w:rPr>
      <w:rFonts w:ascii="Times New Roman" w:hAnsi="Times New Roman" w:eastAsia="宋体" w:cs="Times New Roman"/>
      <w:sz w:val="21"/>
      <w:lang w:val="en-US" w:eastAsia="zh-CN" w:bidi="ar-SA"/>
    </w:rPr>
  </w:style>
  <w:style w:type="paragraph" w:customStyle="1" w:styleId="1550">
    <w:name w:val="示意图说明"/>
    <w:basedOn w:val="1"/>
    <w:next w:val="203"/>
    <w:qFormat/>
    <w:uiPriority w:val="0"/>
    <w:pPr>
      <w:spacing w:line="360" w:lineRule="auto"/>
      <w:jc w:val="center"/>
    </w:pPr>
    <w:rPr>
      <w:rFonts w:eastAsia="黑体"/>
      <w:szCs w:val="20"/>
      <w:lang w:eastAsia="en-US"/>
    </w:rPr>
  </w:style>
  <w:style w:type="paragraph" w:customStyle="1" w:styleId="1551">
    <w:name w:val="方框标题"/>
    <w:basedOn w:val="1"/>
    <w:next w:val="1"/>
    <w:qFormat/>
    <w:uiPriority w:val="0"/>
    <w:pPr>
      <w:tabs>
        <w:tab w:val="left" w:pos="420"/>
      </w:tabs>
      <w:spacing w:line="360" w:lineRule="auto"/>
      <w:ind w:firstLine="397"/>
    </w:pPr>
    <w:rPr>
      <w:rFonts w:eastAsia="黑体"/>
    </w:rPr>
  </w:style>
  <w:style w:type="paragraph" w:customStyle="1" w:styleId="1552">
    <w:name w:val="封面"/>
    <w:qFormat/>
    <w:uiPriority w:val="0"/>
    <w:pPr>
      <w:widowControl w:val="0"/>
      <w:spacing w:line="412" w:lineRule="atLeast"/>
      <w:jc w:val="both"/>
    </w:pPr>
    <w:rPr>
      <w:rFonts w:ascii="Times New Roman" w:hAnsi="Times New Roman" w:eastAsia="宋体" w:cs="Times New Roman"/>
      <w:sz w:val="21"/>
      <w:lang w:val="en-US" w:eastAsia="zh-CN" w:bidi="ar-SA"/>
    </w:rPr>
  </w:style>
  <w:style w:type="paragraph" w:customStyle="1" w:styleId="1553">
    <w:name w:val="MM Topic 1"/>
    <w:basedOn w:val="200"/>
    <w:qFormat/>
    <w:uiPriority w:val="0"/>
    <w:pPr>
      <w:keepLines/>
      <w:tabs>
        <w:tab w:val="left" w:pos="0"/>
        <w:tab w:val="left" w:pos="420"/>
      </w:tabs>
      <w:spacing w:before="340" w:after="330" w:line="578" w:lineRule="auto"/>
      <w:ind w:left="420" w:hanging="420"/>
    </w:pPr>
    <w:rPr>
      <w:rFonts w:ascii="Calibri" w:hAnsi="Calibri" w:eastAsia="宋体"/>
      <w:b/>
      <w:bCs/>
      <w:sz w:val="44"/>
      <w:szCs w:val="44"/>
      <w:lang w:val="zh-CN"/>
    </w:rPr>
  </w:style>
  <w:style w:type="paragraph" w:customStyle="1" w:styleId="1554">
    <w:name w:val="MM Topic 3"/>
    <w:basedOn w:val="206"/>
    <w:qFormat/>
    <w:uiPriority w:val="0"/>
    <w:pPr>
      <w:tabs>
        <w:tab w:val="left" w:pos="0"/>
      </w:tabs>
      <w:ind w:left="420" w:hanging="420"/>
    </w:pPr>
    <w:rPr>
      <w:rFonts w:ascii="Calibri" w:hAnsi="Calibri"/>
      <w:bCs/>
      <w:szCs w:val="32"/>
      <w:lang w:val="zh-CN"/>
    </w:rPr>
  </w:style>
  <w:style w:type="paragraph" w:customStyle="1" w:styleId="1555">
    <w:name w:val="p15"/>
    <w:basedOn w:val="1"/>
    <w:qFormat/>
    <w:uiPriority w:val="0"/>
    <w:pPr>
      <w:widowControl/>
      <w:spacing w:before="156" w:after="156"/>
      <w:jc w:val="left"/>
    </w:pPr>
    <w:rPr>
      <w:rFonts w:ascii="黑体" w:hAnsi="黑体" w:eastAsia="黑体" w:cs="宋体"/>
      <w:szCs w:val="21"/>
    </w:rPr>
  </w:style>
  <w:style w:type="paragraph" w:customStyle="1" w:styleId="1556">
    <w:name w:val="p16"/>
    <w:basedOn w:val="1"/>
    <w:qFormat/>
    <w:uiPriority w:val="0"/>
    <w:pPr>
      <w:widowControl/>
      <w:ind w:firstLine="420"/>
    </w:pPr>
    <w:rPr>
      <w:rFonts w:ascii="宋体" w:hAnsi="宋体" w:cs="宋体"/>
      <w:sz w:val="20"/>
      <w:szCs w:val="20"/>
    </w:rPr>
  </w:style>
  <w:style w:type="paragraph" w:customStyle="1" w:styleId="1557">
    <w:name w:val="p17"/>
    <w:basedOn w:val="1"/>
    <w:qFormat/>
    <w:uiPriority w:val="0"/>
    <w:pPr>
      <w:widowControl/>
      <w:spacing w:before="156" w:after="156"/>
      <w:jc w:val="center"/>
    </w:pPr>
    <w:rPr>
      <w:rFonts w:ascii="黑体" w:hAnsi="黑体" w:eastAsia="黑体" w:cs="宋体"/>
      <w:szCs w:val="21"/>
    </w:rPr>
  </w:style>
  <w:style w:type="paragraph" w:customStyle="1" w:styleId="1558">
    <w:name w:val="0-投标正文"/>
    <w:basedOn w:val="200"/>
    <w:qFormat/>
    <w:uiPriority w:val="0"/>
    <w:pPr>
      <w:pageBreakBefore/>
      <w:tabs>
        <w:tab w:val="left" w:pos="432"/>
        <w:tab w:val="left" w:pos="1142"/>
      </w:tabs>
      <w:spacing w:before="200" w:after="160" w:line="360" w:lineRule="auto"/>
      <w:jc w:val="left"/>
    </w:pPr>
    <w:rPr>
      <w:rFonts w:ascii="黑体" w:hAnsi="黑体" w:eastAsia="黑体"/>
      <w:bCs/>
      <w:sz w:val="48"/>
      <w:szCs w:val="48"/>
    </w:rPr>
  </w:style>
  <w:style w:type="table" w:customStyle="1" w:styleId="1559">
    <w:name w:val="网格型1"/>
    <w:basedOn w:val="221"/>
    <w:qFormat/>
    <w:uiPriority w:val="39"/>
  </w:style>
  <w:style w:type="table" w:customStyle="1" w:styleId="1560">
    <w:name w:val="网格型2"/>
    <w:basedOn w:val="221"/>
    <w:qFormat/>
    <w:uiPriority w:val="39"/>
  </w:style>
  <w:style w:type="table" w:customStyle="1" w:styleId="1561">
    <w:name w:val="网格型11"/>
    <w:basedOn w:val="221"/>
    <w:qFormat/>
    <w:uiPriority w:val="39"/>
    <w:pPr>
      <w:widowControl w:val="0"/>
      <w:jc w:val="both"/>
    </w:pPr>
  </w:style>
  <w:style w:type="table" w:customStyle="1" w:styleId="1562">
    <w:name w:val="网格型21"/>
    <w:basedOn w:val="221"/>
    <w:qFormat/>
    <w:uiPriority w:val="39"/>
    <w:pPr>
      <w:widowControl w:val="0"/>
      <w:jc w:val="both"/>
    </w:pPr>
  </w:style>
  <w:style w:type="table" w:customStyle="1" w:styleId="1563">
    <w:name w:val="网格型3"/>
    <w:basedOn w:val="221"/>
    <w:qFormat/>
    <w:uiPriority w:val="59"/>
  </w:style>
  <w:style w:type="table" w:customStyle="1" w:styleId="1564">
    <w:name w:val="网格型12"/>
    <w:basedOn w:val="221"/>
    <w:qFormat/>
    <w:uiPriority w:val="39"/>
    <w:pPr>
      <w:widowControl w:val="0"/>
      <w:jc w:val="both"/>
    </w:pPr>
  </w:style>
  <w:style w:type="table" w:customStyle="1" w:styleId="1565">
    <w:name w:val="网格型22"/>
    <w:basedOn w:val="221"/>
    <w:qFormat/>
    <w:uiPriority w:val="39"/>
    <w:pPr>
      <w:widowControl w:val="0"/>
      <w:jc w:val="both"/>
    </w:pPr>
  </w:style>
  <w:style w:type="table" w:customStyle="1" w:styleId="1566">
    <w:name w:val="网格型4"/>
    <w:basedOn w:val="221"/>
    <w:qFormat/>
    <w:uiPriority w:val="59"/>
  </w:style>
  <w:style w:type="table" w:customStyle="1" w:styleId="1567">
    <w:name w:val="网格型13"/>
    <w:basedOn w:val="221"/>
    <w:qFormat/>
    <w:uiPriority w:val="39"/>
    <w:pPr>
      <w:widowControl w:val="0"/>
      <w:jc w:val="both"/>
    </w:pPr>
  </w:style>
  <w:style w:type="table" w:customStyle="1" w:styleId="1568">
    <w:name w:val="网格型23"/>
    <w:basedOn w:val="221"/>
    <w:qFormat/>
    <w:uiPriority w:val="39"/>
    <w:pPr>
      <w:widowControl w:val="0"/>
      <w:jc w:val="both"/>
    </w:pPr>
  </w:style>
  <w:style w:type="table" w:customStyle="1" w:styleId="1569">
    <w:name w:val="网格型5"/>
    <w:basedOn w:val="221"/>
    <w:qFormat/>
    <w:uiPriority w:val="59"/>
  </w:style>
  <w:style w:type="table" w:customStyle="1" w:styleId="1570">
    <w:name w:val="网格型6"/>
    <w:basedOn w:val="221"/>
    <w:qFormat/>
    <w:uiPriority w:val="59"/>
  </w:style>
  <w:style w:type="table" w:customStyle="1" w:styleId="1571">
    <w:name w:val="网格型14"/>
    <w:basedOn w:val="221"/>
    <w:qFormat/>
    <w:uiPriority w:val="39"/>
    <w:pPr>
      <w:widowControl w:val="0"/>
      <w:jc w:val="both"/>
    </w:pPr>
  </w:style>
  <w:style w:type="table" w:customStyle="1" w:styleId="1572">
    <w:name w:val="网格型24"/>
    <w:basedOn w:val="221"/>
    <w:qFormat/>
    <w:uiPriority w:val="39"/>
    <w:pPr>
      <w:widowControl w:val="0"/>
      <w:jc w:val="both"/>
    </w:pPr>
  </w:style>
  <w:style w:type="table" w:customStyle="1" w:styleId="1573">
    <w:name w:val="网格型7"/>
    <w:basedOn w:val="221"/>
    <w:qFormat/>
    <w:uiPriority w:val="59"/>
  </w:style>
  <w:style w:type="table" w:customStyle="1" w:styleId="1574">
    <w:name w:val="网格型8"/>
    <w:basedOn w:val="221"/>
    <w:qFormat/>
    <w:uiPriority w:val="59"/>
    <w:rPr>
      <w:rFonts w:ascii="Calibri" w:hAnsi="Calibri"/>
    </w:rPr>
  </w:style>
  <w:style w:type="character" w:customStyle="1" w:styleId="1575">
    <w:name w:val="普通(网站) Char"/>
    <w:qFormat/>
    <w:uiPriority w:val="0"/>
    <w:rPr>
      <w:rFonts w:ascii="宋体" w:hAnsi="宋体" w:cs="宋体"/>
      <w:color w:val="000000"/>
      <w:sz w:val="24"/>
      <w:szCs w:val="24"/>
    </w:rPr>
  </w:style>
  <w:style w:type="character" w:customStyle="1" w:styleId="1576">
    <w:name w:val="正文缩进 Char"/>
    <w:qFormat/>
    <w:uiPriority w:val="0"/>
    <w:rPr>
      <w:rFonts w:eastAsia="宋体"/>
      <w:sz w:val="21"/>
      <w:lang w:val="en-US" w:eastAsia="zh-CN" w:bidi="ar-SA"/>
    </w:rPr>
  </w:style>
  <w:style w:type="paragraph" w:customStyle="1" w:styleId="1577">
    <w:name w:val="Andy_正文格式"/>
    <w:basedOn w:val="1"/>
    <w:qFormat/>
    <w:uiPriority w:val="0"/>
    <w:pPr>
      <w:ind w:firstLine="560"/>
      <w:jc w:val="left"/>
    </w:pPr>
    <w:rPr>
      <w:rFonts w:ascii="仿宋_GB2312" w:eastAsia="仿宋_GB2312"/>
      <w:sz w:val="28"/>
      <w:szCs w:val="28"/>
    </w:rPr>
  </w:style>
  <w:style w:type="character" w:customStyle="1" w:styleId="1578">
    <w:name w:val="p141"/>
    <w:qFormat/>
    <w:uiPriority w:val="0"/>
    <w:rPr>
      <w:sz w:val="21"/>
      <w:szCs w:val="21"/>
    </w:rPr>
  </w:style>
  <w:style w:type="character" w:customStyle="1" w:styleId="1579">
    <w:name w:val="标题 3 字符"/>
    <w:qFormat/>
    <w:uiPriority w:val="0"/>
    <w:rPr>
      <w:b/>
      <w:sz w:val="32"/>
    </w:rPr>
  </w:style>
  <w:style w:type="paragraph" w:customStyle="1" w:styleId="1580">
    <w:name w:val="正文_4"/>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1581">
    <w:name w:val="px_10"/>
    <w:qFormat/>
    <w:uiPriority w:val="0"/>
  </w:style>
  <w:style w:type="paragraph" w:customStyle="1" w:styleId="1582">
    <w:name w:val="TOC 标题3"/>
    <w:basedOn w:val="200"/>
    <w:next w:val="1"/>
    <w:unhideWhenUsed/>
    <w:qFormat/>
    <w:uiPriority w:val="39"/>
    <w:pPr>
      <w:keepLines/>
      <w:widowControl/>
      <w:spacing w:before="240" w:line="259" w:lineRule="auto"/>
      <w:jc w:val="left"/>
      <w:outlineLvl w:val="9"/>
    </w:pPr>
    <w:rPr>
      <w:rFonts w:ascii="等线 Light" w:hAnsi="等线 Light" w:eastAsia="等线 Light"/>
      <w:color w:val="2F5496"/>
      <w:sz w:val="32"/>
      <w:szCs w:val="32"/>
    </w:rPr>
  </w:style>
  <w:style w:type="character" w:customStyle="1" w:styleId="1583">
    <w:name w:val="titlebody"/>
    <w:qFormat/>
    <w:uiPriority w:val="0"/>
    <w:rPr>
      <w:rFonts w:ascii="宋体" w:hAnsi="宋体" w:eastAsia="宋体" w:cs="宋体"/>
      <w:b/>
      <w:bCs/>
      <w:color w:val="000000"/>
      <w:sz w:val="24"/>
      <w:szCs w:val="24"/>
    </w:rPr>
  </w:style>
  <w:style w:type="paragraph" w:customStyle="1" w:styleId="1584">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1585">
    <w:name w:val="Normal_0"/>
    <w:qFormat/>
    <w:uiPriority w:val="0"/>
    <w:rPr>
      <w:rFonts w:ascii="Times New Roman" w:hAnsi="Times New Roman" w:eastAsia="Times New Roman" w:cs="Times New Roman"/>
      <w:sz w:val="24"/>
      <w:szCs w:val="24"/>
      <w:lang w:val="en-US" w:eastAsia="zh-CN" w:bidi="ar-SA"/>
    </w:rPr>
  </w:style>
  <w:style w:type="paragraph" w:customStyle="1" w:styleId="1586">
    <w:name w:val="Normal_1"/>
    <w:qFormat/>
    <w:uiPriority w:val="0"/>
    <w:rPr>
      <w:rFonts w:ascii="Times New Roman" w:hAnsi="Times New Roman" w:eastAsia="Times New Roman" w:cs="Times New Roman"/>
      <w:sz w:val="24"/>
      <w:szCs w:val="24"/>
      <w:lang w:val="en-US" w:eastAsia="zh-CN" w:bidi="ar-SA"/>
    </w:rPr>
  </w:style>
  <w:style w:type="paragraph" w:customStyle="1" w:styleId="1587">
    <w:name w:val="Normal_2"/>
    <w:qFormat/>
    <w:uiPriority w:val="0"/>
    <w:rPr>
      <w:rFonts w:ascii="Times New Roman" w:hAnsi="Times New Roman" w:eastAsia="Times New Roman" w:cs="Times New Roman"/>
      <w:sz w:val="24"/>
      <w:szCs w:val="24"/>
      <w:lang w:val="en-US" w:eastAsia="zh-CN" w:bidi="ar-SA"/>
    </w:rPr>
  </w:style>
  <w:style w:type="paragraph" w:customStyle="1" w:styleId="1588">
    <w:name w:val="Normal_3"/>
    <w:qFormat/>
    <w:uiPriority w:val="0"/>
    <w:rPr>
      <w:rFonts w:ascii="Times New Roman" w:hAnsi="Times New Roman" w:eastAsia="Times New Roman" w:cs="Times New Roman"/>
      <w:sz w:val="24"/>
      <w:szCs w:val="24"/>
      <w:lang w:val="en-US" w:eastAsia="zh-CN" w:bidi="ar-SA"/>
    </w:rPr>
  </w:style>
  <w:style w:type="paragraph" w:customStyle="1" w:styleId="1589">
    <w:name w:val="Normal_4"/>
    <w:qFormat/>
    <w:uiPriority w:val="0"/>
    <w:rPr>
      <w:rFonts w:ascii="Times New Roman" w:hAnsi="Times New Roman" w:eastAsia="Times New Roman" w:cs="Times New Roman"/>
      <w:sz w:val="24"/>
      <w:szCs w:val="24"/>
      <w:lang w:val="en-US" w:eastAsia="zh-CN" w:bidi="ar-SA"/>
    </w:rPr>
  </w:style>
  <w:style w:type="paragraph" w:customStyle="1" w:styleId="1590">
    <w:name w:val="Normal_5"/>
    <w:qFormat/>
    <w:uiPriority w:val="0"/>
    <w:rPr>
      <w:rFonts w:ascii="Times New Roman" w:hAnsi="Times New Roman" w:eastAsia="Times New Roman" w:cs="Times New Roman"/>
      <w:sz w:val="24"/>
      <w:szCs w:val="24"/>
      <w:lang w:val="en-US" w:eastAsia="zh-CN" w:bidi="ar-SA"/>
    </w:rPr>
  </w:style>
  <w:style w:type="paragraph" w:customStyle="1" w:styleId="1591">
    <w:name w:val="Normal_0_0"/>
    <w:qFormat/>
    <w:uiPriority w:val="0"/>
    <w:rPr>
      <w:rFonts w:ascii="Times New Roman" w:hAnsi="Times New Roman" w:eastAsia="Times New Roman" w:cs="Times New Roman"/>
      <w:sz w:val="24"/>
      <w:szCs w:val="24"/>
      <w:lang w:val="en-US" w:eastAsia="zh-CN" w:bidi="ar-SA"/>
    </w:rPr>
  </w:style>
  <w:style w:type="paragraph" w:customStyle="1" w:styleId="1592">
    <w:name w:val="Normal_1_0"/>
    <w:qFormat/>
    <w:uiPriority w:val="0"/>
    <w:rPr>
      <w:rFonts w:ascii="Times New Roman" w:hAnsi="Times New Roman" w:eastAsia="Times New Roman" w:cs="Times New Roman"/>
      <w:sz w:val="24"/>
      <w:szCs w:val="24"/>
      <w:lang w:val="en-US" w:eastAsia="zh-CN" w:bidi="ar-SA"/>
    </w:rPr>
  </w:style>
  <w:style w:type="paragraph" w:customStyle="1" w:styleId="1593">
    <w:name w:val="Normal_2_0"/>
    <w:qFormat/>
    <w:uiPriority w:val="0"/>
    <w:rPr>
      <w:rFonts w:ascii="Times New Roman" w:hAnsi="Times New Roman" w:eastAsia="Times New Roman" w:cs="Times New Roman"/>
      <w:sz w:val="24"/>
      <w:szCs w:val="24"/>
      <w:lang w:val="en-US" w:eastAsia="zh-CN" w:bidi="ar-SA"/>
    </w:rPr>
  </w:style>
  <w:style w:type="paragraph" w:customStyle="1" w:styleId="1594">
    <w:name w:val="Normal_3_0"/>
    <w:qFormat/>
    <w:uiPriority w:val="0"/>
    <w:rPr>
      <w:rFonts w:ascii="Times New Roman" w:hAnsi="Times New Roman" w:eastAsia="Times New Roman" w:cs="Times New Roman"/>
      <w:sz w:val="24"/>
      <w:szCs w:val="24"/>
      <w:lang w:val="en-US" w:eastAsia="zh-CN" w:bidi="ar-SA"/>
    </w:rPr>
  </w:style>
  <w:style w:type="paragraph" w:customStyle="1" w:styleId="1595">
    <w:name w:val="Normal_4_0"/>
    <w:qFormat/>
    <w:uiPriority w:val="0"/>
    <w:rPr>
      <w:rFonts w:ascii="Times New Roman" w:hAnsi="Times New Roman" w:eastAsia="Times New Roman" w:cs="Times New Roman"/>
      <w:sz w:val="24"/>
      <w:szCs w:val="24"/>
      <w:lang w:val="en-US" w:eastAsia="zh-CN" w:bidi="ar-SA"/>
    </w:rPr>
  </w:style>
  <w:style w:type="paragraph" w:customStyle="1" w:styleId="1596">
    <w:name w:val="Normal_5_0"/>
    <w:qFormat/>
    <w:uiPriority w:val="0"/>
    <w:rPr>
      <w:rFonts w:ascii="Times New Roman" w:hAnsi="Times New Roman" w:eastAsia="Times New Roman" w:cs="Times New Roman"/>
      <w:sz w:val="24"/>
      <w:szCs w:val="24"/>
      <w:lang w:val="en-US" w:eastAsia="zh-CN" w:bidi="ar-SA"/>
    </w:rPr>
  </w:style>
  <w:style w:type="paragraph" w:customStyle="1" w:styleId="1597">
    <w:name w:val="Normal_6"/>
    <w:qFormat/>
    <w:uiPriority w:val="0"/>
    <w:rPr>
      <w:rFonts w:ascii="Times New Roman" w:hAnsi="Times New Roman" w:eastAsia="Times New Roman" w:cs="Times New Roman"/>
      <w:sz w:val="24"/>
      <w:szCs w:val="24"/>
      <w:lang w:val="en-US" w:eastAsia="zh-CN" w:bidi="ar-SA"/>
    </w:rPr>
  </w:style>
  <w:style w:type="paragraph" w:customStyle="1" w:styleId="1598">
    <w:name w:val="正文_1"/>
    <w:qFormat/>
    <w:uiPriority w:val="0"/>
    <w:pPr>
      <w:widowControl w:val="0"/>
      <w:jc w:val="both"/>
    </w:pPr>
    <w:rPr>
      <w:rFonts w:ascii="Calibri" w:hAnsi="Calibri" w:eastAsia="宋体" w:cs="Times New Roman"/>
      <w:sz w:val="21"/>
      <w:szCs w:val="22"/>
      <w:lang w:val="en-US" w:eastAsia="zh-CN" w:bidi="ar-SA"/>
    </w:rPr>
  </w:style>
  <w:style w:type="paragraph" w:customStyle="1" w:styleId="1599">
    <w:name w:val="正文缩进_0"/>
    <w:basedOn w:val="1598"/>
    <w:link w:val="1600"/>
    <w:qFormat/>
    <w:uiPriority w:val="0"/>
    <w:pPr>
      <w:spacing w:line="360" w:lineRule="atLeast"/>
      <w:ind w:firstLine="482"/>
    </w:pPr>
    <w:rPr>
      <w:rFonts w:ascii="Times New Roman" w:hAnsi="Times New Roman"/>
      <w:sz w:val="24"/>
      <w:szCs w:val="20"/>
    </w:rPr>
  </w:style>
  <w:style w:type="character" w:customStyle="1" w:styleId="1600">
    <w:name w:val="正文缩进 Char1_0"/>
    <w:link w:val="1599"/>
    <w:qFormat/>
    <w:uiPriority w:val="0"/>
    <w:rPr>
      <w:rFonts w:ascii="Times New Roman" w:hAnsi="Times New Roman"/>
      <w:sz w:val="24"/>
    </w:rPr>
  </w:style>
  <w:style w:type="paragraph" w:customStyle="1" w:styleId="1601">
    <w:name w:val="Normal_7"/>
    <w:qFormat/>
    <w:uiPriority w:val="0"/>
    <w:rPr>
      <w:rFonts w:ascii="Times New Roman" w:hAnsi="Times New Roman" w:eastAsia="Times New Roman" w:cs="Times New Roman"/>
      <w:sz w:val="24"/>
      <w:szCs w:val="24"/>
      <w:lang w:val="en-US" w:eastAsia="zh-CN" w:bidi="ar-SA"/>
    </w:rPr>
  </w:style>
  <w:style w:type="paragraph" w:customStyle="1" w:styleId="1602">
    <w:name w:val="Normal_8"/>
    <w:qFormat/>
    <w:uiPriority w:val="0"/>
    <w:rPr>
      <w:rFonts w:ascii="Times New Roman" w:hAnsi="Times New Roman" w:eastAsia="Times New Roman" w:cs="Times New Roman"/>
      <w:sz w:val="24"/>
      <w:szCs w:val="24"/>
      <w:lang w:val="en-US" w:eastAsia="zh-CN" w:bidi="ar-SA"/>
    </w:rPr>
  </w:style>
  <w:style w:type="paragraph" w:customStyle="1" w:styleId="1603">
    <w:name w:val="Normal_9"/>
    <w:qFormat/>
    <w:uiPriority w:val="0"/>
    <w:pPr>
      <w:widowControl w:val="0"/>
      <w:jc w:val="both"/>
    </w:pPr>
    <w:rPr>
      <w:rFonts w:ascii="Calibri" w:hAnsi="Calibri" w:eastAsia="宋体" w:cs="Times New Roman"/>
      <w:sz w:val="21"/>
      <w:szCs w:val="22"/>
      <w:lang w:val="en-US" w:eastAsia="zh-CN" w:bidi="ar-SA"/>
    </w:rPr>
  </w:style>
  <w:style w:type="paragraph" w:customStyle="1" w:styleId="1604">
    <w:name w:val="Normal_10"/>
    <w:qFormat/>
    <w:uiPriority w:val="0"/>
    <w:rPr>
      <w:rFonts w:ascii="Times New Roman" w:hAnsi="Times New Roman" w:eastAsia="Times New Roman" w:cs="Times New Roman"/>
      <w:sz w:val="24"/>
      <w:szCs w:val="24"/>
      <w:lang w:val="en-US" w:eastAsia="zh-CN" w:bidi="ar-SA"/>
    </w:rPr>
  </w:style>
  <w:style w:type="paragraph" w:customStyle="1" w:styleId="1605">
    <w:name w:val="Normal_11"/>
    <w:qFormat/>
    <w:uiPriority w:val="0"/>
    <w:rPr>
      <w:rFonts w:ascii="Times New Roman" w:hAnsi="Times New Roman" w:eastAsia="Times New Roman" w:cs="Times New Roman"/>
      <w:sz w:val="24"/>
      <w:szCs w:val="24"/>
      <w:lang w:val="en-US" w:eastAsia="zh-CN" w:bidi="ar-SA"/>
    </w:rPr>
  </w:style>
  <w:style w:type="paragraph" w:customStyle="1" w:styleId="1606">
    <w:name w:val="正文_4_0"/>
    <w:qFormat/>
    <w:uiPriority w:val="0"/>
    <w:pPr>
      <w:widowControl w:val="0"/>
      <w:jc w:val="both"/>
    </w:pPr>
    <w:rPr>
      <w:rFonts w:ascii="Calibri" w:hAnsi="Calibri" w:eastAsia="宋体" w:cs="Times New Roman"/>
      <w:sz w:val="21"/>
      <w:szCs w:val="22"/>
      <w:lang w:val="en-US" w:eastAsia="zh-CN" w:bidi="ar-SA"/>
    </w:rPr>
  </w:style>
  <w:style w:type="paragraph" w:customStyle="1" w:styleId="1607">
    <w:name w:val="Normal_12"/>
    <w:qFormat/>
    <w:uiPriority w:val="0"/>
    <w:rPr>
      <w:rFonts w:ascii="Times New Roman" w:hAnsi="Times New Roman" w:eastAsia="Times New Roman" w:cs="Times New Roman"/>
      <w:sz w:val="24"/>
      <w:szCs w:val="24"/>
      <w:lang w:val="en-US" w:eastAsia="zh-CN" w:bidi="ar-SA"/>
    </w:rPr>
  </w:style>
  <w:style w:type="paragraph" w:customStyle="1" w:styleId="1608">
    <w:name w:val="Normal_13"/>
    <w:qFormat/>
    <w:uiPriority w:val="0"/>
    <w:pPr>
      <w:widowControl w:val="0"/>
      <w:jc w:val="both"/>
    </w:pPr>
    <w:rPr>
      <w:rFonts w:ascii="Calibri" w:hAnsi="Calibri" w:eastAsia="宋体" w:cs="Times New Roman"/>
      <w:sz w:val="21"/>
      <w:szCs w:val="22"/>
      <w:lang w:val="en-US" w:eastAsia="zh-CN" w:bidi="ar-SA"/>
    </w:rPr>
  </w:style>
  <w:style w:type="paragraph" w:styleId="1609">
    <w:name w:val="List Paragraph"/>
    <w:basedOn w:val="1"/>
    <w:link w:val="1610"/>
    <w:qFormat/>
    <w:uiPriority w:val="34"/>
    <w:pPr>
      <w:ind w:firstLine="420"/>
    </w:pPr>
    <w:rPr>
      <w:rFonts w:ascii="Times New Roman" w:hAnsi="Times New Roman"/>
    </w:rPr>
  </w:style>
  <w:style w:type="character" w:customStyle="1" w:styleId="1610">
    <w:name w:val="列表段落 字符2"/>
    <w:link w:val="1609"/>
    <w:qFormat/>
    <w:uiPriority w:val="34"/>
    <w:rPr>
      <w:sz w:val="21"/>
      <w:szCs w:val="22"/>
    </w:rPr>
  </w:style>
  <w:style w:type="paragraph" w:customStyle="1" w:styleId="1611">
    <w:name w:val="Normal_14"/>
    <w:qFormat/>
    <w:uiPriority w:val="0"/>
    <w:rPr>
      <w:rFonts w:ascii="Times New Roman" w:hAnsi="Times New Roman" w:eastAsia="Times New Roman" w:cs="Times New Roman"/>
      <w:sz w:val="24"/>
      <w:szCs w:val="24"/>
      <w:lang w:val="en-US" w:eastAsia="zh-CN" w:bidi="ar-SA"/>
    </w:rPr>
  </w:style>
  <w:style w:type="paragraph" w:customStyle="1" w:styleId="1612">
    <w:name w:val="Normal_15"/>
    <w:qFormat/>
    <w:uiPriority w:val="0"/>
    <w:rPr>
      <w:rFonts w:ascii="Times New Roman" w:hAnsi="Times New Roman" w:eastAsia="Times New Roman" w:cs="Times New Roman"/>
      <w:sz w:val="24"/>
      <w:szCs w:val="24"/>
      <w:lang w:val="en-US" w:eastAsia="zh-CN" w:bidi="ar-SA"/>
    </w:rPr>
  </w:style>
  <w:style w:type="paragraph" w:customStyle="1" w:styleId="1613">
    <w:name w:val="Normal_16"/>
    <w:qFormat/>
    <w:uiPriority w:val="0"/>
    <w:rPr>
      <w:rFonts w:ascii="Times New Roman" w:hAnsi="Times New Roman" w:eastAsia="Times New Roman" w:cs="Times New Roman"/>
      <w:sz w:val="24"/>
      <w:szCs w:val="24"/>
      <w:lang w:val="en-US" w:eastAsia="zh-CN" w:bidi="ar-SA"/>
    </w:rPr>
  </w:style>
  <w:style w:type="paragraph" w:customStyle="1" w:styleId="1614">
    <w:name w:val="正文_5"/>
    <w:qFormat/>
    <w:uiPriority w:val="0"/>
    <w:rPr>
      <w:rFonts w:ascii="Times New Roman" w:hAnsi="Times New Roman" w:eastAsia="宋体" w:cs="Times New Roman"/>
      <w:sz w:val="24"/>
      <w:szCs w:val="24"/>
      <w:lang w:val="en-US" w:eastAsia="zh-CN" w:bidi="ar-SA"/>
    </w:rPr>
  </w:style>
  <w:style w:type="paragraph" w:customStyle="1" w:styleId="1615">
    <w:name w:val="Normal_0_0_0"/>
    <w:qFormat/>
    <w:uiPriority w:val="0"/>
    <w:rPr>
      <w:rFonts w:ascii="Times New Roman" w:hAnsi="Times New Roman" w:eastAsia="宋体" w:cs="Times New Roman"/>
      <w:sz w:val="24"/>
      <w:szCs w:val="24"/>
      <w:lang w:val="en-US" w:eastAsia="zh-CN" w:bidi="ar-SA"/>
    </w:rPr>
  </w:style>
  <w:style w:type="paragraph" w:customStyle="1" w:styleId="1616">
    <w:name w:val="Normal_1_0_0"/>
    <w:qFormat/>
    <w:uiPriority w:val="0"/>
    <w:rPr>
      <w:rFonts w:ascii="Times New Roman" w:hAnsi="Times New Roman" w:eastAsia="宋体" w:cs="Times New Roman"/>
      <w:sz w:val="24"/>
      <w:szCs w:val="24"/>
      <w:lang w:val="en-US" w:eastAsia="zh-CN" w:bidi="ar-SA"/>
    </w:rPr>
  </w:style>
  <w:style w:type="paragraph" w:customStyle="1" w:styleId="1617">
    <w:name w:val="Normal_17"/>
    <w:qFormat/>
    <w:uiPriority w:val="0"/>
    <w:rPr>
      <w:rFonts w:ascii="Times New Roman" w:hAnsi="Times New Roman" w:eastAsia="Times New Roman" w:cs="Times New Roman"/>
      <w:sz w:val="24"/>
      <w:szCs w:val="24"/>
      <w:lang w:val="en-US" w:eastAsia="zh-CN" w:bidi="ar-SA"/>
    </w:rPr>
  </w:style>
  <w:style w:type="paragraph" w:customStyle="1" w:styleId="1618">
    <w:name w:val="Normal_18"/>
    <w:qFormat/>
    <w:uiPriority w:val="0"/>
    <w:rPr>
      <w:rFonts w:ascii="Times New Roman" w:hAnsi="Times New Roman" w:eastAsia="Times New Roman" w:cs="Times New Roman"/>
      <w:sz w:val="24"/>
      <w:szCs w:val="24"/>
      <w:lang w:val="en-US" w:eastAsia="zh-CN" w:bidi="ar-SA"/>
    </w:rPr>
  </w:style>
  <w:style w:type="paragraph" w:customStyle="1" w:styleId="1619">
    <w:name w:val="正文_6"/>
    <w:qFormat/>
    <w:uiPriority w:val="0"/>
    <w:pPr>
      <w:widowControl w:val="0"/>
      <w:jc w:val="both"/>
    </w:pPr>
    <w:rPr>
      <w:rFonts w:ascii="Calibri" w:hAnsi="Calibri" w:eastAsia="宋体" w:cs="Times New Roman"/>
      <w:sz w:val="21"/>
      <w:szCs w:val="22"/>
      <w:lang w:val="en-US" w:eastAsia="zh-CN" w:bidi="ar-SA"/>
    </w:rPr>
  </w:style>
  <w:style w:type="paragraph" w:customStyle="1" w:styleId="1620">
    <w:name w:val="+正文_0"/>
    <w:basedOn w:val="1619"/>
    <w:link w:val="1621"/>
    <w:qFormat/>
    <w:uiPriority w:val="0"/>
    <w:pPr>
      <w:spacing w:line="360" w:lineRule="auto"/>
      <w:ind w:firstLine="200"/>
    </w:pPr>
    <w:rPr>
      <w:rFonts w:ascii="Times New Roman" w:hAnsi="Times New Roman"/>
      <w:sz w:val="28"/>
      <w:szCs w:val="20"/>
    </w:rPr>
  </w:style>
  <w:style w:type="character" w:customStyle="1" w:styleId="1621">
    <w:name w:val="+正文 Char3_0"/>
    <w:link w:val="1620"/>
    <w:qFormat/>
    <w:uiPriority w:val="0"/>
    <w:rPr>
      <w:sz w:val="28"/>
    </w:rPr>
  </w:style>
  <w:style w:type="paragraph" w:customStyle="1" w:styleId="1622">
    <w:name w:val="Normal_19"/>
    <w:qFormat/>
    <w:uiPriority w:val="0"/>
    <w:rPr>
      <w:rFonts w:ascii="Times New Roman" w:hAnsi="Times New Roman" w:eastAsia="Times New Roman" w:cs="Times New Roman"/>
      <w:sz w:val="24"/>
      <w:szCs w:val="24"/>
      <w:lang w:val="en-US" w:eastAsia="zh-CN" w:bidi="ar-SA"/>
    </w:rPr>
  </w:style>
  <w:style w:type="paragraph" w:customStyle="1" w:styleId="1623">
    <w:name w:val="Normal_20"/>
    <w:qFormat/>
    <w:uiPriority w:val="0"/>
    <w:rPr>
      <w:rFonts w:ascii="Times New Roman" w:hAnsi="Times New Roman" w:eastAsia="Times New Roman" w:cs="Times New Roman"/>
      <w:sz w:val="24"/>
      <w:szCs w:val="24"/>
      <w:lang w:val="en-US" w:eastAsia="zh-CN" w:bidi="ar-SA"/>
    </w:rPr>
  </w:style>
  <w:style w:type="paragraph" w:customStyle="1" w:styleId="1624">
    <w:name w:val="正文_8"/>
    <w:qFormat/>
    <w:uiPriority w:val="0"/>
    <w:pPr>
      <w:widowControl w:val="0"/>
      <w:jc w:val="both"/>
    </w:pPr>
    <w:rPr>
      <w:rFonts w:ascii="Calibri" w:hAnsi="Calibri" w:eastAsia="宋体" w:cs="Times New Roman"/>
      <w:sz w:val="21"/>
      <w:szCs w:val="22"/>
      <w:lang w:val="en-US" w:eastAsia="zh-CN" w:bidi="ar-SA"/>
    </w:rPr>
  </w:style>
  <w:style w:type="paragraph" w:customStyle="1" w:styleId="1625">
    <w:name w:val="正文缩进_0_0"/>
    <w:basedOn w:val="1624"/>
    <w:link w:val="1626"/>
    <w:qFormat/>
    <w:uiPriority w:val="0"/>
    <w:pPr>
      <w:spacing w:line="360" w:lineRule="atLeast"/>
      <w:ind w:firstLine="482"/>
    </w:pPr>
    <w:rPr>
      <w:rFonts w:ascii="Times New Roman" w:hAnsi="Times New Roman"/>
      <w:sz w:val="24"/>
      <w:szCs w:val="20"/>
    </w:rPr>
  </w:style>
  <w:style w:type="character" w:customStyle="1" w:styleId="1626">
    <w:name w:val="正文缩进 Char1_0_0"/>
    <w:link w:val="1625"/>
    <w:qFormat/>
    <w:uiPriority w:val="0"/>
    <w:rPr>
      <w:rFonts w:ascii="Times New Roman" w:hAnsi="Times New Roman"/>
      <w:sz w:val="24"/>
    </w:rPr>
  </w:style>
  <w:style w:type="paragraph" w:customStyle="1" w:styleId="1627">
    <w:name w:val="Normal_21"/>
    <w:qFormat/>
    <w:uiPriority w:val="0"/>
    <w:rPr>
      <w:rFonts w:ascii="Times New Roman" w:hAnsi="Times New Roman" w:eastAsia="Times New Roman" w:cs="Times New Roman"/>
      <w:sz w:val="24"/>
      <w:szCs w:val="24"/>
      <w:lang w:val="en-US" w:eastAsia="zh-CN" w:bidi="ar-SA"/>
    </w:rPr>
  </w:style>
  <w:style w:type="paragraph" w:customStyle="1" w:styleId="1628">
    <w:name w:val="正文_9"/>
    <w:qFormat/>
    <w:uiPriority w:val="0"/>
    <w:pPr>
      <w:widowControl w:val="0"/>
      <w:jc w:val="both"/>
    </w:pPr>
    <w:rPr>
      <w:rFonts w:ascii="Calibri" w:hAnsi="Calibri" w:eastAsia="宋体" w:cs="Times New Roman"/>
      <w:sz w:val="21"/>
      <w:szCs w:val="22"/>
      <w:lang w:val="en-US" w:eastAsia="zh-CN" w:bidi="ar-SA"/>
    </w:rPr>
  </w:style>
  <w:style w:type="paragraph" w:customStyle="1" w:styleId="1629">
    <w:name w:val="正文缩进_1"/>
    <w:basedOn w:val="1628"/>
    <w:link w:val="1630"/>
    <w:qFormat/>
    <w:uiPriority w:val="0"/>
    <w:pPr>
      <w:spacing w:line="360" w:lineRule="atLeast"/>
      <w:ind w:firstLine="482"/>
    </w:pPr>
    <w:rPr>
      <w:rFonts w:ascii="Times New Roman" w:hAnsi="Times New Roman"/>
      <w:sz w:val="24"/>
      <w:szCs w:val="20"/>
    </w:rPr>
  </w:style>
  <w:style w:type="character" w:customStyle="1" w:styleId="1630">
    <w:name w:val="正文缩进 Char1_1"/>
    <w:link w:val="1629"/>
    <w:qFormat/>
    <w:uiPriority w:val="0"/>
    <w:rPr>
      <w:rFonts w:ascii="Times New Roman" w:hAnsi="Times New Roman"/>
      <w:sz w:val="24"/>
    </w:rPr>
  </w:style>
  <w:style w:type="paragraph" w:customStyle="1" w:styleId="1631">
    <w:name w:val="Normal_22"/>
    <w:qFormat/>
    <w:uiPriority w:val="0"/>
    <w:rPr>
      <w:rFonts w:ascii="Times New Roman" w:hAnsi="Times New Roman" w:eastAsia="Times New Roman" w:cs="Times New Roman"/>
      <w:sz w:val="24"/>
      <w:szCs w:val="24"/>
      <w:lang w:val="en-US" w:eastAsia="zh-CN" w:bidi="ar-SA"/>
    </w:rPr>
  </w:style>
  <w:style w:type="paragraph" w:customStyle="1" w:styleId="1632">
    <w:name w:val="Normal_23"/>
    <w:qFormat/>
    <w:uiPriority w:val="0"/>
    <w:rPr>
      <w:rFonts w:ascii="Times New Roman" w:hAnsi="Times New Roman" w:eastAsia="Times New Roman" w:cs="Times New Roman"/>
      <w:sz w:val="24"/>
      <w:szCs w:val="24"/>
      <w:lang w:val="en-US" w:eastAsia="zh-CN" w:bidi="ar-SA"/>
    </w:rPr>
  </w:style>
  <w:style w:type="paragraph" w:customStyle="1" w:styleId="1633">
    <w:name w:val="Normal_24"/>
    <w:qFormat/>
    <w:uiPriority w:val="0"/>
    <w:rPr>
      <w:rFonts w:ascii="Times New Roman" w:hAnsi="Times New Roman" w:eastAsia="Times New Roman" w:cs="Times New Roman"/>
      <w:sz w:val="24"/>
      <w:szCs w:val="24"/>
      <w:lang w:val="en-US" w:eastAsia="zh-CN" w:bidi="ar-SA"/>
    </w:rPr>
  </w:style>
  <w:style w:type="paragraph" w:customStyle="1" w:styleId="1634">
    <w:name w:val="正文_10"/>
    <w:qFormat/>
    <w:uiPriority w:val="0"/>
    <w:rPr>
      <w:rFonts w:ascii="Times New Roman" w:hAnsi="Times New Roman" w:eastAsia="宋体" w:cs="Times New Roman"/>
      <w:sz w:val="24"/>
      <w:szCs w:val="24"/>
      <w:lang w:val="en-US" w:eastAsia="zh-CN" w:bidi="ar-SA"/>
    </w:rPr>
  </w:style>
  <w:style w:type="paragraph" w:customStyle="1" w:styleId="1635">
    <w:name w:val="Normal_25"/>
    <w:qFormat/>
    <w:uiPriority w:val="0"/>
    <w:rPr>
      <w:rFonts w:ascii="Times New Roman" w:hAnsi="Times New Roman" w:eastAsia="Times New Roman" w:cs="Times New Roman"/>
      <w:sz w:val="24"/>
      <w:szCs w:val="24"/>
      <w:lang w:val="en-US" w:eastAsia="zh-CN" w:bidi="ar-SA"/>
    </w:rPr>
  </w:style>
  <w:style w:type="paragraph" w:customStyle="1" w:styleId="1636">
    <w:name w:val="Normal_26"/>
    <w:qFormat/>
    <w:uiPriority w:val="0"/>
    <w:rPr>
      <w:rFonts w:ascii="Times New Roman" w:hAnsi="Times New Roman" w:eastAsia="Times New Roman" w:cs="Times New Roman"/>
      <w:sz w:val="24"/>
      <w:szCs w:val="24"/>
      <w:lang w:val="en-US" w:eastAsia="zh-CN" w:bidi="ar-SA"/>
    </w:rPr>
  </w:style>
  <w:style w:type="paragraph" w:customStyle="1" w:styleId="1637">
    <w:name w:val="Normal_28"/>
    <w:qFormat/>
    <w:uiPriority w:val="0"/>
    <w:rPr>
      <w:rFonts w:ascii="Times New Roman" w:hAnsi="Times New Roman" w:eastAsia="Times New Roman" w:cs="Times New Roman"/>
      <w:sz w:val="24"/>
      <w:szCs w:val="24"/>
      <w:lang w:val="en-US" w:eastAsia="zh-CN" w:bidi="ar-SA"/>
    </w:rPr>
  </w:style>
  <w:style w:type="paragraph" w:customStyle="1" w:styleId="1638">
    <w:name w:val="正文_2"/>
    <w:qFormat/>
    <w:uiPriority w:val="0"/>
    <w:pPr>
      <w:widowControl w:val="0"/>
      <w:jc w:val="both"/>
    </w:pPr>
    <w:rPr>
      <w:rFonts w:ascii="Calibri" w:hAnsi="Calibri" w:eastAsia="宋体" w:cs="Times New Roman"/>
      <w:sz w:val="21"/>
      <w:szCs w:val="22"/>
      <w:lang w:val="en-US" w:eastAsia="zh-CN" w:bidi="ar-SA"/>
    </w:rPr>
  </w:style>
  <w:style w:type="paragraph" w:customStyle="1" w:styleId="1639">
    <w:name w:val="正文_1_0_0"/>
    <w:qFormat/>
    <w:uiPriority w:val="0"/>
    <w:pPr>
      <w:widowControl w:val="0"/>
      <w:jc w:val="both"/>
    </w:pPr>
    <w:rPr>
      <w:rFonts w:ascii="Calibri" w:hAnsi="Calibri" w:eastAsia="宋体" w:cs="Times New Roman"/>
      <w:sz w:val="21"/>
      <w:szCs w:val="22"/>
      <w:lang w:val="en-US" w:eastAsia="zh-CN" w:bidi="ar-SA"/>
    </w:rPr>
  </w:style>
  <w:style w:type="paragraph" w:customStyle="1" w:styleId="1640">
    <w:name w:val="表 靠左"/>
    <w:basedOn w:val="1"/>
    <w:link w:val="1641"/>
    <w:qFormat/>
    <w:uiPriority w:val="0"/>
    <w:pPr>
      <w:jc w:val="center"/>
    </w:pPr>
    <w:rPr>
      <w:rFonts w:ascii="宋体" w:hAnsi="宋体"/>
      <w:szCs w:val="21"/>
    </w:rPr>
  </w:style>
  <w:style w:type="character" w:customStyle="1" w:styleId="1641">
    <w:name w:val="表 靠左 字符"/>
    <w:link w:val="1640"/>
    <w:qFormat/>
    <w:uiPriority w:val="0"/>
    <w:rPr>
      <w:rFonts w:ascii="宋体" w:hAnsi="宋体" w:eastAsia="宋体" w:cs="Times New Roman"/>
      <w:sz w:val="21"/>
      <w:szCs w:val="21"/>
    </w:rPr>
  </w:style>
  <w:style w:type="paragraph" w:customStyle="1" w:styleId="1642">
    <w:name w:val="表"/>
    <w:basedOn w:val="1"/>
    <w:next w:val="1"/>
    <w:qFormat/>
    <w:uiPriority w:val="7"/>
    <w:pPr>
      <w:jc w:val="center"/>
    </w:pPr>
    <w:rPr>
      <w:rFonts w:ascii="Times New Roman" w:hAnsi="Times New Roman"/>
      <w:szCs w:val="21"/>
    </w:rPr>
  </w:style>
  <w:style w:type="table" w:customStyle="1" w:styleId="1643">
    <w:name w:val="典雅型1"/>
    <w:basedOn w:val="221"/>
    <w:unhideWhenUsed/>
    <w:qFormat/>
    <w:uiPriority w:val="0"/>
    <w:pPr>
      <w:widowControl w:val="0"/>
      <w:jc w:val="both"/>
    </w:pPr>
  </w:style>
  <w:style w:type="paragraph" w:customStyle="1" w:styleId="1644">
    <w:name w:val="Normal_6_0"/>
    <w:qFormat/>
    <w:uiPriority w:val="0"/>
    <w:rPr>
      <w:rFonts w:ascii="Times New Roman" w:hAnsi="Times New Roman" w:eastAsia="Times New Roman" w:cs="Times New Roman"/>
      <w:sz w:val="24"/>
      <w:szCs w:val="24"/>
      <w:lang w:val="en-US" w:eastAsia="zh-CN" w:bidi="ar-SA"/>
    </w:rPr>
  </w:style>
  <w:style w:type="paragraph" w:customStyle="1" w:styleId="1645">
    <w:name w:val="列出段落5"/>
    <w:basedOn w:val="1612"/>
    <w:link w:val="1646"/>
    <w:qFormat/>
    <w:uiPriority w:val="34"/>
    <w:pPr>
      <w:widowControl w:val="0"/>
      <w:ind w:firstLine="420"/>
      <w:jc w:val="both"/>
    </w:pPr>
    <w:rPr>
      <w:rFonts w:ascii="Calibri" w:hAnsi="Calibri" w:eastAsia="宋体"/>
      <w:sz w:val="21"/>
      <w:szCs w:val="22"/>
    </w:rPr>
  </w:style>
  <w:style w:type="character" w:customStyle="1" w:styleId="1646">
    <w:name w:val="列出段落 Char_0"/>
    <w:link w:val="1645"/>
    <w:qFormat/>
    <w:uiPriority w:val="34"/>
    <w:rPr>
      <w:rFonts w:ascii="Calibri" w:hAnsi="Calibri" w:eastAsia="宋体"/>
      <w:sz w:val="21"/>
      <w:szCs w:val="22"/>
    </w:rPr>
  </w:style>
  <w:style w:type="paragraph" w:customStyle="1" w:styleId="1647">
    <w:name w:val="正文_7"/>
    <w:qFormat/>
    <w:uiPriority w:val="0"/>
    <w:pPr>
      <w:widowControl w:val="0"/>
      <w:jc w:val="both"/>
    </w:pPr>
    <w:rPr>
      <w:rFonts w:ascii="Calibri" w:hAnsi="Calibri" w:eastAsia="宋体" w:cs="Times New Roman"/>
      <w:sz w:val="21"/>
      <w:szCs w:val="22"/>
      <w:lang w:val="en-US" w:eastAsia="zh-CN" w:bidi="ar-SA"/>
    </w:rPr>
  </w:style>
  <w:style w:type="paragraph" w:customStyle="1" w:styleId="1648">
    <w:name w:val="正文_11"/>
    <w:qFormat/>
    <w:uiPriority w:val="0"/>
    <w:pPr>
      <w:widowControl w:val="0"/>
      <w:jc w:val="both"/>
    </w:pPr>
    <w:rPr>
      <w:rFonts w:ascii="Calibri" w:hAnsi="Calibri" w:eastAsia="宋体" w:cs="Times New Roman"/>
      <w:sz w:val="21"/>
      <w:szCs w:val="22"/>
      <w:lang w:val="en-US" w:eastAsia="zh-CN" w:bidi="ar-SA"/>
    </w:rPr>
  </w:style>
  <w:style w:type="paragraph" w:customStyle="1" w:styleId="1649">
    <w:name w:val="正文缩进_2"/>
    <w:basedOn w:val="1648"/>
    <w:qFormat/>
    <w:uiPriority w:val="0"/>
    <w:pPr>
      <w:spacing w:line="360" w:lineRule="atLeast"/>
      <w:ind w:firstLine="482"/>
    </w:pPr>
    <w:rPr>
      <w:rFonts w:ascii="Times New Roman" w:hAnsi="Times New Roman"/>
      <w:sz w:val="24"/>
      <w:szCs w:val="20"/>
    </w:rPr>
  </w:style>
  <w:style w:type="paragraph" w:customStyle="1" w:styleId="1650">
    <w:name w:val="Normal_29"/>
    <w:qFormat/>
    <w:uiPriority w:val="0"/>
    <w:rPr>
      <w:rFonts w:ascii="Times New Roman" w:hAnsi="Times New Roman" w:eastAsia="Times New Roman" w:cs="Times New Roman"/>
      <w:sz w:val="24"/>
      <w:szCs w:val="24"/>
      <w:lang w:val="en-US" w:eastAsia="zh-CN" w:bidi="ar-SA"/>
    </w:rPr>
  </w:style>
  <w:style w:type="paragraph" w:customStyle="1" w:styleId="1651">
    <w:name w:val="Normal_30"/>
    <w:qFormat/>
    <w:uiPriority w:val="0"/>
    <w:rPr>
      <w:rFonts w:ascii="Times New Roman" w:hAnsi="Times New Roman" w:eastAsia="Times New Roman" w:cs="Times New Roman"/>
      <w:sz w:val="24"/>
      <w:szCs w:val="24"/>
      <w:lang w:val="en-US" w:eastAsia="zh-CN" w:bidi="ar-SA"/>
    </w:rPr>
  </w:style>
  <w:style w:type="paragraph" w:customStyle="1" w:styleId="1652">
    <w:name w:val="Normal_31"/>
    <w:qFormat/>
    <w:uiPriority w:val="0"/>
    <w:rPr>
      <w:rFonts w:ascii="Times New Roman" w:hAnsi="Times New Roman" w:eastAsia="Times New Roman" w:cs="Times New Roman"/>
      <w:sz w:val="24"/>
      <w:szCs w:val="24"/>
      <w:lang w:val="en-US" w:eastAsia="zh-CN" w:bidi="ar-SA"/>
    </w:rPr>
  </w:style>
  <w:style w:type="paragraph" w:customStyle="1" w:styleId="1653">
    <w:name w:val="Normal_32"/>
    <w:qFormat/>
    <w:uiPriority w:val="0"/>
    <w:pPr>
      <w:widowControl w:val="0"/>
      <w:jc w:val="both"/>
    </w:pPr>
    <w:rPr>
      <w:rFonts w:ascii="Calibri" w:hAnsi="Calibri" w:eastAsia="宋体" w:cs="Times New Roman"/>
      <w:sz w:val="21"/>
      <w:szCs w:val="22"/>
      <w:lang w:val="en-US" w:eastAsia="zh-CN" w:bidi="ar-SA"/>
    </w:rPr>
  </w:style>
  <w:style w:type="paragraph" w:customStyle="1" w:styleId="1654">
    <w:name w:val="正文缩进3"/>
    <w:basedOn w:val="1653"/>
    <w:link w:val="1655"/>
    <w:qFormat/>
    <w:uiPriority w:val="0"/>
    <w:pPr>
      <w:spacing w:line="360" w:lineRule="atLeast"/>
      <w:ind w:firstLine="482"/>
    </w:pPr>
    <w:rPr>
      <w:rFonts w:ascii="Times New Roman" w:hAnsi="Times New Roman"/>
      <w:sz w:val="24"/>
      <w:szCs w:val="20"/>
    </w:rPr>
  </w:style>
  <w:style w:type="character" w:customStyle="1" w:styleId="1655">
    <w:name w:val="正文缩进 Char1_3"/>
    <w:link w:val="1654"/>
    <w:qFormat/>
    <w:uiPriority w:val="0"/>
    <w:rPr>
      <w:rFonts w:ascii="Times New Roman" w:hAnsi="Times New Roman" w:eastAsia="宋体"/>
      <w:sz w:val="24"/>
    </w:rPr>
  </w:style>
  <w:style w:type="paragraph" w:customStyle="1" w:styleId="1656">
    <w:name w:val="Normal_33"/>
    <w:qFormat/>
    <w:uiPriority w:val="0"/>
    <w:rPr>
      <w:rFonts w:ascii="Times New Roman" w:hAnsi="Times New Roman" w:eastAsia="Times New Roman" w:cs="Times New Roman"/>
      <w:sz w:val="24"/>
      <w:szCs w:val="24"/>
      <w:lang w:val="en-US" w:eastAsia="zh-CN" w:bidi="ar-SA"/>
    </w:rPr>
  </w:style>
  <w:style w:type="paragraph" w:customStyle="1" w:styleId="1657">
    <w:name w:val="pf0"/>
    <w:basedOn w:val="1"/>
    <w:qFormat/>
    <w:uiPriority w:val="0"/>
    <w:pPr>
      <w:spacing w:before="100" w:beforeAutospacing="1" w:after="100" w:afterAutospacing="1"/>
    </w:pPr>
  </w:style>
  <w:style w:type="paragraph" w:customStyle="1" w:styleId="1658">
    <w:name w:val="正文首缩两字"/>
    <w:basedOn w:val="1"/>
    <w:qFormat/>
    <w:uiPriority w:val="0"/>
    <w:pPr>
      <w:spacing w:line="360" w:lineRule="auto"/>
      <w:ind w:firstLine="200" w:firstLineChars="200"/>
    </w:pPr>
    <w:rPr>
      <w:rFonts w:ascii="Verdana" w:hAnsi="Verdana"/>
      <w:sz w:val="24"/>
    </w:rPr>
  </w:style>
  <w:style w:type="paragraph" w:customStyle="1" w:styleId="1659">
    <w:name w:val="正文-模版"/>
    <w:qFormat/>
    <w:uiPriority w:val="0"/>
    <w:pPr>
      <w:widowControl w:val="0"/>
      <w:adjustRightInd w:val="0"/>
      <w:spacing w:line="400" w:lineRule="exact"/>
      <w:ind w:firstLine="200" w:firstLineChars="200"/>
      <w:jc w:val="both"/>
      <w:textAlignment w:val="baseline"/>
    </w:pPr>
    <w:rPr>
      <w:rFonts w:ascii="宋体" w:hAnsi="Times New Roman" w:eastAsia="宋体" w:cs="Times New Roman"/>
      <w:sz w:val="24"/>
      <w:lang w:val="en-US" w:eastAsia="zh-CN" w:bidi="ar-SA"/>
    </w:rPr>
  </w:style>
  <w:style w:type="character" w:customStyle="1" w:styleId="1660">
    <w:name w:val="文档结构图 字符"/>
    <w:link w:val="15"/>
    <w:semiHidden/>
    <w:qFormat/>
    <w:uiPriority w:val="99"/>
    <w:rPr>
      <w:rFonts w:ascii="宋体" w:hAnsi="Calibri"/>
      <w:sz w:val="18"/>
      <w:szCs w:val="18"/>
    </w:rPr>
  </w:style>
  <w:style w:type="character" w:customStyle="1" w:styleId="1661">
    <w:name w:val="纯文本 字符"/>
    <w:link w:val="20"/>
    <w:qFormat/>
    <w:uiPriority w:val="0"/>
    <w:rPr>
      <w:rFonts w:ascii="宋体" w:hAnsi="Courier New" w:eastAsia="仿宋" w:cs="Courier New"/>
      <w:kern w:val="2"/>
      <w:sz w:val="24"/>
      <w:szCs w:val="21"/>
    </w:rPr>
  </w:style>
  <w:style w:type="table" w:customStyle="1" w:styleId="1662">
    <w:name w:val="网格型9"/>
    <w:basedOn w:val="3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63">
    <w:name w:val="网格型10"/>
    <w:basedOn w:val="3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64">
    <w:name w:val="批注框文本 字符"/>
    <w:link w:val="24"/>
    <w:semiHidden/>
    <w:qFormat/>
    <w:uiPriority w:val="99"/>
    <w:rPr>
      <w:rFonts w:ascii="Calibri" w:hAnsi="Calibri"/>
      <w:sz w:val="18"/>
      <w:szCs w:val="18"/>
    </w:rPr>
  </w:style>
  <w:style w:type="table" w:customStyle="1" w:styleId="1665">
    <w:name w:val="Table Normal"/>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1666">
    <w:name w:val="日期 字符"/>
    <w:basedOn w:val="41"/>
    <w:link w:val="22"/>
    <w:semiHidden/>
    <w:qFormat/>
    <w:uiPriority w:val="99"/>
    <w:rPr>
      <w:rFonts w:ascii="Calibri" w:hAnsi="Calibri"/>
      <w:sz w:val="21"/>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8A95DD-259A-4F61-914B-1D800D83AC52}">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86</Pages>
  <Words>7349</Words>
  <Characters>41893</Characters>
  <Lines>349</Lines>
  <Paragraphs>98</Paragraphs>
  <TotalTime>36</TotalTime>
  <ScaleCrop>false</ScaleCrop>
  <LinksUpToDate>false</LinksUpToDate>
  <CharactersWithSpaces>49144</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2023-12-03T11:03:00Z</dcterms:created>
  <dc:creator>wwj</dc:creator>
  <cp:lastModifiedBy>xtx</cp:lastModifiedBy>
  <cp:lastPrinted>2023-11-16T01:33:00Z</cp:lastPrinted>
  <dcterms:modified xsi:type="dcterms:W3CDTF">2023-12-07T10:15:08Z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B66AB17152014C588AE26ACB2C05FD6D_13</vt:lpwstr>
  </property>
</Properties>
</file>