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ind w:firstLine="420"/>
        <w:jc w:val="center"/>
        <w:rPr>
          <w:rFonts w:hint="eastAsia" w:ascii="宋体" w:hAnsi="宋体" w:eastAsia="宋体" w:cs="宋体"/>
          <w:b/>
          <w:sz w:val="28"/>
          <w:szCs w:val="28"/>
        </w:rPr>
      </w:pPr>
      <w:r>
        <w:rPr>
          <w:rFonts w:hint="eastAsia" w:ascii="宋体" w:hAnsi="宋体" w:eastAsia="宋体" w:cs="宋体"/>
          <w:b/>
          <w:sz w:val="28"/>
          <w:szCs w:val="28"/>
        </w:rPr>
        <w:t>标段三：采购</w:t>
      </w:r>
      <w:r>
        <w:rPr>
          <w:rFonts w:hint="eastAsia" w:ascii="宋体" w:hAnsi="宋体" w:cs="宋体"/>
          <w:b/>
          <w:sz w:val="28"/>
          <w:szCs w:val="28"/>
          <w:lang w:eastAsia="zh-CN"/>
        </w:rPr>
        <w:t>镇江市丹徒区对口</w:t>
      </w:r>
      <w:r>
        <w:rPr>
          <w:rFonts w:hint="eastAsia" w:ascii="宋体" w:hAnsi="宋体" w:eastAsia="宋体" w:cs="宋体"/>
          <w:b/>
          <w:sz w:val="28"/>
          <w:szCs w:val="28"/>
        </w:rPr>
        <w:t>协作地区陕西省渭南市澄城县猕猴桃</w:t>
      </w:r>
    </w:p>
    <w:p>
      <w:pPr>
        <w:spacing w:line="360" w:lineRule="auto"/>
        <w:ind w:firstLine="472" w:firstLineChars="196"/>
        <w:rPr>
          <w:rFonts w:hint="eastAsia" w:ascii="宋体" w:hAnsi="宋体" w:eastAsia="宋体" w:cs="宋体"/>
          <w:b/>
          <w:sz w:val="24"/>
        </w:rPr>
      </w:pPr>
      <w:r>
        <w:rPr>
          <w:rFonts w:hint="eastAsia" w:ascii="宋体" w:hAnsi="宋体" w:eastAsia="宋体" w:cs="宋体"/>
          <w:b/>
          <w:sz w:val="24"/>
          <w:lang w:val="en-US" w:eastAsia="zh-CN"/>
        </w:rPr>
        <w:t>一</w:t>
      </w:r>
      <w:r>
        <w:rPr>
          <w:rFonts w:hint="eastAsia" w:ascii="宋体" w:hAnsi="宋体" w:eastAsia="宋体" w:cs="宋体"/>
          <w:b/>
          <w:sz w:val="24"/>
        </w:rPr>
        <w:t>.项目概况</w:t>
      </w:r>
    </w:p>
    <w:p>
      <w:pPr>
        <w:spacing w:line="360" w:lineRule="auto"/>
        <w:ind w:firstLine="495"/>
        <w:rPr>
          <w:rFonts w:hint="eastAsia" w:ascii="宋体" w:hAnsi="宋体" w:eastAsia="宋体" w:cs="宋体"/>
          <w:color w:val="4874CB" w:themeColor="accent1"/>
          <w:sz w:val="24"/>
          <w:highlight w:val="none"/>
          <w14:textFill>
            <w14:solidFill>
              <w14:schemeClr w14:val="accent1"/>
            </w14:solidFill>
          </w14:textFill>
        </w:rPr>
      </w:pPr>
      <w:r>
        <w:rPr>
          <w:rFonts w:hint="eastAsia" w:ascii="宋体" w:hAnsi="宋体" w:eastAsia="宋体" w:cs="宋体"/>
          <w:color w:val="4874CB" w:themeColor="accent1"/>
          <w:sz w:val="24"/>
          <w14:textFill>
            <w14:solidFill>
              <w14:schemeClr w14:val="accent1"/>
            </w14:solidFill>
          </w14:textFill>
        </w:rPr>
        <w:t>为全面落实国家、省有关消费帮扶工作要求，扎实推进丹徒区对口支援协作合作工作，结合丹徒区多年消费帮扶工作实际，根据《关于印发2023年丹徒区东西部协作任务指标分解计划</w:t>
      </w:r>
      <w:r>
        <w:rPr>
          <w:rFonts w:hint="eastAsia" w:ascii="宋体" w:hAnsi="宋体" w:eastAsia="宋体" w:cs="宋体"/>
          <w:color w:val="4874CB" w:themeColor="accent1"/>
          <w:sz w:val="24"/>
          <w:highlight w:val="none"/>
          <w14:textFill>
            <w14:solidFill>
              <w14:schemeClr w14:val="accent1"/>
            </w14:solidFill>
          </w14:textFill>
        </w:rPr>
        <w:t>的通知》&lt;镇徒对口支援办发(2023)1号&gt;文件，今年继续开展消费帮扶进机关活动。拟采购丹徒区对口协作地区陕西省澄城县、对口支援合作地区湖北省秭归县的特色农产品。</w:t>
      </w:r>
    </w:p>
    <w:p>
      <w:pPr>
        <w:spacing w:line="360" w:lineRule="auto"/>
        <w:ind w:firstLine="495"/>
        <w:rPr>
          <w:rFonts w:hint="eastAsia" w:ascii="宋体" w:hAnsi="宋体" w:eastAsia="宋体" w:cs="宋体"/>
          <w:color w:val="4874CB" w:themeColor="accent1"/>
          <w:sz w:val="24"/>
          <w:highlight w:val="none"/>
          <w14:textFill>
            <w14:solidFill>
              <w14:schemeClr w14:val="accent1"/>
            </w14:solidFill>
          </w14:textFill>
        </w:rPr>
      </w:pPr>
      <w:r>
        <w:rPr>
          <w:rFonts w:hint="eastAsia" w:ascii="宋体" w:hAnsi="宋体" w:eastAsia="宋体" w:cs="宋体"/>
          <w:color w:val="4874CB" w:themeColor="accent1"/>
          <w:sz w:val="24"/>
          <w:highlight w:val="none"/>
          <w14:textFill>
            <w14:solidFill>
              <w14:schemeClr w14:val="accent1"/>
            </w14:solidFill>
          </w14:textFill>
        </w:rPr>
        <w:t>项目所属行业：</w:t>
      </w:r>
      <w:r>
        <w:rPr>
          <w:rFonts w:hint="eastAsia" w:ascii="宋体" w:hAnsi="宋体" w:eastAsia="宋体" w:cs="宋体"/>
          <w:color w:val="4874CB" w:themeColor="accent1"/>
          <w:sz w:val="24"/>
          <w:highlight w:val="none"/>
          <w:lang w:val="en-US" w:eastAsia="zh-CN"/>
          <w14:textFill>
            <w14:solidFill>
              <w14:schemeClr w14:val="accent1"/>
            </w14:solidFill>
          </w14:textFill>
        </w:rPr>
        <w:t>批发业</w:t>
      </w:r>
      <w:r>
        <w:rPr>
          <w:rFonts w:hint="eastAsia" w:ascii="宋体" w:hAnsi="宋体" w:eastAsia="宋体" w:cs="宋体"/>
          <w:color w:val="4874CB" w:themeColor="accent1"/>
          <w:sz w:val="24"/>
          <w:highlight w:val="none"/>
          <w14:textFill>
            <w14:solidFill>
              <w14:schemeClr w14:val="accent1"/>
            </w14:solidFill>
          </w14:textFill>
        </w:rPr>
        <w:t>。</w:t>
      </w:r>
    </w:p>
    <w:p>
      <w:pPr>
        <w:spacing w:line="360" w:lineRule="auto"/>
        <w:ind w:firstLine="472" w:firstLineChars="196"/>
        <w:rPr>
          <w:rFonts w:hint="eastAsia" w:ascii="宋体" w:hAnsi="宋体" w:eastAsia="宋体" w:cs="宋体"/>
          <w:b/>
          <w:sz w:val="24"/>
          <w:highlight w:val="none"/>
        </w:rPr>
      </w:pPr>
      <w:r>
        <w:rPr>
          <w:rFonts w:hint="eastAsia" w:ascii="宋体" w:hAnsi="宋体" w:eastAsia="宋体" w:cs="宋体"/>
          <w:b/>
          <w:sz w:val="24"/>
          <w:highlight w:val="none"/>
          <w:lang w:val="en-US" w:eastAsia="zh-CN"/>
        </w:rPr>
        <w:t>二</w:t>
      </w:r>
      <w:r>
        <w:rPr>
          <w:rFonts w:hint="eastAsia" w:ascii="宋体" w:hAnsi="宋体" w:eastAsia="宋体" w:cs="宋体"/>
          <w:b/>
          <w:sz w:val="24"/>
          <w:highlight w:val="none"/>
        </w:rPr>
        <w:t>.采购内容及要求</w:t>
      </w:r>
    </w:p>
    <w:p>
      <w:pPr>
        <w:spacing w:line="360" w:lineRule="auto"/>
        <w:ind w:firstLine="480" w:firstLineChars="200"/>
        <w:rPr>
          <w:rFonts w:hint="eastAsia" w:ascii="宋体" w:hAnsi="宋体" w:eastAsia="宋体" w:cs="宋体"/>
          <w:sz w:val="24"/>
          <w:highlight w:val="none"/>
        </w:rPr>
      </w:pPr>
      <w:r>
        <w:rPr>
          <w:rFonts w:hint="eastAsia" w:ascii="宋体" w:hAnsi="宋体" w:eastAsia="宋体" w:cs="宋体"/>
          <w:sz w:val="24"/>
          <w:highlight w:val="none"/>
        </w:rPr>
        <w:t>1 采购内容及预算：</w:t>
      </w:r>
      <w:r>
        <w:rPr>
          <w:rFonts w:hint="eastAsia" w:ascii="宋体" w:hAnsi="宋体" w:eastAsia="宋体" w:cs="宋体"/>
          <w:sz w:val="24"/>
          <w:highlight w:val="none"/>
          <w:lang w:val="en-US" w:eastAsia="zh-CN"/>
        </w:rPr>
        <w:t>项目</w:t>
      </w:r>
      <w:r>
        <w:rPr>
          <w:rFonts w:hint="eastAsia" w:ascii="宋体" w:hAnsi="宋体" w:eastAsia="宋体" w:cs="宋体"/>
          <w:sz w:val="24"/>
          <w:highlight w:val="none"/>
        </w:rPr>
        <w:t>预算（最高限价）：人民币</w:t>
      </w:r>
      <w:r>
        <w:rPr>
          <w:rFonts w:hint="eastAsia" w:ascii="宋体" w:hAnsi="宋体" w:cs="宋体"/>
          <w:color w:val="auto"/>
          <w:sz w:val="24"/>
          <w:highlight w:val="none"/>
          <w:u w:val="single"/>
          <w:lang w:val="en-US" w:eastAsia="zh-CN"/>
        </w:rPr>
        <w:t>63.00</w:t>
      </w:r>
      <w:r>
        <w:rPr>
          <w:rFonts w:hint="eastAsia" w:ascii="宋体" w:hAnsi="宋体" w:eastAsia="宋体" w:cs="宋体"/>
          <w:color w:val="auto"/>
          <w:sz w:val="24"/>
          <w:highlight w:val="none"/>
        </w:rPr>
        <w:t>万元</w:t>
      </w:r>
      <w:r>
        <w:rPr>
          <w:rFonts w:hint="eastAsia" w:ascii="宋体" w:hAnsi="宋体" w:eastAsia="宋体" w:cs="宋体"/>
          <w:color w:val="auto"/>
          <w:sz w:val="24"/>
          <w:highlight w:val="none"/>
          <w:lang w:eastAsia="zh-CN"/>
        </w:rPr>
        <w:t>，采购</w:t>
      </w:r>
      <w:r>
        <w:rPr>
          <w:rFonts w:hint="eastAsia" w:ascii="宋体" w:hAnsi="宋体" w:cs="宋体"/>
          <w:color w:val="auto"/>
          <w:sz w:val="24"/>
          <w:highlight w:val="none"/>
          <w:lang w:eastAsia="zh-CN"/>
        </w:rPr>
        <w:t>镇江市丹徒区对口</w:t>
      </w:r>
      <w:r>
        <w:rPr>
          <w:rFonts w:hint="eastAsia" w:ascii="宋体" w:hAnsi="宋体" w:eastAsia="宋体" w:cs="宋体"/>
          <w:color w:val="auto"/>
          <w:sz w:val="24"/>
          <w:highlight w:val="none"/>
          <w:lang w:eastAsia="zh-CN"/>
        </w:rPr>
        <w:t>协作地区猕猴桃</w:t>
      </w:r>
      <w:r>
        <w:rPr>
          <w:rFonts w:hint="eastAsia" w:ascii="宋体" w:hAnsi="宋体" w:eastAsia="宋体" w:cs="宋体"/>
          <w:sz w:val="24"/>
          <w:highlight w:val="none"/>
        </w:rPr>
        <w:t>。</w:t>
      </w:r>
    </w:p>
    <w:tbl>
      <w:tblPr>
        <w:tblStyle w:val="3"/>
        <w:tblW w:w="0" w:type="auto"/>
        <w:tblInd w:w="540" w:type="dxa"/>
        <w:tblBorders>
          <w:top w:val="none" w:color="000000" w:sz="4" w:space="0"/>
          <w:left w:val="none" w:color="000000" w:sz="4" w:space="0"/>
          <w:bottom w:val="none" w:color="000000" w:sz="4" w:space="0"/>
          <w:right w:val="none" w:color="000000" w:sz="4" w:space="0"/>
          <w:insideH w:val="none" w:color="000000" w:sz="4" w:space="0"/>
          <w:insideV w:val="none" w:color="000000" w:sz="4" w:space="0"/>
        </w:tblBorders>
        <w:tblLayout w:type="autofit"/>
        <w:tblCellMar>
          <w:top w:w="0" w:type="dxa"/>
          <w:left w:w="108" w:type="dxa"/>
          <w:bottom w:w="0" w:type="dxa"/>
          <w:right w:w="108" w:type="dxa"/>
        </w:tblCellMar>
      </w:tblPr>
      <w:tblGrid>
        <w:gridCol w:w="988"/>
        <w:gridCol w:w="2222"/>
        <w:gridCol w:w="1457"/>
        <w:gridCol w:w="1640"/>
        <w:gridCol w:w="1675"/>
      </w:tblGrid>
      <w:tr>
        <w:tblPrEx>
          <w:tblBorders>
            <w:top w:val="none" w:color="000000" w:sz="4" w:space="0"/>
            <w:left w:val="none" w:color="000000" w:sz="4" w:space="0"/>
            <w:bottom w:val="none" w:color="000000" w:sz="4" w:space="0"/>
            <w:right w:val="none" w:color="000000" w:sz="4" w:space="0"/>
            <w:insideH w:val="none" w:color="000000" w:sz="4" w:space="0"/>
            <w:insideV w:val="none" w:color="000000" w:sz="4" w:space="0"/>
          </w:tblBorders>
        </w:tblPrEx>
        <w:trPr>
          <w:trHeight w:val="633" w:hRule="atLeast"/>
        </w:trPr>
        <w:tc>
          <w:tcPr>
            <w:tcW w:w="1088" w:type="dxa"/>
            <w:tcBorders>
              <w:top w:val="single" w:color="000000" w:sz="8" w:space="0"/>
              <w:left w:val="single" w:color="000000" w:sz="8" w:space="0"/>
              <w:bottom w:val="single" w:color="000000" w:sz="8" w:space="0"/>
              <w:right w:val="single" w:color="000000" w:sz="8" w:space="0"/>
            </w:tcBorders>
            <w:noWrap w:val="0"/>
            <w:tcMar>
              <w:top w:w="0" w:type="dxa"/>
              <w:left w:w="108" w:type="dxa"/>
              <w:bottom w:w="0" w:type="dxa"/>
              <w:right w:w="108" w:type="dxa"/>
            </w:tcMar>
            <w:vAlign w:val="center"/>
          </w:tcPr>
          <w:p>
            <w:pPr>
              <w:keepNext w:val="0"/>
              <w:keepLines w:val="0"/>
              <w:pageBreakBefore w:val="0"/>
              <w:widowControl w:val="0"/>
              <w:pBdr>
                <w:top w:val="none" w:color="000000" w:sz="0" w:space="0"/>
                <w:left w:val="none" w:color="000000" w:sz="0" w:space="0"/>
                <w:bottom w:val="none" w:color="000000" w:sz="0" w:space="0"/>
                <w:right w:val="none" w:color="000000" w:sz="0" w:space="0"/>
              </w:pBdr>
              <w:tabs>
                <w:tab w:val="left" w:pos="8279"/>
              </w:tabs>
              <w:kinsoku/>
              <w:wordWrap/>
              <w:overflowPunct/>
              <w:topLinePunct w:val="0"/>
              <w:autoSpaceDE/>
              <w:autoSpaceDN/>
              <w:bidi w:val="0"/>
              <w:adjustRightInd/>
              <w:snapToGrid/>
              <w:spacing w:before="0" w:after="0"/>
              <w:ind w:left="0" w:right="0" w:firstLine="0"/>
              <w:jc w:val="center"/>
              <w:textAlignment w:val="auto"/>
              <w:rPr>
                <w:rFonts w:hint="eastAsia" w:ascii="宋体" w:hAnsi="宋体" w:eastAsia="宋体" w:cs="宋体"/>
              </w:rPr>
            </w:pPr>
            <w:r>
              <w:rPr>
                <w:rFonts w:hint="eastAsia" w:ascii="宋体" w:hAnsi="宋体" w:eastAsia="宋体" w:cs="宋体"/>
                <w:color w:val="000000"/>
                <w:sz w:val="24"/>
              </w:rPr>
              <w:t>品种</w:t>
            </w:r>
          </w:p>
        </w:tc>
        <w:tc>
          <w:tcPr>
            <w:tcW w:w="2487" w:type="dxa"/>
            <w:tcBorders>
              <w:top w:val="single" w:color="000000" w:sz="8" w:space="0"/>
              <w:left w:val="nil"/>
              <w:bottom w:val="single" w:color="000000" w:sz="8" w:space="0"/>
              <w:right w:val="single" w:color="000000" w:sz="8" w:space="0"/>
            </w:tcBorders>
            <w:noWrap w:val="0"/>
            <w:tcMar>
              <w:top w:w="0" w:type="dxa"/>
              <w:left w:w="108" w:type="dxa"/>
              <w:bottom w:w="0" w:type="dxa"/>
              <w:right w:w="108" w:type="dxa"/>
            </w:tcMar>
            <w:vAlign w:val="center"/>
          </w:tcPr>
          <w:p>
            <w:pPr>
              <w:keepNext w:val="0"/>
              <w:keepLines w:val="0"/>
              <w:pageBreakBefore w:val="0"/>
              <w:widowControl w:val="0"/>
              <w:pBdr>
                <w:top w:val="none" w:color="000000" w:sz="0" w:space="0"/>
                <w:left w:val="none" w:color="000000" w:sz="0" w:space="0"/>
                <w:bottom w:val="none" w:color="000000" w:sz="0" w:space="0"/>
                <w:right w:val="none" w:color="000000" w:sz="0" w:space="0"/>
              </w:pBdr>
              <w:tabs>
                <w:tab w:val="left" w:pos="8279"/>
              </w:tabs>
              <w:kinsoku/>
              <w:wordWrap/>
              <w:overflowPunct/>
              <w:topLinePunct w:val="0"/>
              <w:autoSpaceDE/>
              <w:autoSpaceDN/>
              <w:bidi w:val="0"/>
              <w:adjustRightInd/>
              <w:snapToGrid/>
              <w:spacing w:before="0" w:after="0"/>
              <w:ind w:left="0" w:right="0" w:firstLine="0"/>
              <w:jc w:val="center"/>
              <w:textAlignment w:val="auto"/>
              <w:rPr>
                <w:rFonts w:hint="eastAsia" w:ascii="宋体" w:hAnsi="宋体" w:eastAsia="宋体" w:cs="宋体"/>
              </w:rPr>
            </w:pPr>
            <w:r>
              <w:rPr>
                <w:rFonts w:hint="eastAsia" w:ascii="宋体" w:hAnsi="宋体" w:eastAsia="宋体" w:cs="宋体"/>
                <w:color w:val="000000"/>
                <w:sz w:val="24"/>
              </w:rPr>
              <w:t>规格</w:t>
            </w:r>
          </w:p>
        </w:tc>
        <w:tc>
          <w:tcPr>
            <w:tcW w:w="1600" w:type="dxa"/>
            <w:tcBorders>
              <w:top w:val="single" w:color="000000" w:sz="8" w:space="0"/>
              <w:left w:val="nil"/>
              <w:bottom w:val="single" w:color="000000" w:sz="8" w:space="0"/>
              <w:right w:val="single" w:color="000000" w:sz="8" w:space="0"/>
            </w:tcBorders>
            <w:noWrap w:val="0"/>
            <w:tcMar>
              <w:top w:w="0" w:type="dxa"/>
              <w:left w:w="108" w:type="dxa"/>
              <w:bottom w:w="0" w:type="dxa"/>
              <w:right w:w="108" w:type="dxa"/>
            </w:tcMar>
            <w:vAlign w:val="center"/>
          </w:tcPr>
          <w:p>
            <w:pPr>
              <w:keepNext w:val="0"/>
              <w:keepLines w:val="0"/>
              <w:pageBreakBefore w:val="0"/>
              <w:widowControl w:val="0"/>
              <w:pBdr>
                <w:top w:val="none" w:color="000000" w:sz="0" w:space="0"/>
                <w:left w:val="none" w:color="000000" w:sz="0" w:space="0"/>
                <w:bottom w:val="none" w:color="000000" w:sz="0" w:space="0"/>
                <w:right w:val="none" w:color="000000" w:sz="0" w:space="0"/>
              </w:pBdr>
              <w:tabs>
                <w:tab w:val="left" w:pos="8279"/>
              </w:tabs>
              <w:kinsoku/>
              <w:wordWrap/>
              <w:overflowPunct/>
              <w:topLinePunct w:val="0"/>
              <w:autoSpaceDE/>
              <w:autoSpaceDN/>
              <w:bidi w:val="0"/>
              <w:adjustRightInd/>
              <w:snapToGrid/>
              <w:spacing w:before="0" w:after="0"/>
              <w:ind w:left="0" w:right="0" w:firstLine="0"/>
              <w:jc w:val="center"/>
              <w:textAlignment w:val="auto"/>
              <w:rPr>
                <w:rFonts w:hint="eastAsia" w:ascii="宋体" w:hAnsi="宋体" w:eastAsia="宋体" w:cs="宋体"/>
              </w:rPr>
            </w:pPr>
            <w:r>
              <w:rPr>
                <w:rFonts w:hint="eastAsia" w:ascii="宋体" w:hAnsi="宋体" w:eastAsia="宋体" w:cs="宋体"/>
                <w:color w:val="000000"/>
                <w:sz w:val="24"/>
              </w:rPr>
              <w:t>预估采购量</w:t>
            </w:r>
          </w:p>
        </w:tc>
        <w:tc>
          <w:tcPr>
            <w:tcW w:w="1863" w:type="dxa"/>
            <w:tcBorders>
              <w:top w:val="single" w:color="000000" w:sz="8" w:space="0"/>
              <w:left w:val="nil"/>
              <w:bottom w:val="single" w:color="000000" w:sz="8" w:space="0"/>
              <w:right w:val="single" w:color="000000" w:sz="8" w:space="0"/>
            </w:tcBorders>
            <w:noWrap w:val="0"/>
            <w:tcMar>
              <w:top w:w="0" w:type="dxa"/>
              <w:left w:w="108" w:type="dxa"/>
              <w:bottom w:w="0" w:type="dxa"/>
              <w:right w:w="108" w:type="dxa"/>
            </w:tcMar>
            <w:vAlign w:val="center"/>
          </w:tcPr>
          <w:p>
            <w:pPr>
              <w:keepNext w:val="0"/>
              <w:keepLines w:val="0"/>
              <w:pageBreakBefore w:val="0"/>
              <w:widowControl w:val="0"/>
              <w:pBdr>
                <w:top w:val="none" w:color="000000" w:sz="0" w:space="0"/>
                <w:left w:val="none" w:color="000000" w:sz="0" w:space="0"/>
                <w:bottom w:val="none" w:color="000000" w:sz="0" w:space="0"/>
                <w:right w:val="none" w:color="000000" w:sz="0" w:space="0"/>
              </w:pBdr>
              <w:tabs>
                <w:tab w:val="left" w:pos="8279"/>
              </w:tabs>
              <w:kinsoku/>
              <w:wordWrap/>
              <w:overflowPunct/>
              <w:topLinePunct w:val="0"/>
              <w:autoSpaceDE/>
              <w:autoSpaceDN/>
              <w:bidi w:val="0"/>
              <w:adjustRightInd/>
              <w:snapToGrid/>
              <w:spacing w:before="0" w:after="0"/>
              <w:ind w:left="0" w:right="0" w:firstLine="0"/>
              <w:jc w:val="center"/>
              <w:textAlignment w:val="auto"/>
              <w:rPr>
                <w:rFonts w:hint="eastAsia" w:ascii="宋体" w:hAnsi="宋体" w:eastAsia="宋体" w:cs="宋体"/>
              </w:rPr>
            </w:pPr>
            <w:r>
              <w:rPr>
                <w:rFonts w:hint="eastAsia" w:ascii="宋体" w:hAnsi="宋体" w:eastAsia="宋体" w:cs="宋体"/>
                <w:color w:val="000000"/>
                <w:sz w:val="24"/>
              </w:rPr>
              <w:t>参考指导单价</w:t>
            </w:r>
          </w:p>
        </w:tc>
        <w:tc>
          <w:tcPr>
            <w:tcW w:w="1837" w:type="dxa"/>
            <w:tcBorders>
              <w:top w:val="single" w:color="000000" w:sz="8" w:space="0"/>
              <w:left w:val="nil"/>
              <w:bottom w:val="single" w:color="000000" w:sz="8" w:space="0"/>
              <w:right w:val="single" w:color="000000" w:sz="8" w:space="0"/>
            </w:tcBorders>
            <w:noWrap w:val="0"/>
            <w:tcMar>
              <w:top w:w="0" w:type="dxa"/>
              <w:left w:w="108" w:type="dxa"/>
              <w:bottom w:w="0" w:type="dxa"/>
              <w:right w:w="108" w:type="dxa"/>
            </w:tcMar>
            <w:vAlign w:val="center"/>
          </w:tcPr>
          <w:p>
            <w:pPr>
              <w:keepNext w:val="0"/>
              <w:keepLines w:val="0"/>
              <w:pageBreakBefore w:val="0"/>
              <w:widowControl w:val="0"/>
              <w:pBdr>
                <w:top w:val="none" w:color="000000" w:sz="0" w:space="0"/>
                <w:left w:val="none" w:color="000000" w:sz="0" w:space="0"/>
                <w:bottom w:val="none" w:color="000000" w:sz="0" w:space="0"/>
                <w:right w:val="none" w:color="000000" w:sz="0" w:space="0"/>
              </w:pBdr>
              <w:tabs>
                <w:tab w:val="left" w:pos="8279"/>
              </w:tabs>
              <w:kinsoku/>
              <w:wordWrap/>
              <w:overflowPunct/>
              <w:topLinePunct w:val="0"/>
              <w:autoSpaceDE/>
              <w:autoSpaceDN/>
              <w:bidi w:val="0"/>
              <w:adjustRightInd/>
              <w:snapToGrid/>
              <w:spacing w:before="0" w:after="0"/>
              <w:ind w:left="0" w:right="0" w:firstLine="0"/>
              <w:jc w:val="center"/>
              <w:textAlignment w:val="auto"/>
              <w:rPr>
                <w:rFonts w:hint="eastAsia" w:ascii="宋体" w:hAnsi="宋体" w:eastAsia="宋体" w:cs="宋体"/>
              </w:rPr>
            </w:pPr>
            <w:r>
              <w:rPr>
                <w:rFonts w:hint="eastAsia" w:ascii="宋体" w:hAnsi="宋体" w:eastAsia="宋体" w:cs="宋体"/>
                <w:color w:val="000000"/>
                <w:sz w:val="24"/>
              </w:rPr>
              <w:t>预估采购金额（万元）</w:t>
            </w:r>
          </w:p>
        </w:tc>
      </w:tr>
      <w:tr>
        <w:tblPrEx>
          <w:tblBorders>
            <w:top w:val="none" w:color="000000" w:sz="4" w:space="0"/>
            <w:left w:val="none" w:color="000000" w:sz="4" w:space="0"/>
            <w:bottom w:val="none" w:color="000000" w:sz="4" w:space="0"/>
            <w:right w:val="none" w:color="000000" w:sz="4" w:space="0"/>
            <w:insideH w:val="none" w:color="000000" w:sz="4" w:space="0"/>
            <w:insideV w:val="none" w:color="000000" w:sz="4" w:space="0"/>
          </w:tblBorders>
          <w:tblCellMar>
            <w:top w:w="0" w:type="dxa"/>
            <w:left w:w="108" w:type="dxa"/>
            <w:bottom w:w="0" w:type="dxa"/>
            <w:right w:w="108" w:type="dxa"/>
          </w:tblCellMar>
        </w:tblPrEx>
        <w:trPr>
          <w:trHeight w:val="327" w:hRule="atLeast"/>
        </w:trPr>
        <w:tc>
          <w:tcPr>
            <w:tcW w:w="1088" w:type="dxa"/>
            <w:tcBorders>
              <w:top w:val="nil"/>
              <w:left w:val="single" w:color="000000" w:sz="8" w:space="0"/>
              <w:bottom w:val="single" w:color="000000" w:sz="8" w:space="0"/>
              <w:right w:val="single" w:color="000000" w:sz="8" w:space="0"/>
            </w:tcBorders>
            <w:noWrap w:val="0"/>
            <w:tcMar>
              <w:top w:w="0" w:type="dxa"/>
              <w:left w:w="108" w:type="dxa"/>
              <w:bottom w:w="0" w:type="dxa"/>
              <w:right w:w="108" w:type="dxa"/>
            </w:tcMar>
            <w:vAlign w:val="center"/>
          </w:tcPr>
          <w:p>
            <w:pPr>
              <w:keepNext w:val="0"/>
              <w:keepLines w:val="0"/>
              <w:pageBreakBefore w:val="0"/>
              <w:widowControl w:val="0"/>
              <w:pBdr>
                <w:top w:val="none" w:color="000000" w:sz="0" w:space="0"/>
                <w:left w:val="none" w:color="000000" w:sz="0" w:space="0"/>
                <w:bottom w:val="none" w:color="000000" w:sz="0" w:space="0"/>
                <w:right w:val="none" w:color="000000" w:sz="0" w:space="0"/>
              </w:pBdr>
              <w:tabs>
                <w:tab w:val="left" w:pos="8279"/>
              </w:tabs>
              <w:kinsoku/>
              <w:wordWrap/>
              <w:overflowPunct/>
              <w:topLinePunct w:val="0"/>
              <w:autoSpaceDE/>
              <w:autoSpaceDN/>
              <w:bidi w:val="0"/>
              <w:adjustRightInd/>
              <w:snapToGrid/>
              <w:spacing w:before="0" w:after="0"/>
              <w:ind w:left="0" w:right="0" w:firstLine="0"/>
              <w:jc w:val="center"/>
              <w:textAlignment w:val="auto"/>
              <w:rPr>
                <w:rFonts w:hint="eastAsia" w:ascii="宋体" w:hAnsi="宋体" w:eastAsia="宋体" w:cs="宋体"/>
              </w:rPr>
            </w:pPr>
            <w:r>
              <w:rPr>
                <w:rFonts w:hint="eastAsia" w:ascii="宋体" w:hAnsi="宋体" w:eastAsia="宋体" w:cs="宋体"/>
                <w:sz w:val="24"/>
              </w:rPr>
              <w:t>猕猴桃</w:t>
            </w:r>
          </w:p>
        </w:tc>
        <w:tc>
          <w:tcPr>
            <w:tcW w:w="2487" w:type="dxa"/>
            <w:tcBorders>
              <w:top w:val="nil"/>
              <w:left w:val="nil"/>
              <w:bottom w:val="single" w:color="000000" w:sz="8" w:space="0"/>
              <w:right w:val="single" w:color="000000" w:sz="8" w:space="0"/>
            </w:tcBorders>
            <w:noWrap w:val="0"/>
            <w:tcMar>
              <w:top w:w="0" w:type="dxa"/>
              <w:left w:w="108" w:type="dxa"/>
              <w:bottom w:w="0" w:type="dxa"/>
              <w:right w:w="108" w:type="dxa"/>
            </w:tcMar>
            <w:vAlign w:val="center"/>
          </w:tcPr>
          <w:p>
            <w:pPr>
              <w:keepNext w:val="0"/>
              <w:keepLines w:val="0"/>
              <w:pageBreakBefore w:val="0"/>
              <w:widowControl w:val="0"/>
              <w:pBdr>
                <w:top w:val="none" w:color="000000" w:sz="0" w:space="0"/>
                <w:left w:val="none" w:color="000000" w:sz="0" w:space="0"/>
                <w:bottom w:val="none" w:color="000000" w:sz="0" w:space="0"/>
                <w:right w:val="none" w:color="000000" w:sz="0" w:space="0"/>
              </w:pBdr>
              <w:tabs>
                <w:tab w:val="left" w:pos="8279"/>
              </w:tabs>
              <w:kinsoku/>
              <w:wordWrap/>
              <w:overflowPunct/>
              <w:topLinePunct w:val="0"/>
              <w:autoSpaceDE/>
              <w:autoSpaceDN/>
              <w:bidi w:val="0"/>
              <w:adjustRightInd/>
              <w:snapToGrid/>
              <w:spacing w:before="0" w:after="0"/>
              <w:ind w:left="0" w:right="0" w:firstLine="0"/>
              <w:textAlignment w:val="auto"/>
              <w:rPr>
                <w:rFonts w:hint="eastAsia" w:ascii="宋体" w:hAnsi="宋体" w:eastAsia="宋体" w:cs="宋体"/>
              </w:rPr>
            </w:pPr>
            <w:r>
              <w:rPr>
                <w:rFonts w:hint="eastAsia" w:ascii="宋体" w:hAnsi="宋体" w:eastAsia="宋体" w:cs="宋体"/>
                <w:sz w:val="24"/>
                <w:szCs w:val="24"/>
                <w:lang w:val="en-US" w:eastAsia="zh-CN"/>
              </w:rPr>
              <w:t>20</w:t>
            </w:r>
            <w:r>
              <w:rPr>
                <w:rFonts w:hint="eastAsia" w:ascii="宋体" w:hAnsi="宋体" w:eastAsia="宋体" w:cs="宋体"/>
                <w:sz w:val="24"/>
                <w:szCs w:val="24"/>
              </w:rPr>
              <w:t>枚装</w:t>
            </w:r>
            <w:r>
              <w:rPr>
                <w:rFonts w:hint="eastAsia" w:ascii="宋体" w:hAnsi="宋体" w:cs="宋体"/>
                <w:sz w:val="24"/>
                <w:szCs w:val="24"/>
                <w:lang w:eastAsia="zh-CN"/>
              </w:rPr>
              <w:t>，</w:t>
            </w:r>
            <w:r>
              <w:rPr>
                <w:rFonts w:hint="eastAsia" w:ascii="宋体" w:hAnsi="宋体" w:eastAsia="宋体" w:cs="宋体"/>
                <w:sz w:val="24"/>
                <w:szCs w:val="24"/>
              </w:rPr>
              <w:t>净重不低于</w:t>
            </w:r>
            <w:r>
              <w:rPr>
                <w:rFonts w:hint="eastAsia" w:ascii="宋体" w:hAnsi="宋体" w:eastAsia="宋体" w:cs="宋体"/>
                <w:sz w:val="24"/>
                <w:szCs w:val="24"/>
                <w:lang w:val="en-US" w:eastAsia="zh-CN"/>
              </w:rPr>
              <w:t>4.5-5</w:t>
            </w:r>
            <w:r>
              <w:rPr>
                <w:rFonts w:hint="eastAsia" w:ascii="宋体" w:hAnsi="宋体" w:eastAsia="宋体" w:cs="宋体"/>
                <w:sz w:val="24"/>
                <w:szCs w:val="24"/>
              </w:rPr>
              <w:t>斤</w:t>
            </w:r>
          </w:p>
        </w:tc>
        <w:tc>
          <w:tcPr>
            <w:tcW w:w="1600" w:type="dxa"/>
            <w:tcBorders>
              <w:top w:val="nil"/>
              <w:left w:val="nil"/>
              <w:bottom w:val="single" w:color="000000" w:sz="8" w:space="0"/>
              <w:right w:val="single" w:color="000000" w:sz="8" w:space="0"/>
            </w:tcBorders>
            <w:noWrap w:val="0"/>
            <w:tcMar>
              <w:top w:w="0" w:type="dxa"/>
              <w:left w:w="108" w:type="dxa"/>
              <w:bottom w:w="0" w:type="dxa"/>
              <w:right w:w="108" w:type="dxa"/>
            </w:tcMar>
            <w:vAlign w:val="center"/>
          </w:tcPr>
          <w:p>
            <w:pPr>
              <w:keepNext w:val="0"/>
              <w:keepLines w:val="0"/>
              <w:pageBreakBefore w:val="0"/>
              <w:widowControl w:val="0"/>
              <w:pBdr>
                <w:top w:val="none" w:color="000000" w:sz="0" w:space="0"/>
                <w:left w:val="none" w:color="000000" w:sz="0" w:space="0"/>
                <w:bottom w:val="none" w:color="000000" w:sz="0" w:space="0"/>
                <w:right w:val="none" w:color="000000" w:sz="0" w:space="0"/>
              </w:pBdr>
              <w:tabs>
                <w:tab w:val="left" w:pos="8279"/>
              </w:tabs>
              <w:kinsoku/>
              <w:wordWrap/>
              <w:overflowPunct/>
              <w:topLinePunct w:val="0"/>
              <w:autoSpaceDE/>
              <w:autoSpaceDN/>
              <w:bidi w:val="0"/>
              <w:adjustRightInd/>
              <w:snapToGrid/>
              <w:spacing w:before="0" w:after="0"/>
              <w:ind w:left="0" w:right="0" w:firstLine="0"/>
              <w:jc w:val="center"/>
              <w:textAlignment w:val="auto"/>
              <w:rPr>
                <w:rFonts w:hint="eastAsia" w:ascii="宋体" w:hAnsi="宋体" w:eastAsia="宋体" w:cs="宋体"/>
              </w:rPr>
            </w:pPr>
            <w:r>
              <w:rPr>
                <w:rFonts w:hint="eastAsia" w:ascii="宋体" w:hAnsi="宋体" w:eastAsia="宋体" w:cs="宋体"/>
                <w:color w:val="000000"/>
                <w:sz w:val="24"/>
                <w:lang w:val="en-US" w:eastAsia="zh-CN"/>
              </w:rPr>
              <w:t>8400</w:t>
            </w:r>
            <w:r>
              <w:rPr>
                <w:rFonts w:hint="eastAsia" w:ascii="宋体" w:hAnsi="宋体" w:eastAsia="宋体" w:cs="宋体"/>
                <w:color w:val="000000"/>
                <w:sz w:val="24"/>
              </w:rPr>
              <w:t>箱</w:t>
            </w:r>
          </w:p>
        </w:tc>
        <w:tc>
          <w:tcPr>
            <w:tcW w:w="1863" w:type="dxa"/>
            <w:tcBorders>
              <w:top w:val="nil"/>
              <w:left w:val="nil"/>
              <w:bottom w:val="single" w:color="000000" w:sz="8" w:space="0"/>
              <w:right w:val="single" w:color="000000" w:sz="8" w:space="0"/>
            </w:tcBorders>
            <w:noWrap w:val="0"/>
            <w:tcMar>
              <w:top w:w="0" w:type="dxa"/>
              <w:left w:w="108" w:type="dxa"/>
              <w:bottom w:w="0" w:type="dxa"/>
              <w:right w:w="108" w:type="dxa"/>
            </w:tcMar>
            <w:vAlign w:val="center"/>
          </w:tcPr>
          <w:p>
            <w:pPr>
              <w:keepNext w:val="0"/>
              <w:keepLines w:val="0"/>
              <w:pageBreakBefore w:val="0"/>
              <w:widowControl w:val="0"/>
              <w:pBdr>
                <w:top w:val="none" w:color="000000" w:sz="0" w:space="0"/>
                <w:left w:val="none" w:color="000000" w:sz="0" w:space="0"/>
                <w:bottom w:val="none" w:color="000000" w:sz="0" w:space="0"/>
                <w:right w:val="none" w:color="000000" w:sz="0" w:space="0"/>
              </w:pBdr>
              <w:tabs>
                <w:tab w:val="left" w:pos="8279"/>
              </w:tabs>
              <w:kinsoku/>
              <w:wordWrap/>
              <w:overflowPunct/>
              <w:topLinePunct w:val="0"/>
              <w:autoSpaceDE/>
              <w:autoSpaceDN/>
              <w:bidi w:val="0"/>
              <w:adjustRightInd/>
              <w:snapToGrid/>
              <w:spacing w:before="0" w:after="0"/>
              <w:ind w:left="0" w:right="0" w:firstLine="0"/>
              <w:jc w:val="center"/>
              <w:textAlignment w:val="auto"/>
              <w:rPr>
                <w:rFonts w:hint="eastAsia" w:ascii="宋体" w:hAnsi="宋体" w:eastAsia="宋体" w:cs="宋体"/>
              </w:rPr>
            </w:pPr>
            <w:r>
              <w:rPr>
                <w:rFonts w:hint="eastAsia" w:ascii="宋体" w:hAnsi="宋体" w:eastAsia="宋体" w:cs="宋体"/>
                <w:color w:val="000000"/>
                <w:sz w:val="24"/>
                <w:lang w:val="en-US" w:eastAsia="zh-CN"/>
              </w:rPr>
              <w:t>75</w:t>
            </w:r>
            <w:r>
              <w:rPr>
                <w:rFonts w:hint="eastAsia" w:ascii="宋体" w:hAnsi="宋体" w:eastAsia="宋体" w:cs="宋体"/>
                <w:color w:val="000000"/>
                <w:sz w:val="24"/>
              </w:rPr>
              <w:t>元/箱</w:t>
            </w:r>
          </w:p>
        </w:tc>
        <w:tc>
          <w:tcPr>
            <w:tcW w:w="1837" w:type="dxa"/>
            <w:tcBorders>
              <w:top w:val="nil"/>
              <w:left w:val="nil"/>
              <w:bottom w:val="single" w:color="000000" w:sz="8" w:space="0"/>
              <w:right w:val="single" w:color="000000" w:sz="8" w:space="0"/>
            </w:tcBorders>
            <w:noWrap w:val="0"/>
            <w:tcMar>
              <w:top w:w="0" w:type="dxa"/>
              <w:left w:w="108" w:type="dxa"/>
              <w:bottom w:w="0" w:type="dxa"/>
              <w:right w:w="108" w:type="dxa"/>
            </w:tcMar>
            <w:vAlign w:val="center"/>
          </w:tcPr>
          <w:p>
            <w:pPr>
              <w:keepNext w:val="0"/>
              <w:keepLines w:val="0"/>
              <w:pageBreakBefore w:val="0"/>
              <w:widowControl w:val="0"/>
              <w:pBdr>
                <w:top w:val="none" w:color="000000" w:sz="0" w:space="0"/>
                <w:left w:val="none" w:color="000000" w:sz="0" w:space="0"/>
                <w:bottom w:val="none" w:color="000000" w:sz="0" w:space="0"/>
                <w:right w:val="none" w:color="000000" w:sz="0" w:space="0"/>
              </w:pBdr>
              <w:tabs>
                <w:tab w:val="left" w:pos="8279"/>
              </w:tabs>
              <w:kinsoku/>
              <w:wordWrap/>
              <w:overflowPunct/>
              <w:topLinePunct w:val="0"/>
              <w:autoSpaceDE/>
              <w:autoSpaceDN/>
              <w:bidi w:val="0"/>
              <w:adjustRightInd/>
              <w:snapToGrid/>
              <w:spacing w:before="0" w:after="0"/>
              <w:ind w:left="0" w:right="0" w:firstLine="0"/>
              <w:jc w:val="center"/>
              <w:textAlignment w:val="auto"/>
              <w:rPr>
                <w:rFonts w:hint="eastAsia" w:ascii="宋体" w:hAnsi="宋体" w:eastAsia="宋体" w:cs="宋体"/>
                <w:lang w:val="en-US" w:eastAsia="zh-CN"/>
              </w:rPr>
            </w:pPr>
            <w:r>
              <w:rPr>
                <w:rFonts w:hint="eastAsia" w:ascii="宋体" w:hAnsi="宋体" w:eastAsia="宋体" w:cs="宋体"/>
                <w:color w:val="000000"/>
                <w:sz w:val="24"/>
                <w:lang w:val="en-US" w:eastAsia="zh-CN"/>
              </w:rPr>
              <w:t>63.00</w:t>
            </w:r>
          </w:p>
        </w:tc>
      </w:tr>
    </w:tbl>
    <w:p>
      <w:pPr>
        <w:pBdr>
          <w:top w:val="none" w:color="000000" w:sz="0" w:space="0"/>
          <w:left w:val="none" w:color="000000" w:sz="0" w:space="0"/>
          <w:bottom w:val="none" w:color="000000" w:sz="0" w:space="0"/>
          <w:right w:val="none" w:color="000000" w:sz="0" w:space="0"/>
        </w:pBdr>
        <w:tabs>
          <w:tab w:val="left" w:pos="8279"/>
        </w:tabs>
        <w:spacing w:before="240" w:after="0" w:line="85" w:lineRule="atLeast"/>
        <w:ind w:left="0" w:right="0" w:firstLine="480"/>
        <w:rPr>
          <w:rFonts w:hint="eastAsia" w:ascii="宋体" w:hAnsi="宋体" w:eastAsia="宋体" w:cs="宋体"/>
        </w:rPr>
      </w:pPr>
      <w:r>
        <w:rPr>
          <w:rFonts w:hint="eastAsia" w:ascii="宋体" w:hAnsi="宋体" w:eastAsia="宋体" w:cs="宋体"/>
          <w:color w:val="000000"/>
          <w:sz w:val="24"/>
        </w:rPr>
        <w:t>★2.采购要求及报价规则</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80"/>
        <w:jc w:val="both"/>
        <w:rPr>
          <w:rFonts w:hint="eastAsia" w:ascii="宋体" w:hAnsi="宋体" w:eastAsia="宋体" w:cs="宋体"/>
          <w:highlight w:val="none"/>
        </w:rPr>
      </w:pPr>
      <w:r>
        <w:rPr>
          <w:rFonts w:hint="eastAsia" w:ascii="宋体" w:hAnsi="宋体" w:eastAsia="宋体" w:cs="宋体"/>
          <w:color w:val="000000"/>
          <w:sz w:val="24"/>
          <w:highlight w:val="none"/>
        </w:rPr>
        <w:t>采购</w:t>
      </w:r>
      <w:r>
        <w:rPr>
          <w:rFonts w:hint="eastAsia" w:ascii="宋体" w:hAnsi="宋体" w:cs="宋体"/>
          <w:color w:val="000000"/>
          <w:sz w:val="24"/>
          <w:highlight w:val="none"/>
          <w:lang w:val="en-US" w:eastAsia="zh-CN"/>
        </w:rPr>
        <w:t>徐香</w:t>
      </w:r>
      <w:r>
        <w:rPr>
          <w:rFonts w:hint="eastAsia" w:ascii="宋体" w:hAnsi="宋体" w:eastAsia="宋体" w:cs="宋体"/>
          <w:color w:val="000000"/>
          <w:sz w:val="24"/>
          <w:highlight w:val="none"/>
        </w:rPr>
        <w:t>品种，要求为</w:t>
      </w:r>
      <w:r>
        <w:rPr>
          <w:rFonts w:hint="eastAsia" w:ascii="宋体" w:hAnsi="宋体" w:eastAsia="宋体" w:cs="宋体"/>
          <w:color w:val="000000"/>
          <w:sz w:val="24"/>
          <w:highlight w:val="none"/>
          <w:lang w:val="en-US" w:eastAsia="zh-CN"/>
        </w:rPr>
        <w:t>20枚装，净重不低于4.5-5斤</w:t>
      </w:r>
      <w:r>
        <w:rPr>
          <w:rFonts w:hint="eastAsia" w:ascii="宋体" w:hAnsi="宋体" w:eastAsia="宋体" w:cs="宋体"/>
          <w:color w:val="000000"/>
          <w:sz w:val="24"/>
          <w:highlight w:val="none"/>
        </w:rPr>
        <w:t>，质量标准参见GB/T 40743-2021；须从</w:t>
      </w:r>
      <w:r>
        <w:rPr>
          <w:rFonts w:hint="eastAsia" w:ascii="宋体" w:hAnsi="宋体" w:cs="宋体"/>
          <w:color w:val="000000"/>
          <w:sz w:val="24"/>
          <w:highlight w:val="none"/>
          <w:lang w:eastAsia="zh-CN"/>
        </w:rPr>
        <w:t>镇江市丹徒区对口</w:t>
      </w:r>
      <w:r>
        <w:rPr>
          <w:rFonts w:hint="eastAsia" w:ascii="宋体" w:hAnsi="宋体" w:eastAsia="宋体" w:cs="宋体"/>
          <w:color w:val="000000"/>
          <w:sz w:val="24"/>
          <w:highlight w:val="none"/>
        </w:rPr>
        <w:t>协作地区陕西省渭南市澄城县在“脱贫地区农副产品网络销售平台”（以下简称“832平台”）供应商目录中的企业（合作社）采购，投标人需在“832平台”线上下单，并向采购人提供下单信息。</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80"/>
        <w:jc w:val="both"/>
        <w:rPr>
          <w:rFonts w:hint="eastAsia" w:ascii="宋体" w:hAnsi="宋体" w:eastAsia="宋体" w:cs="宋体"/>
          <w:highlight w:val="none"/>
        </w:rPr>
      </w:pPr>
      <w:r>
        <w:rPr>
          <w:rFonts w:hint="eastAsia" w:ascii="宋体" w:hAnsi="宋体" w:eastAsia="宋体" w:cs="宋体"/>
          <w:color w:val="000000"/>
          <w:sz w:val="24"/>
          <w:highlight w:val="none"/>
        </w:rPr>
        <w:t>本标段报价为</w:t>
      </w:r>
      <w:r>
        <w:rPr>
          <w:rFonts w:hint="eastAsia" w:ascii="宋体" w:hAnsi="宋体" w:eastAsia="宋体" w:cs="宋体"/>
          <w:color w:val="000000"/>
          <w:sz w:val="24"/>
          <w:highlight w:val="none"/>
          <w:lang w:val="en-US" w:eastAsia="zh-CN"/>
        </w:rPr>
        <w:t>单价</w:t>
      </w:r>
      <w:r>
        <w:rPr>
          <w:rFonts w:hint="eastAsia" w:ascii="宋体" w:hAnsi="宋体" w:eastAsia="宋体" w:cs="宋体"/>
          <w:color w:val="000000"/>
          <w:sz w:val="24"/>
          <w:highlight w:val="none"/>
        </w:rPr>
        <w:t>报价，报价需包含运输、包装、税费、人工等各种附加费用，参考指导单价为</w:t>
      </w:r>
      <w:r>
        <w:rPr>
          <w:rFonts w:hint="eastAsia" w:ascii="宋体" w:hAnsi="宋体" w:eastAsia="宋体" w:cs="宋体"/>
          <w:color w:val="000000"/>
          <w:sz w:val="24"/>
          <w:highlight w:val="none"/>
          <w:lang w:val="en-US" w:eastAsia="zh-CN"/>
        </w:rPr>
        <w:t>75</w:t>
      </w:r>
      <w:r>
        <w:rPr>
          <w:rFonts w:hint="eastAsia" w:ascii="宋体" w:hAnsi="宋体" w:eastAsia="宋体" w:cs="宋体"/>
          <w:color w:val="000000"/>
          <w:sz w:val="24"/>
          <w:highlight w:val="none"/>
        </w:rPr>
        <w:t>元每箱。</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80"/>
        <w:jc w:val="both"/>
        <w:rPr>
          <w:rFonts w:hint="eastAsia" w:ascii="宋体" w:hAnsi="宋体" w:eastAsia="宋体" w:cs="宋体"/>
          <w:highlight w:val="none"/>
        </w:rPr>
      </w:pPr>
      <w:r>
        <w:rPr>
          <w:rFonts w:hint="eastAsia" w:ascii="宋体" w:hAnsi="宋体" w:eastAsia="宋体" w:cs="宋体"/>
          <w:color w:val="000000"/>
          <w:sz w:val="24"/>
          <w:highlight w:val="none"/>
        </w:rPr>
        <w:t>优先采购陕西省苏陕办和江苏省对口帮扶工作队认定的</w:t>
      </w:r>
      <w:r>
        <w:rPr>
          <w:rFonts w:hint="eastAsia" w:ascii="宋体" w:hAnsi="宋体" w:eastAsia="宋体" w:cs="宋体"/>
          <w:color w:val="000000"/>
          <w:sz w:val="24"/>
          <w:highlight w:val="none"/>
          <w:lang w:val="en-US" w:eastAsia="zh-CN"/>
        </w:rPr>
        <w:t>澄城县</w:t>
      </w:r>
      <w:r>
        <w:rPr>
          <w:rFonts w:hint="eastAsia" w:ascii="宋体" w:hAnsi="宋体" w:eastAsia="宋体" w:cs="宋体"/>
          <w:color w:val="000000"/>
          <w:sz w:val="24"/>
          <w:highlight w:val="none"/>
        </w:rPr>
        <w:t>首批苏陕协作农产品基地的农产品（认定文件见附件）。</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80"/>
        <w:rPr>
          <w:rFonts w:hint="eastAsia" w:ascii="宋体" w:hAnsi="宋体" w:eastAsia="宋体" w:cs="宋体"/>
        </w:rPr>
      </w:pPr>
      <w:r>
        <w:rPr>
          <w:rFonts w:hint="eastAsia" w:ascii="宋体" w:hAnsi="宋体" w:eastAsia="宋体" w:cs="宋体"/>
          <w:color w:val="000000"/>
          <w:sz w:val="24"/>
          <w:highlight w:val="none"/>
        </w:rPr>
        <w:t>★注：1.以上采购数量和金额为预估数额，与参考指导单价不存在对应关系，</w:t>
      </w:r>
      <w:r>
        <w:rPr>
          <w:rFonts w:hint="eastAsia" w:ascii="宋体" w:hAnsi="宋体" w:eastAsia="宋体" w:cs="宋体"/>
          <w:color w:val="000000"/>
          <w:sz w:val="24"/>
          <w:highlight w:val="none"/>
          <w:lang w:val="en-US" w:eastAsia="zh-CN"/>
        </w:rPr>
        <w:t>最终结算金额</w:t>
      </w:r>
      <w:r>
        <w:rPr>
          <w:rFonts w:hint="eastAsia" w:ascii="宋体" w:hAnsi="宋体" w:eastAsia="宋体" w:cs="宋体"/>
          <w:color w:val="000000"/>
          <w:sz w:val="24"/>
          <w:highlight w:val="none"/>
        </w:rPr>
        <w:t>以</w:t>
      </w:r>
      <w:r>
        <w:rPr>
          <w:rFonts w:hint="eastAsia" w:ascii="宋体" w:hAnsi="宋体" w:eastAsia="宋体" w:cs="宋体"/>
          <w:color w:val="000000"/>
          <w:sz w:val="24"/>
          <w:highlight w:val="none"/>
          <w:lang w:val="en-US" w:eastAsia="zh-CN"/>
        </w:rPr>
        <w:t>丹徒</w:t>
      </w:r>
      <w:r>
        <w:rPr>
          <w:rFonts w:hint="eastAsia" w:ascii="宋体" w:hAnsi="宋体" w:eastAsia="宋体" w:cs="宋体"/>
          <w:color w:val="000000"/>
          <w:sz w:val="24"/>
          <w:highlight w:val="none"/>
        </w:rPr>
        <w:t>区相关单位</w:t>
      </w:r>
      <w:r>
        <w:rPr>
          <w:rFonts w:hint="eastAsia" w:ascii="宋体" w:hAnsi="宋体" w:eastAsia="宋体" w:cs="宋体"/>
          <w:color w:val="000000"/>
          <w:sz w:val="24"/>
          <w:highlight w:val="none"/>
          <w:lang w:val="en-US" w:eastAsia="zh-CN"/>
        </w:rPr>
        <w:t>的</w:t>
      </w:r>
      <w:r>
        <w:rPr>
          <w:rFonts w:hint="eastAsia" w:ascii="宋体" w:hAnsi="宋体" w:eastAsia="宋体" w:cs="宋体"/>
          <w:color w:val="000000"/>
          <w:sz w:val="24"/>
          <w:highlight w:val="none"/>
        </w:rPr>
        <w:t>实际购买数量×</w:t>
      </w:r>
      <w:r>
        <w:rPr>
          <w:rFonts w:hint="eastAsia" w:ascii="宋体" w:hAnsi="宋体" w:eastAsia="宋体" w:cs="宋体"/>
          <w:color w:val="000000"/>
          <w:sz w:val="24"/>
          <w:highlight w:val="none"/>
          <w:lang w:val="en-US" w:eastAsia="zh-CN"/>
        </w:rPr>
        <w:t>中标单价</w:t>
      </w:r>
      <w:r>
        <w:rPr>
          <w:rFonts w:hint="eastAsia" w:ascii="宋体" w:hAnsi="宋体" w:eastAsia="宋体" w:cs="宋体"/>
          <w:color w:val="000000"/>
          <w:sz w:val="24"/>
          <w:highlight w:val="none"/>
        </w:rPr>
        <w:t>为准，各投标人</w:t>
      </w:r>
      <w:r>
        <w:rPr>
          <w:rFonts w:hint="eastAsia" w:ascii="宋体" w:hAnsi="宋体" w:eastAsia="宋体" w:cs="宋体"/>
          <w:color w:val="000000"/>
          <w:sz w:val="24"/>
        </w:rPr>
        <w:t>应具备日常销售能力。</w:t>
      </w:r>
    </w:p>
    <w:p>
      <w:pPr>
        <w:pBdr>
          <w:top w:val="none" w:color="000000" w:sz="0" w:space="0"/>
          <w:left w:val="none" w:color="000000" w:sz="0" w:space="0"/>
          <w:bottom w:val="none" w:color="000000" w:sz="0" w:space="0"/>
          <w:right w:val="none" w:color="000000" w:sz="0" w:space="0"/>
        </w:pBdr>
        <w:tabs>
          <w:tab w:val="left" w:pos="8279"/>
        </w:tabs>
        <w:spacing w:before="240" w:after="240"/>
        <w:ind w:left="0" w:right="0" w:firstLine="0"/>
        <w:rPr>
          <w:rFonts w:hint="eastAsia" w:ascii="宋体" w:hAnsi="宋体" w:eastAsia="宋体" w:cs="宋体"/>
        </w:rPr>
      </w:pPr>
      <w:r>
        <w:rPr>
          <w:rFonts w:hint="eastAsia" w:ascii="宋体" w:hAnsi="宋体" w:eastAsia="宋体" w:cs="宋体"/>
          <w:b/>
          <w:color w:val="000000"/>
          <w:sz w:val="24"/>
        </w:rPr>
        <w:t>★三.质量要求</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rPr>
      </w:pPr>
      <w:r>
        <w:rPr>
          <w:rFonts w:hint="eastAsia" w:ascii="宋体" w:hAnsi="宋体" w:eastAsia="宋体" w:cs="宋体"/>
          <w:color w:val="000000"/>
          <w:sz w:val="24"/>
        </w:rPr>
        <w:t>1.采购标的需执行的国家相关标准、行业标准、地方标准或者其他标准、规范；符合《中华人民共和国食品安全法》、《食品安全国家标准》、《中华人民共和国产品质量法》等法律法规要求；采购标的需满足的质量、安全、技术规格、物理特性等要求。</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rPr>
      </w:pPr>
      <w:r>
        <w:rPr>
          <w:rFonts w:hint="eastAsia" w:ascii="宋体" w:hAnsi="宋体" w:eastAsia="宋体" w:cs="宋体"/>
          <w:color w:val="000000"/>
          <w:sz w:val="24"/>
        </w:rPr>
        <w:t>2.投标人应按照国家相关规定制定并履行“质量及食品安全保证方案书”，“方案书”内容应详实准确，范围覆盖农产品采购、发放全流程。投标人应积极配合采购方做好质量监督工作，提供必要保障协助。当投标人提供的商品质量及数量不满足采购人要求时，采购人有权要求更换或由采购人委托其他有能力的单位负责更换，产生的费用由投标人承担。</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rPr>
      </w:pPr>
      <w:r>
        <w:rPr>
          <w:rFonts w:hint="eastAsia" w:ascii="宋体" w:hAnsi="宋体" w:eastAsia="宋体" w:cs="宋体"/>
          <w:color w:val="000000"/>
          <w:sz w:val="24"/>
        </w:rPr>
        <w:t>3.投标人须无条件接受采购人或采购人委托的卫生、质量监督管理部门开展的卫生、质量检查和管理，共同把好质量关。</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rPr>
      </w:pPr>
      <w:r>
        <w:rPr>
          <w:rFonts w:hint="eastAsia" w:ascii="宋体" w:hAnsi="宋体" w:eastAsia="宋体" w:cs="宋体"/>
          <w:color w:val="000000"/>
          <w:sz w:val="24"/>
        </w:rPr>
        <w:t>4.消费协作农产品到镇江入库前，采购人对投标人质检工作进行全面监督，并以整车为单位，对其质量、重量（全车过磅、单箱抽检）进行检查验收，验收合格后方可入库、发放。整车直送的农产品参照上述流程，验收合格后方可发放。</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rPr>
      </w:pPr>
      <w:r>
        <w:rPr>
          <w:rFonts w:hint="eastAsia" w:ascii="宋体" w:hAnsi="宋体" w:eastAsia="宋体" w:cs="宋体"/>
          <w:color w:val="000000"/>
          <w:sz w:val="24"/>
        </w:rPr>
        <w:t>5.质量监管采取线下监管与线上远程监督双轨运行机制，确保监管工作覆盖全流程、各环节。采购人在质量监管过程中如发现投标人未履行或未按规定履行质控方案，采购方有权要求投标人停止相应工作，立即整改。由此产生的费用及履约责任由投标人承担。</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rPr>
      </w:pPr>
      <w:r>
        <w:rPr>
          <w:rFonts w:hint="eastAsia" w:ascii="宋体" w:hAnsi="宋体" w:eastAsia="宋体" w:cs="宋体"/>
          <w:color w:val="000000"/>
          <w:sz w:val="24"/>
        </w:rPr>
        <w:t>6.采购方在地头仓库及产地、仓储、发放等环节采取巡视抽查方式对农产品进行质量监管，重点监督投标人是否履行质量控制方案，并对其质量、重量进行随机抽检。采购方在运输环节应按车为单位，提供运输车辆全流程、无间断GPS轨迹图。</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rPr>
      </w:pPr>
      <w:r>
        <w:rPr>
          <w:rFonts w:hint="eastAsia" w:ascii="宋体" w:hAnsi="宋体" w:eastAsia="宋体" w:cs="宋体"/>
          <w:color w:val="000000"/>
          <w:sz w:val="24"/>
        </w:rPr>
        <w:t>7.农产品在发放过程中，投标人应建立“售后服务”管理体系，履行“售后服务”职责。农产品发放72小时内，如遇质量问题，应于24小时内主动上门无偿整箱（盒）更换。</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rPr>
      </w:pPr>
      <w:r>
        <w:rPr>
          <w:rFonts w:hint="eastAsia" w:ascii="宋体" w:hAnsi="宋体" w:eastAsia="宋体" w:cs="宋体"/>
          <w:color w:val="000000"/>
          <w:sz w:val="24"/>
        </w:rPr>
        <w:t>8.未尽的技术条件及要求均按国家标准和行业标准执行。</w:t>
      </w:r>
    </w:p>
    <w:p>
      <w:pPr>
        <w:pBdr>
          <w:top w:val="none" w:color="000000" w:sz="0" w:space="0"/>
          <w:left w:val="none" w:color="000000" w:sz="0" w:space="0"/>
          <w:bottom w:val="none" w:color="000000" w:sz="0" w:space="0"/>
          <w:right w:val="none" w:color="000000" w:sz="0" w:space="0"/>
        </w:pBdr>
        <w:tabs>
          <w:tab w:val="left" w:pos="8279"/>
        </w:tabs>
        <w:spacing w:before="240" w:after="240"/>
        <w:ind w:left="0" w:right="0" w:firstLine="0"/>
        <w:rPr>
          <w:rFonts w:hint="eastAsia" w:ascii="宋体" w:hAnsi="宋体" w:eastAsia="宋体" w:cs="宋体"/>
        </w:rPr>
      </w:pPr>
      <w:r>
        <w:rPr>
          <w:rFonts w:hint="eastAsia" w:ascii="宋体" w:hAnsi="宋体" w:eastAsia="宋体" w:cs="宋体"/>
          <w:b/>
          <w:color w:val="000000"/>
          <w:sz w:val="24"/>
        </w:rPr>
        <w:t>★四.服务要求</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rPr>
      </w:pPr>
      <w:r>
        <w:rPr>
          <w:rFonts w:hint="eastAsia" w:ascii="宋体" w:hAnsi="宋体" w:eastAsia="宋体" w:cs="宋体"/>
          <w:color w:val="000000"/>
          <w:sz w:val="24"/>
        </w:rPr>
        <w:t>1.投标人项目负责人保持7×24小时服务响应。</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rPr>
      </w:pPr>
      <w:r>
        <w:rPr>
          <w:rFonts w:hint="eastAsia" w:ascii="宋体" w:hAnsi="宋体" w:eastAsia="宋体" w:cs="宋体"/>
          <w:color w:val="000000"/>
          <w:sz w:val="24"/>
        </w:rPr>
        <w:t>2.投标人需承诺根据每天发放的数量安排足够的工作人员负责现场发放工作，并负责发放现场的秩序及安全，提供1小时现场响应，即在接到采购人要求后项目负责人及有关工作人员1小时内到达项目实施现场对应急情况进行处置。</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rPr>
      </w:pPr>
      <w:r>
        <w:rPr>
          <w:rFonts w:hint="eastAsia" w:ascii="宋体" w:hAnsi="宋体" w:eastAsia="宋体" w:cs="宋体"/>
          <w:color w:val="000000"/>
          <w:sz w:val="24"/>
        </w:rPr>
        <w:t>3.所有农产品由投标人负责按采购人要求进行运输，投标人应在本市拥有符合对应农产品存储要求的仓库及冷链运输能力，农产品采购、运输和发放过程中产生的费用均由投标人负责。</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highlight w:val="none"/>
        </w:rPr>
      </w:pPr>
      <w:r>
        <w:rPr>
          <w:rFonts w:hint="eastAsia" w:ascii="宋体" w:hAnsi="宋体" w:eastAsia="宋体" w:cs="宋体"/>
          <w:color w:val="000000"/>
          <w:sz w:val="24"/>
          <w:highlight w:val="none"/>
          <w:lang w:val="en-US" w:eastAsia="zh-CN"/>
        </w:rPr>
        <w:t>4</w:t>
      </w:r>
      <w:r>
        <w:rPr>
          <w:rFonts w:hint="eastAsia" w:ascii="宋体" w:hAnsi="宋体" w:eastAsia="宋体" w:cs="宋体"/>
          <w:color w:val="000000"/>
          <w:sz w:val="24"/>
          <w:highlight w:val="none"/>
        </w:rPr>
        <w:t>.投标人应建立专门的售后服务团队，履行售后服务职责。农产品发放72小时内，如遇质量问题，应于24小时内主动上门无偿整箱（盒、袋）更换，发放工作停止后，需继续延续1个月的售后服务保障。</w:t>
      </w:r>
    </w:p>
    <w:p>
      <w:pPr>
        <w:pBdr>
          <w:top w:val="none" w:color="000000" w:sz="0" w:space="0"/>
          <w:left w:val="none" w:color="000000" w:sz="0" w:space="0"/>
          <w:bottom w:val="none" w:color="000000" w:sz="0" w:space="0"/>
          <w:right w:val="none" w:color="000000" w:sz="0" w:space="0"/>
        </w:pBdr>
        <w:tabs>
          <w:tab w:val="left" w:pos="8279"/>
        </w:tabs>
        <w:spacing w:before="240" w:after="240" w:line="85" w:lineRule="atLeast"/>
        <w:ind w:left="0" w:right="0" w:firstLine="480"/>
        <w:rPr>
          <w:rFonts w:hint="eastAsia" w:ascii="宋体" w:hAnsi="宋体" w:eastAsia="宋体" w:cs="宋体"/>
        </w:rPr>
      </w:pPr>
      <w:r>
        <w:rPr>
          <w:rFonts w:hint="eastAsia" w:ascii="宋体" w:hAnsi="宋体" w:eastAsia="宋体" w:cs="宋体"/>
          <w:color w:val="000000"/>
          <w:sz w:val="24"/>
          <w:lang w:val="en-US" w:eastAsia="zh-CN"/>
        </w:rPr>
        <w:t>5</w:t>
      </w:r>
      <w:r>
        <w:rPr>
          <w:rFonts w:hint="eastAsia" w:ascii="宋体" w:hAnsi="宋体" w:eastAsia="宋体" w:cs="宋体"/>
          <w:color w:val="000000"/>
          <w:sz w:val="24"/>
        </w:rPr>
        <w:t>.投标人在收购过程要做好相关资料的整理及存档，包括但不限于收购农产品的龙头企业，合作社、乡（镇）、村委会证明及汇总材料的复印件（重点是相关供货商带贫机制的相关资料），做好消费协作农产品的采供、运输以及办理绿色通行证、检疫农药残留检验证明等。</w:t>
      </w:r>
    </w:p>
    <w:p>
      <w:pPr>
        <w:pBdr>
          <w:top w:val="none" w:color="000000" w:sz="0" w:space="0"/>
          <w:left w:val="none" w:color="000000" w:sz="0" w:space="0"/>
          <w:bottom w:val="none" w:color="000000" w:sz="0" w:space="0"/>
          <w:right w:val="none" w:color="000000" w:sz="0" w:space="0"/>
        </w:pBdr>
        <w:tabs>
          <w:tab w:val="left" w:pos="8279"/>
        </w:tabs>
        <w:spacing w:before="240" w:after="240"/>
        <w:ind w:left="0" w:right="0" w:firstLine="0"/>
        <w:rPr>
          <w:rFonts w:hint="eastAsia" w:ascii="宋体" w:hAnsi="宋体" w:eastAsia="宋体" w:cs="宋体"/>
        </w:rPr>
      </w:pPr>
      <w:r>
        <w:rPr>
          <w:rFonts w:hint="eastAsia" w:ascii="宋体" w:hAnsi="宋体" w:eastAsia="宋体" w:cs="宋体"/>
          <w:b/>
          <w:color w:val="000000"/>
          <w:sz w:val="24"/>
        </w:rPr>
        <w:t>★五.包装要求</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80"/>
        <w:rPr>
          <w:rFonts w:hint="eastAsia" w:ascii="宋体" w:hAnsi="宋体" w:eastAsia="宋体" w:cs="宋体"/>
          <w:highlight w:val="none"/>
        </w:rPr>
      </w:pPr>
      <w:r>
        <w:rPr>
          <w:rFonts w:hint="eastAsia" w:ascii="宋体" w:hAnsi="宋体" w:eastAsia="宋体" w:cs="宋体"/>
          <w:color w:val="000000"/>
          <w:sz w:val="24"/>
        </w:rPr>
        <w:t>各类农产品均需在显目位置标明产品品名、净重、毛重，张贴统一质量服务标识，使用地理标志的产品应在外包装上印刷地理标志，包装应采取必要的保护和保鲜措施，附储藏说明和</w:t>
      </w:r>
      <w:r>
        <w:rPr>
          <w:rFonts w:hint="eastAsia" w:ascii="宋体" w:hAnsi="宋体" w:eastAsia="宋体" w:cs="宋体"/>
          <w:color w:val="000000"/>
          <w:sz w:val="24"/>
          <w:highlight w:val="none"/>
        </w:rPr>
        <w:t>售后保障服务卡片。</w:t>
      </w:r>
    </w:p>
    <w:p>
      <w:pPr>
        <w:pBdr>
          <w:top w:val="none" w:color="000000" w:sz="0" w:space="0"/>
          <w:left w:val="none" w:color="000000" w:sz="0" w:space="0"/>
          <w:bottom w:val="none" w:color="000000" w:sz="0" w:space="0"/>
          <w:right w:val="none" w:color="000000" w:sz="0" w:space="0"/>
        </w:pBdr>
        <w:tabs>
          <w:tab w:val="left" w:pos="8279"/>
        </w:tabs>
        <w:spacing w:before="240" w:after="240"/>
        <w:ind w:left="0" w:right="0" w:firstLine="0"/>
        <w:rPr>
          <w:rFonts w:hint="eastAsia" w:ascii="宋体" w:hAnsi="宋体" w:eastAsia="宋体" w:cs="宋体"/>
          <w:highlight w:val="none"/>
        </w:rPr>
      </w:pPr>
      <w:r>
        <w:rPr>
          <w:rFonts w:hint="eastAsia" w:ascii="宋体" w:hAnsi="宋体" w:eastAsia="宋体" w:cs="宋体"/>
          <w:b/>
          <w:color w:val="000000"/>
          <w:sz w:val="24"/>
          <w:highlight w:val="none"/>
        </w:rPr>
        <w:t>★六.服务时间及发放方式</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80"/>
        <w:rPr>
          <w:rFonts w:hint="eastAsia" w:ascii="宋体" w:hAnsi="宋体" w:eastAsia="宋体" w:cs="宋体"/>
          <w:highlight w:val="none"/>
        </w:rPr>
      </w:pPr>
      <w:r>
        <w:rPr>
          <w:rFonts w:hint="eastAsia" w:ascii="宋体" w:hAnsi="宋体" w:eastAsia="宋体" w:cs="宋体"/>
          <w:color w:val="000000"/>
          <w:sz w:val="24"/>
          <w:highlight w:val="none"/>
        </w:rPr>
        <w:t>1.服务时间：2023年12月</w:t>
      </w:r>
      <w:r>
        <w:rPr>
          <w:rFonts w:hint="eastAsia" w:ascii="宋体" w:hAnsi="宋体" w:cs="宋体"/>
          <w:color w:val="000000"/>
          <w:sz w:val="24"/>
          <w:highlight w:val="none"/>
          <w:lang w:val="en-US" w:eastAsia="zh-CN"/>
        </w:rPr>
        <w:t>30</w:t>
      </w:r>
      <w:r>
        <w:rPr>
          <w:rFonts w:hint="eastAsia" w:ascii="宋体" w:hAnsi="宋体" w:eastAsia="宋体" w:cs="宋体"/>
          <w:color w:val="000000"/>
          <w:sz w:val="24"/>
          <w:highlight w:val="none"/>
        </w:rPr>
        <w:t>日至2024年2月</w:t>
      </w:r>
      <w:r>
        <w:rPr>
          <w:rFonts w:hint="eastAsia" w:ascii="宋体" w:hAnsi="宋体" w:eastAsia="宋体" w:cs="宋体"/>
          <w:color w:val="000000"/>
          <w:sz w:val="24"/>
          <w:highlight w:val="none"/>
          <w:lang w:val="en-US" w:eastAsia="zh-CN"/>
        </w:rPr>
        <w:t>2</w:t>
      </w:r>
      <w:r>
        <w:rPr>
          <w:rFonts w:hint="eastAsia" w:ascii="宋体" w:hAnsi="宋体" w:cs="宋体"/>
          <w:color w:val="000000"/>
          <w:sz w:val="24"/>
          <w:highlight w:val="none"/>
          <w:lang w:val="en-US" w:eastAsia="zh-CN"/>
        </w:rPr>
        <w:t>9</w:t>
      </w:r>
      <w:r>
        <w:rPr>
          <w:rFonts w:hint="eastAsia" w:ascii="宋体" w:hAnsi="宋体" w:eastAsia="宋体" w:cs="宋体"/>
          <w:color w:val="000000"/>
          <w:sz w:val="24"/>
          <w:highlight w:val="none"/>
        </w:rPr>
        <w:t>日</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80"/>
        <w:rPr>
          <w:rFonts w:hint="eastAsia" w:ascii="宋体" w:hAnsi="宋体" w:eastAsia="宋体" w:cs="宋体"/>
          <w:highlight w:val="none"/>
        </w:rPr>
      </w:pPr>
      <w:r>
        <w:rPr>
          <w:rFonts w:hint="eastAsia" w:ascii="宋体" w:hAnsi="宋体" w:eastAsia="宋体" w:cs="宋体"/>
          <w:color w:val="000000"/>
          <w:sz w:val="24"/>
          <w:highlight w:val="none"/>
        </w:rPr>
        <w:t>2.发放方式：根据采购单位的要求，集中送货至指定地点。</w:t>
      </w:r>
    </w:p>
    <w:p>
      <w:pPr>
        <w:pBdr>
          <w:top w:val="none" w:color="000000" w:sz="0" w:space="0"/>
          <w:left w:val="none" w:color="000000" w:sz="0" w:space="0"/>
          <w:bottom w:val="none" w:color="000000" w:sz="0" w:space="0"/>
          <w:right w:val="none" w:color="000000" w:sz="0" w:space="0"/>
        </w:pBdr>
        <w:tabs>
          <w:tab w:val="left" w:pos="8279"/>
        </w:tabs>
        <w:spacing w:before="240" w:after="240"/>
        <w:ind w:left="0" w:right="0" w:firstLine="0"/>
        <w:rPr>
          <w:rFonts w:hint="eastAsia" w:ascii="宋体" w:hAnsi="宋体" w:eastAsia="宋体" w:cs="宋体"/>
          <w:highlight w:val="none"/>
        </w:rPr>
      </w:pPr>
      <w:r>
        <w:rPr>
          <w:rFonts w:hint="eastAsia" w:ascii="宋体" w:hAnsi="宋体" w:eastAsia="宋体" w:cs="宋体"/>
          <w:b/>
          <w:color w:val="000000"/>
          <w:sz w:val="24"/>
          <w:highlight w:val="none"/>
        </w:rPr>
        <w:t>★七.结算方式</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80"/>
        <w:rPr>
          <w:rFonts w:hint="eastAsia" w:ascii="宋体" w:hAnsi="宋体" w:eastAsia="宋体" w:cs="宋体"/>
          <w:highlight w:val="none"/>
        </w:rPr>
      </w:pPr>
      <w:r>
        <w:rPr>
          <w:rFonts w:hint="eastAsia" w:ascii="宋体" w:hAnsi="宋体" w:eastAsia="宋体" w:cs="宋体"/>
          <w:color w:val="000000"/>
          <w:sz w:val="24"/>
          <w:highlight w:val="none"/>
        </w:rPr>
        <w:t>1.在采供过程中，投标人需根据消费协作产品的采供数量和金额，在收购消费协作产品时须先行、及时支付货款给对口地区的供货方，不得拖延。</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80"/>
        <w:rPr>
          <w:rFonts w:hint="eastAsia" w:ascii="宋体" w:hAnsi="宋体" w:eastAsia="宋体" w:cs="宋体"/>
          <w:highlight w:val="none"/>
        </w:rPr>
      </w:pPr>
      <w:r>
        <w:rPr>
          <w:rFonts w:hint="eastAsia" w:ascii="宋体" w:hAnsi="宋体" w:eastAsia="宋体" w:cs="宋体"/>
          <w:color w:val="000000"/>
          <w:sz w:val="24"/>
          <w:highlight w:val="none"/>
        </w:rPr>
        <w:t>2.采购人在合同签订后，按照合同约定的时间支付投标人总金额的30%的预付款。合同履行完毕后，采购人对投标人履约情况进行评级，按照评级支付合同款，详见第三部分合同专用条款1.7.2。</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80"/>
        <w:rPr>
          <w:rFonts w:hint="eastAsia" w:ascii="宋体" w:hAnsi="宋体" w:eastAsia="宋体" w:cs="宋体"/>
          <w:color w:val="000000"/>
          <w:sz w:val="24"/>
          <w:highlight w:val="none"/>
        </w:rPr>
      </w:pPr>
      <w:r>
        <w:rPr>
          <w:rFonts w:hint="eastAsia" w:ascii="宋体" w:hAnsi="宋体" w:eastAsia="宋体" w:cs="宋体"/>
          <w:color w:val="000000"/>
          <w:sz w:val="24"/>
          <w:highlight w:val="none"/>
        </w:rPr>
        <w:t>3.各批次付款结算时，投标人应向采购人提供农产品采购的相关凭证（包括发票、合同、付款凭证等），要求从“832平台”采购的农产品还需提供在“832平台”下单采购的相关凭证，否则不予结算。提供的采购合同、付款对象与投标文件不一致的，不予结算。</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right="0"/>
        <w:rPr>
          <w:rFonts w:hint="eastAsia" w:ascii="宋体" w:hAnsi="宋体" w:eastAsia="宋体" w:cs="宋体"/>
          <w:highlight w:val="none"/>
        </w:rPr>
      </w:pPr>
      <w:bookmarkStart w:id="0" w:name="_GoBack"/>
      <w:bookmarkEnd w:id="0"/>
      <w:r>
        <w:rPr>
          <w:rFonts w:hint="eastAsia" w:ascii="宋体" w:hAnsi="宋体" w:eastAsia="宋体" w:cs="宋体"/>
          <w:b/>
          <w:color w:val="000000"/>
          <w:sz w:val="24"/>
          <w:highlight w:val="none"/>
        </w:rPr>
        <w:t>★八.其他要求</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20"/>
        <w:rPr>
          <w:rFonts w:hint="eastAsia" w:ascii="宋体" w:hAnsi="宋体" w:eastAsia="宋体" w:cs="宋体"/>
          <w:highlight w:val="none"/>
        </w:rPr>
      </w:pPr>
      <w:r>
        <w:rPr>
          <w:rFonts w:hint="eastAsia" w:ascii="宋体" w:hAnsi="宋体" w:eastAsia="宋体" w:cs="宋体"/>
          <w:color w:val="000000"/>
          <w:sz w:val="24"/>
          <w:highlight w:val="none"/>
          <w:lang w:val="en-US" w:eastAsia="zh-CN"/>
        </w:rPr>
        <w:t>1</w:t>
      </w:r>
      <w:r>
        <w:rPr>
          <w:rFonts w:hint="eastAsia" w:ascii="宋体" w:hAnsi="宋体" w:eastAsia="宋体" w:cs="宋体"/>
          <w:color w:val="000000"/>
          <w:sz w:val="24"/>
          <w:highlight w:val="none"/>
        </w:rPr>
        <w:t>.本项目评审按标段一至标段</w:t>
      </w:r>
      <w:r>
        <w:rPr>
          <w:rFonts w:hint="eastAsia" w:ascii="宋体" w:hAnsi="宋体" w:eastAsia="宋体" w:cs="宋体"/>
          <w:color w:val="000000"/>
          <w:sz w:val="24"/>
          <w:highlight w:val="none"/>
          <w:lang w:val="en-US" w:eastAsia="zh-CN"/>
        </w:rPr>
        <w:t>六</w:t>
      </w:r>
      <w:r>
        <w:rPr>
          <w:rFonts w:hint="eastAsia" w:ascii="宋体" w:hAnsi="宋体" w:eastAsia="宋体" w:cs="宋体"/>
          <w:color w:val="000000"/>
          <w:sz w:val="24"/>
          <w:highlight w:val="none"/>
        </w:rPr>
        <w:t>的顺序进行，投标人可选择上述任意标段进行投报，同时提交成交标段选择说明，每个投标人成交标段数量≤</w:t>
      </w:r>
      <w:r>
        <w:rPr>
          <w:rFonts w:hint="eastAsia" w:ascii="宋体" w:hAnsi="宋体" w:eastAsia="宋体" w:cs="宋体"/>
          <w:color w:val="000000"/>
          <w:sz w:val="24"/>
          <w:highlight w:val="none"/>
          <w:lang w:val="en-US" w:eastAsia="zh-CN"/>
        </w:rPr>
        <w:t>3</w:t>
      </w:r>
      <w:r>
        <w:rPr>
          <w:rFonts w:hint="eastAsia" w:ascii="宋体" w:hAnsi="宋体" w:eastAsia="宋体" w:cs="宋体"/>
          <w:color w:val="000000"/>
          <w:sz w:val="24"/>
          <w:highlight w:val="none"/>
        </w:rPr>
        <w:t>个。</w:t>
      </w:r>
    </w:p>
    <w:p>
      <w:pPr>
        <w:pBdr>
          <w:top w:val="none" w:color="000000" w:sz="0" w:space="0"/>
          <w:left w:val="none" w:color="000000" w:sz="0" w:space="0"/>
          <w:bottom w:val="none" w:color="000000" w:sz="0" w:space="0"/>
          <w:right w:val="none" w:color="000000" w:sz="0" w:space="0"/>
        </w:pBdr>
        <w:tabs>
          <w:tab w:val="left" w:pos="8279"/>
        </w:tabs>
        <w:spacing w:before="0" w:after="0" w:line="85" w:lineRule="atLeast"/>
        <w:ind w:left="0" w:right="0" w:firstLine="420"/>
        <w:rPr>
          <w:rFonts w:hint="eastAsia" w:ascii="宋体" w:hAnsi="宋体" w:eastAsia="宋体" w:cs="宋体"/>
          <w:highlight w:val="none"/>
        </w:rPr>
      </w:pPr>
      <w:r>
        <w:rPr>
          <w:rFonts w:hint="eastAsia" w:ascii="宋体" w:hAnsi="宋体" w:eastAsia="宋体" w:cs="宋体"/>
          <w:color w:val="000000"/>
          <w:sz w:val="24"/>
          <w:highlight w:val="none"/>
          <w:lang w:val="en-US" w:eastAsia="zh-CN"/>
        </w:rPr>
        <w:t>2</w:t>
      </w:r>
      <w:r>
        <w:rPr>
          <w:rFonts w:hint="eastAsia" w:ascii="宋体" w:hAnsi="宋体" w:eastAsia="宋体" w:cs="宋体"/>
          <w:color w:val="000000"/>
          <w:sz w:val="24"/>
          <w:highlight w:val="none"/>
        </w:rPr>
        <w:t>.合同签订时，投标人需交纳10%履约保证金，合同履行完毕且无合同纠纷后30日内，无息退还履约保证金（因政府财务结算原因，不能及时支付的，时间顺延）。</w:t>
      </w:r>
    </w:p>
    <w:p>
      <w:r>
        <w:rPr>
          <w:rFonts w:hint="eastAsia" w:ascii="宋体" w:hAnsi="宋体" w:eastAsia="宋体" w:cs="宋体"/>
          <w:color w:val="000000"/>
          <w:sz w:val="24"/>
          <w:highlight w:val="none"/>
        </w:rPr>
        <w:t>上述加★的，投标人如出现负偏离，将视为未实质性响应采购文件要求。</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IwY2ZhMzU3OTg5YzliMDQ0NWE4YzA5ZjI3NDA3NjEifQ=="/>
  </w:docVars>
  <w:rsids>
    <w:rsidRoot w:val="00000000"/>
    <w:rsid w:val="03371F06"/>
    <w:rsid w:val="04515950"/>
    <w:rsid w:val="0EE15DB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table" w:styleId="3">
    <w:name w:val="Table Grid"/>
    <w:basedOn w:val="2"/>
    <w:unhideWhenUsed/>
    <w:qFormat/>
    <w:uiPriority w:val="59"/>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2023-08-24T06:33:00Z</dcterms:created>
  <dc:creator>Administrator</dc:creator>
  <cp:lastModifiedBy>Q</cp:lastModifiedBy>
  <dcterms:modified xsi:type="dcterms:W3CDTF">2023-12-04T09:19:05Z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D35773E637464AB29E9C59A9322F7321_12</vt:lpwstr>
  </property>
</Properties>
</file>