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jc w:val="center"/>
        <w:spacing w:line="360" w:lineRule="auto"/>
        <w:rPr>
          <w:rFonts w:hint="eastAsia" w:ascii="宋体" w:hAnsi="宋体"/>
          <w:bCs/>
          <w:color w:val="auto"/>
          <w:sz w:val="36"/>
          <w:szCs w:val="36"/>
          <w:highlight w:val="none"/>
        </w:rPr>
      </w:pPr>
      <w:r>
        <w:rPr>
          <w:rFonts w:hint="eastAsia" w:ascii="宋体" w:hAnsi="宋体"/>
          <w:bCs/>
          <w:color w:val="auto"/>
          <w:sz w:val="36"/>
          <w:szCs w:val="36"/>
          <w:highlight w:val="none"/>
        </w:rPr>
      </w:r>
      <w:r>
        <w:rPr>
          <w:color w:val="auto"/>
          <w:highlight w:val="none"/>
        </w:rPr>
      </w:r>
    </w:p>
    <w:p>
      <w:pPr>
        <w:pStyle w:val="875"/>
        <w:jc w:val="center"/>
        <w:rPr>
          <w:rFonts w:hint="eastAsia" w:ascii="宋体" w:hAnsi="宋体"/>
          <w:bCs/>
          <w:color w:val="auto"/>
          <w:sz w:val="36"/>
          <w:szCs w:val="36"/>
          <w:highlight w:val="none"/>
        </w:rPr>
      </w:pPr>
      <w:r>
        <w:rPr>
          <w:rFonts w:hint="eastAsia" w:ascii="宋体" w:hAnsi="宋体"/>
          <w:bCs/>
          <w:color w:val="auto"/>
          <w:sz w:val="36"/>
          <w:szCs w:val="36"/>
          <w:highlight w:val="none"/>
        </w:rPr>
        <w:t xml:space="preserve">南通市海门区常乐镇人民政府采购农业科技产业园核心区一期智能温室设备及配套项目</w:t>
      </w:r>
      <w:r>
        <w:rPr>
          <w:rFonts w:hint="eastAsia" w:ascii="宋体" w:hAnsi="宋体"/>
          <w:bCs/>
          <w:color w:val="auto"/>
          <w:sz w:val="36"/>
          <w:szCs w:val="36"/>
          <w:highlight w:val="none"/>
        </w:rPr>
      </w:r>
      <w:r>
        <w:rPr>
          <w:color w:val="auto"/>
          <w:highlight w:val="none"/>
        </w:rPr>
      </w:r>
    </w:p>
    <w:p>
      <w:pPr>
        <w:pStyle w:val="869"/>
        <w:spacing w:line="360" w:lineRule="auto"/>
        <w:rPr>
          <w:rFonts w:hint="eastAsia" w:ascii="宋体" w:hAnsi="宋体" w:cs="宋体"/>
          <w:b w:val="0"/>
          <w:bCs/>
          <w:color w:val="auto"/>
          <w:highlight w:val="none"/>
        </w:rPr>
      </w:pPr>
      <w:r>
        <w:rPr>
          <w:rFonts w:hint="eastAsia" w:ascii="宋体" w:hAnsi="宋体" w:cs="宋体"/>
          <w:color w:val="auto"/>
          <w:sz w:val="100"/>
          <w:szCs w:val="100"/>
          <w:highlight w:val="none"/>
        </w:rPr>
        <w:t xml:space="preserve">政府采购招标文件</w:t>
      </w:r>
      <w:r>
        <w:rPr>
          <w:rFonts w:hint="eastAsia" w:ascii="宋体" w:hAnsi="宋体" w:cs="宋体"/>
          <w:b w:val="0"/>
          <w:bCs/>
          <w:color w:val="auto"/>
          <w:highlight w:val="none"/>
        </w:rPr>
      </w:r>
      <w:r>
        <w:rPr>
          <w:color w:val="auto"/>
          <w:highlight w:val="none"/>
        </w:rPr>
      </w:r>
    </w:p>
    <w:p>
      <w:pPr>
        <w:pStyle w:val="869"/>
        <w:spacing w:line="500" w:lineRule="exac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rPr>
          <w:color w:val="auto"/>
          <w:highlight w:val="none"/>
        </w:rPr>
      </w:r>
    </w:p>
    <w:p>
      <w:pPr>
        <w:pStyle w:val="869"/>
        <w:spacing w:line="500" w:lineRule="exact"/>
        <w:rPr>
          <w:rFonts w:hint="eastAsia" w:ascii="宋体" w:hAnsi="宋体" w:cs="宋体"/>
          <w:b w:val="0"/>
          <w:color w:val="auto"/>
          <w:sz w:val="30"/>
          <w:highlight w:val="none"/>
        </w:rPr>
      </w:pPr>
      <w:r>
        <w:rPr>
          <w:rFonts w:hint="eastAsia" w:ascii="宋体" w:hAnsi="宋体" w:cs="宋体"/>
          <w:bCs/>
          <w:color w:val="auto"/>
          <w:sz w:val="36"/>
          <w:szCs w:val="36"/>
          <w:highlight w:val="none"/>
        </w:rPr>
        <w:t xml:space="preserve">项目编号：</w:t>
      </w:r>
      <w:r>
        <w:rPr>
          <w:rFonts w:hint="eastAsia" w:ascii="宋体" w:hAnsi="宋体"/>
          <w:bCs/>
          <w:color w:val="auto"/>
          <w:sz w:val="36"/>
          <w:szCs w:val="36"/>
          <w:highlight w:val="none"/>
        </w:rPr>
        <w:t xml:space="preserve">JSZC-3</w:t>
      </w:r>
      <w:r>
        <w:rPr>
          <w:rFonts w:hint="eastAsia" w:ascii="宋体" w:hAnsi="宋体"/>
          <w:bCs/>
          <w:color w:val="auto"/>
          <w:sz w:val="36"/>
          <w:szCs w:val="36"/>
          <w:highlight w:val="none"/>
        </w:rPr>
        <w:t xml:space="preserve">20614-JZCG-G2024-0017</w:t>
      </w:r>
      <w:r>
        <w:rPr>
          <w:rFonts w:ascii="宋体" w:hAnsi="宋体" w:cs="宋体"/>
          <w:b w:val="0"/>
          <w:color w:val="auto"/>
          <w:sz w:val="36"/>
          <w:szCs w:val="36"/>
          <w:highlight w:val="none"/>
        </w:rPr>
        <w:t xml:space="preserve"> </w:t>
      </w:r>
      <w:r>
        <w:rPr>
          <w:rFonts w:hint="eastAsia" w:ascii="宋体" w:hAnsi="宋体" w:cs="宋体"/>
          <w:b w:val="0"/>
          <w:color w:val="auto"/>
          <w:sz w:val="30"/>
          <w:highlight w:val="none"/>
        </w:rPr>
      </w:r>
      <w:r>
        <w:rPr>
          <w:color w:val="auto"/>
          <w:highlight w:val="none"/>
        </w:rPr>
      </w:r>
    </w:p>
    <w:p>
      <w:pPr>
        <w:pStyle w:val="863"/>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rPr>
          <w:color w:val="auto"/>
          <w:highlight w:val="none"/>
        </w:rPr>
      </w:r>
    </w:p>
    <w:p>
      <w:pPr>
        <w:pStyle w:val="875"/>
        <w:rPr>
          <w:rFonts w:hint="eastAsia"/>
          <w:color w:val="auto"/>
          <w:highlight w:val="none"/>
        </w:rPr>
      </w:pPr>
      <w:r>
        <w:rPr>
          <w:rFonts w:hint="eastAsia"/>
          <w:color w:val="auto"/>
          <w:highlight w:val="none"/>
        </w:rPr>
      </w:r>
      <w:r>
        <w:rPr>
          <w:color w:val="auto"/>
          <w:highlight w:val="none"/>
        </w:rPr>
      </w:r>
    </w:p>
    <w:p>
      <w:pPr>
        <w:pStyle w:val="863"/>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rPr>
          <w:color w:val="auto"/>
          <w:highlight w:val="none"/>
        </w:rPr>
      </w:r>
    </w:p>
    <w:p>
      <w:pPr>
        <w:pStyle w:val="863"/>
        <w:jc w:val="center"/>
        <w:spacing w:line="500" w:lineRule="exact"/>
        <w:rPr>
          <w:rFonts w:hint="eastAsia" w:ascii="宋体" w:hAnsi="宋体" w:cs="宋体"/>
          <w:color w:val="auto"/>
          <w:sz w:val="32"/>
          <w:highlight w:val="none"/>
        </w:rPr>
      </w:pPr>
      <w:r>
        <w:rPr>
          <w:rFonts w:hint="eastAsia"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0" o:title=""/>
          </v:shape>
          <o:OLEObject DrawAspect="Content" r:id="rId11" ObjectID="_1525041" ProgID="MS_ClipArt_Gallery" ShapeID="_x0000_i1" Type="Embed"/>
        </w:object>
      </w:r>
      <w:r>
        <w:rPr>
          <w:rFonts w:hint="eastAsia" w:ascii="宋体" w:hAnsi="宋体" w:cs="宋体"/>
          <w:color w:val="auto"/>
          <w:sz w:val="32"/>
          <w:highlight w:val="none"/>
        </w:rPr>
      </w:r>
      <w:r>
        <w:rPr>
          <w:color w:val="auto"/>
          <w:highlight w:val="none"/>
        </w:rPr>
      </w:r>
    </w:p>
    <w:p>
      <w:pPr>
        <w:pStyle w:val="863"/>
        <w:jc w:val="cente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rPr>
          <w:color w:val="auto"/>
          <w:highlight w:val="none"/>
        </w:rPr>
      </w:r>
    </w:p>
    <w:p>
      <w:pPr>
        <w:pStyle w:val="863"/>
        <w:jc w:val="cente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rPr>
          <w:color w:val="auto"/>
          <w:highlight w:val="none"/>
        </w:rPr>
      </w:r>
    </w:p>
    <w:p>
      <w:pPr>
        <w:pStyle w:val="863"/>
        <w:jc w:val="center"/>
        <w:spacing w:line="500" w:lineRule="exact"/>
        <w:rPr>
          <w:rFonts w:ascii="宋体" w:hAnsi="宋体" w:cs="宋体"/>
          <w:color w:val="auto"/>
          <w:sz w:val="32"/>
          <w:highlight w:val="none"/>
        </w:rPr>
      </w:pPr>
      <w:r>
        <w:rPr>
          <w:rFonts w:ascii="宋体" w:hAnsi="宋体" w:cs="宋体"/>
          <w:color w:val="auto"/>
          <w:sz w:val="32"/>
          <w:highlight w:val="none"/>
        </w:rPr>
      </w:r>
      <w:r>
        <w:rPr>
          <w:color w:val="auto"/>
          <w:highlight w:val="none"/>
        </w:rPr>
      </w:r>
    </w:p>
    <w:p>
      <w:pPr>
        <w:pStyle w:val="875"/>
        <w:rPr>
          <w:rFonts w:hint="eastAsia"/>
          <w:color w:val="auto"/>
          <w:highlight w:val="none"/>
        </w:rPr>
      </w:pPr>
      <w:r>
        <w:rPr>
          <w:rFonts w:hint="eastAsia"/>
          <w:color w:val="auto"/>
          <w:highlight w:val="none"/>
        </w:rPr>
      </w:r>
      <w:r>
        <w:rPr>
          <w:color w:val="auto"/>
          <w:highlight w:val="none"/>
        </w:rPr>
      </w:r>
    </w:p>
    <w:p>
      <w:pPr>
        <w:pStyle w:val="863"/>
        <w:jc w:val="center"/>
        <w:spacing w:line="500" w:lineRule="exact"/>
        <w:rPr>
          <w:rFonts w:hint="eastAsia" w:ascii="宋体" w:hAnsi="宋体" w:cs="宋体"/>
          <w:b/>
          <w:color w:val="auto"/>
          <w:spacing w:val="20"/>
          <w:sz w:val="44"/>
          <w:highlight w:val="none"/>
        </w:rPr>
      </w:pPr>
      <w:r>
        <w:rPr>
          <w:rFonts w:hint="eastAsia" w:ascii="宋体" w:hAnsi="宋体" w:cs="宋体"/>
          <w:b/>
          <w:color w:val="auto"/>
          <w:spacing w:val="20"/>
          <w:sz w:val="44"/>
          <w:highlight w:val="none"/>
        </w:rPr>
        <w:t xml:space="preserve">南通市海门区公共资源交易中心印制</w:t>
      </w:r>
      <w:r>
        <w:rPr>
          <w:rFonts w:hint="eastAsia" w:ascii="宋体" w:hAnsi="宋体" w:cs="宋体"/>
          <w:b/>
          <w:color w:val="auto"/>
          <w:spacing w:val="20"/>
          <w:sz w:val="44"/>
          <w:highlight w:val="none"/>
        </w:rPr>
      </w:r>
      <w:r>
        <w:rPr>
          <w:color w:val="auto"/>
          <w:highlight w:val="none"/>
        </w:rPr>
      </w:r>
    </w:p>
    <w:p>
      <w:pPr>
        <w:pStyle w:val="935"/>
        <w:ind w:firstLine="0"/>
        <w:rPr>
          <w:rFonts w:hint="eastAsia" w:ascii="宋体" w:hAnsi="宋体" w:cs="宋体"/>
          <w:b/>
          <w:bCs/>
          <w:color w:val="auto"/>
          <w:sz w:val="32"/>
          <w:highlight w:val="none"/>
        </w:rPr>
      </w:pPr>
      <w:r>
        <w:rPr>
          <w:rFonts w:hint="eastAsia" w:ascii="宋体" w:hAnsi="宋体" w:cs="宋体"/>
          <w:b/>
          <w:bCs/>
          <w:color w:val="auto"/>
          <w:sz w:val="32"/>
          <w:highlight w:val="none"/>
        </w:rPr>
        <w:t xml:space="preserve">二〇二四年</w:t>
      </w:r>
      <w:r>
        <w:rPr>
          <w:rFonts w:hint="eastAsia" w:ascii="宋体" w:hAnsi="宋体" w:cs="宋体"/>
          <w:b/>
          <w:bCs/>
          <w:color w:val="auto"/>
          <w:sz w:val="32"/>
          <w:highlight w:val="none"/>
          <w:lang w:eastAsia="zh-CN"/>
        </w:rPr>
        <w:t xml:space="preserve">二</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eastAsia="zh-CN"/>
        </w:rPr>
        <w:t xml:space="preserve">二</w:t>
      </w:r>
      <w:r>
        <w:rPr>
          <w:rFonts w:hint="eastAsia" w:ascii="宋体" w:hAnsi="宋体" w:cs="宋体"/>
          <w:b/>
          <w:bCs/>
          <w:color w:val="auto"/>
          <w:sz w:val="32"/>
          <w:highlight w:val="none"/>
        </w:rPr>
        <w:t xml:space="preserve">日</w:t>
      </w:r>
      <w:r>
        <w:rPr>
          <w:rFonts w:hint="eastAsia" w:ascii="宋体" w:hAnsi="宋体" w:cs="宋体"/>
          <w:b/>
          <w:bCs/>
          <w:color w:val="auto"/>
          <w:sz w:val="32"/>
          <w:highlight w:val="none"/>
        </w:rPr>
      </w:r>
      <w:r>
        <w:rPr>
          <w:color w:val="auto"/>
          <w:highlight w:val="none"/>
        </w:rPr>
      </w:r>
    </w:p>
    <w:p>
      <w:pPr>
        <w:pStyle w:val="863"/>
        <w:rPr>
          <w:rFonts w:hint="eastAsia" w:ascii="宋体" w:hAnsi="宋体" w:cs="宋体"/>
          <w:b/>
          <w:color w:val="auto"/>
          <w:sz w:val="26"/>
          <w:szCs w:val="28"/>
          <w:highlight w:val="none"/>
          <w:u w:val="single"/>
        </w:rPr>
      </w:pPr>
      <w:r>
        <w:rPr>
          <w:rFonts w:hint="eastAsia" w:ascii="宋体" w:hAnsi="宋体" w:cs="宋体"/>
          <w:b/>
          <w:color w:val="auto"/>
          <w:sz w:val="26"/>
          <w:szCs w:val="28"/>
          <w:highlight w:val="none"/>
          <w:u w:val="single"/>
        </w:rPr>
        <w:t xml:space="preserve">                                                                    </w:t>
      </w:r>
      <w:r>
        <w:rPr>
          <w:rFonts w:hint="eastAsia" w:ascii="宋体" w:hAnsi="宋体" w:cs="宋体"/>
          <w:b/>
          <w:color w:val="auto"/>
          <w:sz w:val="26"/>
          <w:szCs w:val="28"/>
          <w:highlight w:val="none"/>
          <w:u w:val="single"/>
        </w:rPr>
      </w:r>
      <w:r>
        <w:rPr>
          <w:color w:val="auto"/>
          <w:highlight w:val="none"/>
        </w:rPr>
      </w:r>
    </w:p>
    <w:p>
      <w:pPr>
        <w:pStyle w:val="863"/>
        <w:ind w:left="-158" w:right="-601"/>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highlight w:val="none"/>
        </w:rPr>
      </w:r>
    </w:p>
    <w:p>
      <w:pPr>
        <w:pStyle w:val="863"/>
        <w:ind w:left="-158" w:right="-601"/>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地址: 南通市海门区长江南路777号           邮政编码：226100</w:t>
      </w:r>
      <w:r>
        <w:rPr>
          <w:rFonts w:hint="eastAsia" w:ascii="宋体" w:hAnsi="宋体" w:cs="宋体"/>
          <w:b/>
          <w:color w:val="auto"/>
          <w:sz w:val="32"/>
          <w:szCs w:val="32"/>
          <w:highlight w:val="none"/>
        </w:rPr>
      </w:r>
      <w:r>
        <w:rPr>
          <w:color w:val="auto"/>
          <w:highlight w:val="none"/>
        </w:rPr>
      </w:r>
    </w:p>
    <w:p>
      <w:pPr>
        <w:pStyle w:val="863"/>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br w:type="page" w:clear="all"/>
      </w:r>
      <w:r>
        <w:rPr>
          <w:rFonts w:hint="eastAsia" w:ascii="宋体" w:hAnsi="宋体" w:cs="宋体"/>
          <w:color w:val="auto"/>
          <w:sz w:val="44"/>
          <w:szCs w:val="44"/>
          <w:highlight w:val="none"/>
        </w:rPr>
        <w:t xml:space="preserve">目 录</w:t>
      </w:r>
      <w:r>
        <w:rPr>
          <w:rFonts w:hint="eastAsia" w:ascii="宋体" w:hAnsi="宋体" w:cs="宋体"/>
          <w:color w:val="auto"/>
          <w:sz w:val="44"/>
          <w:szCs w:val="44"/>
          <w:highlight w:val="none"/>
        </w:rPr>
      </w:r>
      <w:r>
        <w:rPr>
          <w:color w:val="auto"/>
          <w:highlight w:val="none"/>
        </w:rPr>
      </w:r>
    </w:p>
    <w:p>
      <w:pPr>
        <w:pStyle w:val="863"/>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p>
    <w:p>
      <w:pPr>
        <w:pStyle w:val="863"/>
        <w:ind w:firstLine="640"/>
        <w:spacing w:line="360" w:lineRule="auto"/>
        <w:tabs>
          <w:tab w:val="left" w:pos="7740" w:leader="none"/>
        </w:tabs>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 xml:space="preserve">第一部分  投标邀请</w:t>
      </w:r>
      <w:r>
        <w:rPr>
          <w:rFonts w:hint="eastAsia" w:ascii="宋体" w:hAnsi="宋体" w:cs="宋体"/>
          <w:color w:val="auto"/>
          <w:spacing w:val="2"/>
          <w:sz w:val="32"/>
          <w:szCs w:val="32"/>
          <w:highlight w:val="none"/>
        </w:rPr>
      </w:r>
      <w:r>
        <w:rPr>
          <w:color w:val="auto"/>
          <w:highlight w:val="none"/>
        </w:rPr>
      </w:r>
    </w:p>
    <w:p>
      <w:pPr>
        <w:pStyle w:val="863"/>
        <w:ind w:firstLine="640"/>
        <w:spacing w:line="360" w:lineRule="auto"/>
        <w:tabs>
          <w:tab w:val="left" w:pos="7740" w:leader="none"/>
        </w:tabs>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 xml:space="preserve">第二部分  投标须知</w:t>
      </w:r>
      <w:r>
        <w:rPr>
          <w:rFonts w:hint="eastAsia" w:ascii="宋体" w:hAnsi="宋体" w:cs="宋体"/>
          <w:color w:val="auto"/>
          <w:spacing w:val="2"/>
          <w:sz w:val="32"/>
          <w:szCs w:val="32"/>
          <w:highlight w:val="none"/>
        </w:rPr>
      </w:r>
      <w:r>
        <w:rPr>
          <w:color w:val="auto"/>
          <w:highlight w:val="none"/>
        </w:rPr>
      </w:r>
    </w:p>
    <w:p>
      <w:pPr>
        <w:pStyle w:val="863"/>
        <w:ind w:firstLine="640"/>
        <w:spacing w:line="360" w:lineRule="auto"/>
        <w:tabs>
          <w:tab w:val="left" w:pos="7740" w:leader="none"/>
        </w:tabs>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 xml:space="preserve">第三部分  项目需求</w:t>
      </w:r>
      <w:r>
        <w:rPr>
          <w:rFonts w:hint="eastAsia" w:ascii="宋体" w:hAnsi="宋体" w:cs="宋体"/>
          <w:color w:val="auto"/>
          <w:spacing w:val="2"/>
          <w:sz w:val="32"/>
          <w:szCs w:val="32"/>
          <w:highlight w:val="none"/>
        </w:rPr>
      </w:r>
      <w:r>
        <w:rPr>
          <w:color w:val="auto"/>
          <w:highlight w:val="none"/>
        </w:rPr>
      </w:r>
    </w:p>
    <w:p>
      <w:pPr>
        <w:pStyle w:val="863"/>
        <w:ind w:firstLine="640"/>
        <w:spacing w:line="360" w:lineRule="auto"/>
        <w:tabs>
          <w:tab w:val="left" w:pos="7740" w:leader="none"/>
        </w:tabs>
        <w:rPr>
          <w:rFonts w:hint="eastAsia" w:ascii="宋体" w:hAnsi="宋体" w:cs="宋体"/>
          <w:color w:val="auto"/>
          <w:spacing w:val="2"/>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 xml:space="preserve">开标和评标</w:t>
      </w:r>
      <w:r>
        <w:rPr>
          <w:rFonts w:hint="eastAsia" w:ascii="宋体" w:hAnsi="宋体" w:cs="宋体"/>
          <w:color w:val="auto"/>
          <w:spacing w:val="2"/>
          <w:sz w:val="32"/>
          <w:szCs w:val="32"/>
          <w:highlight w:val="none"/>
        </w:rPr>
      </w:r>
      <w:r>
        <w:rPr>
          <w:color w:val="auto"/>
          <w:highlight w:val="none"/>
        </w:rPr>
      </w:r>
    </w:p>
    <w:p>
      <w:pPr>
        <w:pStyle w:val="863"/>
        <w:ind w:firstLine="640"/>
        <w:spacing w:line="360" w:lineRule="auto"/>
        <w:tabs>
          <w:tab w:val="left" w:pos="7740" w:leader="none"/>
        </w:tabs>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 xml:space="preserve">第五部分  投标文件组成</w:t>
      </w:r>
      <w:r>
        <w:rPr>
          <w:rFonts w:hint="eastAsia" w:ascii="宋体" w:hAnsi="宋体" w:cs="宋体"/>
          <w:color w:val="auto"/>
          <w:spacing w:val="2"/>
          <w:sz w:val="32"/>
          <w:szCs w:val="32"/>
          <w:highlight w:val="none"/>
        </w:rPr>
      </w:r>
      <w:r>
        <w:rPr>
          <w:color w:val="auto"/>
          <w:highlight w:val="none"/>
        </w:rPr>
      </w:r>
    </w:p>
    <w:p>
      <w:pPr>
        <w:pStyle w:val="863"/>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highlight w:val="none"/>
        </w:rPr>
      </w:r>
    </w:p>
    <w:p>
      <w:pPr>
        <w:pStyle w:val="863"/>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rPr>
          <w:color w:val="auto"/>
          <w:highlight w:val="none"/>
        </w:rPr>
      </w:r>
    </w:p>
    <w:p>
      <w:pPr>
        <w:pStyle w:val="863"/>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rPr>
          <w:color w:val="auto"/>
          <w:highlight w:val="none"/>
        </w:rPr>
      </w:r>
    </w:p>
    <w:p>
      <w:pPr>
        <w:pStyle w:val="863"/>
        <w:spacing w:line="500" w:lineRule="exact"/>
        <w:tabs>
          <w:tab w:val="left" w:pos="774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pStyle w:val="863"/>
        <w:spacing w:line="500" w:lineRule="exact"/>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spacing w:line="500" w:lineRule="exact"/>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r>
      <w:r>
        <w:rPr>
          <w:color w:val="auto"/>
          <w:highlight w:val="none"/>
        </w:rPr>
      </w:r>
    </w:p>
    <w:p>
      <w:pPr>
        <w:pStyle w:val="863"/>
        <w:jc w:val="center"/>
        <w:spacing w:line="5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
          <w:color w:val="auto"/>
          <w:sz w:val="36"/>
          <w:szCs w:val="36"/>
          <w:highlight w:val="none"/>
        </w:rPr>
        <w:t xml:space="preserve">第一部分  </w:t>
      </w:r>
      <w:bookmarkStart w:id="0" w:name="OLE_LINK4"/>
      <w:r>
        <w:rPr>
          <w:color w:val="auto"/>
          <w:highlight w:val="none"/>
        </w:rPr>
      </w:r>
      <w:bookmarkStart w:id="1" w:name="OLE_LINK5"/>
      <w:r>
        <w:rPr>
          <w:color w:val="auto"/>
          <w:highlight w:val="none"/>
        </w:rPr>
      </w:r>
      <w:bookmarkStart w:id="2" w:name="OLE_LINK7"/>
      <w:r>
        <w:rPr>
          <w:rFonts w:hint="eastAsia" w:ascii="宋体" w:hAnsi="宋体" w:cs="宋体"/>
          <w:b/>
          <w:color w:val="auto"/>
          <w:sz w:val="36"/>
          <w:szCs w:val="36"/>
          <w:highlight w:val="none"/>
        </w:rPr>
        <w:t xml:space="preserve">投标邀请</w:t>
      </w:r>
      <w:r>
        <w:rPr>
          <w:rFonts w:hint="eastAsia" w:ascii="宋体" w:hAnsi="宋体" w:cs="宋体"/>
          <w:bCs/>
          <w:color w:val="auto"/>
          <w:sz w:val="36"/>
          <w:szCs w:val="36"/>
          <w:highlight w:val="none"/>
        </w:rPr>
      </w:r>
      <w:r>
        <w:rPr>
          <w:color w:val="auto"/>
          <w:highlight w:val="none"/>
        </w:rPr>
      </w:r>
    </w:p>
    <w:p>
      <w:pPr>
        <w:pStyle w:val="863"/>
        <w:ind w:firstLine="560"/>
        <w:spacing w:line="360" w:lineRule="auto"/>
        <w:rPr>
          <w:rFonts w:hint="eastAsia" w:ascii="宋体" w:hAnsi="宋体" w:eastAsia="宋体" w:cs="宋体"/>
          <w:color w:val="auto"/>
          <w:sz w:val="28"/>
          <w:szCs w:val="28"/>
          <w:highlight w:val="none"/>
        </w:rPr>
      </w:pPr>
      <w:r>
        <w:rPr>
          <w:color w:val="auto"/>
          <w:highlight w:val="none"/>
        </w:rPr>
      </w:r>
      <w:bookmarkStart w:id="3" w:name="OLE_LINK3"/>
      <w:r>
        <w:rPr>
          <w:color w:val="auto"/>
          <w:highlight w:val="none"/>
        </w:rPr>
      </w:r>
      <w:bookmarkStart w:id="4" w:name="OLE_LINK2"/>
      <w:r>
        <w:rPr>
          <w:color w:val="auto"/>
          <w:highlight w:val="none"/>
        </w:rPr>
      </w:r>
      <w:bookmarkStart w:id="5" w:name="OLE_LINK1"/>
      <w:r>
        <w:rPr>
          <w:color w:val="auto"/>
          <w:highlight w:val="none"/>
        </w:rPr>
      </w:r>
      <w:bookmarkStart w:id="6" w:name="OLE_LINK6"/>
      <w:r>
        <w:rPr>
          <w:rFonts w:hint="eastAsia" w:ascii="宋体" w:hAnsi="宋体" w:eastAsia="宋体" w:cs="宋体"/>
          <w:color w:val="auto"/>
          <w:sz w:val="28"/>
          <w:szCs w:val="28"/>
          <w:highlight w:val="none"/>
        </w:rPr>
        <w:t xml:space="preserve">受南通市海门区常乐镇人民政府的委托，南通市海门区公共资源交易中心就南通市海门区常乐镇人民政府采购农业科技产业园核心区一期智能温室设备及配套项目(项目编号:JSZC-320614-JZCG-G2024-0017)进行公开招标采购，欢迎符合条件的供应商投标。</w:t>
      </w:r>
      <w:r>
        <w:rPr>
          <w:rFonts w:hint="eastAsia" w:ascii="宋体" w:hAnsi="宋体" w:eastAsia="宋体" w:cs="宋体"/>
          <w:color w:val="auto"/>
          <w:sz w:val="28"/>
          <w:szCs w:val="28"/>
          <w:highlight w:val="none"/>
        </w:rPr>
      </w:r>
      <w:r>
        <w:rPr>
          <w:color w:val="auto"/>
          <w:highlight w:val="none"/>
        </w:rPr>
      </w:r>
    </w:p>
    <w:p>
      <w:pPr>
        <w:pStyle w:val="863"/>
        <w:ind w:firstLine="562"/>
        <w:spacing w:line="360" w:lineRule="auto"/>
        <w:rPr>
          <w:rFonts w:hint="eastAsia" w:ascii="宋体" w:hAnsi="宋体" w:cs="宋体"/>
          <w:b/>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8"/>
          <w:szCs w:val="28"/>
          <w:highlight w:val="none"/>
        </w:rPr>
        <w:t xml:space="preserve">项目概况</w:t>
      </w:r>
      <w:r>
        <w:rPr>
          <w:rFonts w:hint="eastAsia" w:ascii="宋体" w:hAnsi="宋体" w:cs="宋体"/>
          <w:b/>
          <w:bCs/>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8"/>
          <w:szCs w:val="28"/>
          <w:highlight w:val="none"/>
        </w:rPr>
        <w:t xml:space="preserve">南通市海门区常乐镇人民政府采购农业科技产业园核心区一期智能温室设备及配套项目的潜在投标人应在江苏政府采购网获取招标文件，并于2024年</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日 9点00分（北京时间）前递交</w:t>
      </w:r>
      <w:r>
        <w:rPr>
          <w:rFonts w:hint="eastAsia" w:ascii="宋体" w:hAnsi="宋体" w:cs="宋体"/>
          <w:color w:val="auto"/>
          <w:sz w:val="28"/>
          <w:szCs w:val="28"/>
          <w:highlight w:val="none"/>
        </w:rPr>
        <w:t xml:space="preserve">投标文件。</w:t>
      </w:r>
      <w:r>
        <w:rPr>
          <w:rFonts w:hint="eastAsia" w:ascii="宋体" w:hAnsi="宋体" w:cs="宋体"/>
          <w:color w:val="auto"/>
          <w:sz w:val="28"/>
          <w:szCs w:val="28"/>
          <w:highlight w:val="none"/>
        </w:rPr>
      </w:r>
      <w:r>
        <w:rPr>
          <w:color w:val="auto"/>
          <w:highlight w:val="none"/>
        </w:rPr>
      </w:r>
    </w:p>
    <w:p>
      <w:pPr>
        <w:pStyle w:val="863"/>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一、项目基本情况</w:t>
      </w:r>
      <w:r>
        <w:rPr>
          <w:rFonts w:hint="eastAsia" w:ascii="宋体" w:hAnsi="宋体" w:cs="宋体"/>
          <w:b/>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eastAsia="宋体" w:cs="宋体"/>
          <w:color w:val="auto"/>
          <w:sz w:val="28"/>
          <w:szCs w:val="28"/>
          <w:highlight w:val="none"/>
        </w:rPr>
        <w:t xml:space="preserve">JSZC-320614-JZCG-G2024-0017</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eastAsia="宋体" w:cs="宋体"/>
          <w:color w:val="auto"/>
          <w:sz w:val="28"/>
          <w:szCs w:val="28"/>
          <w:highlight w:val="none"/>
        </w:rPr>
        <w:t xml:space="preserve">南通市海门区常乐镇人民政府采购农业科技产业园核心区一期智能温室设备及配套项目</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采购方式：公开招标</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项目类型：货物</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所属行业：工业</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预算金额：</w:t>
      </w:r>
      <w:r>
        <w:rPr>
          <w:rFonts w:ascii="宋体" w:hAnsi="宋体" w:cs="宋体"/>
          <w:color w:val="auto"/>
          <w:sz w:val="28"/>
          <w:szCs w:val="28"/>
          <w:highlight w:val="none"/>
        </w:rPr>
        <w:t xml:space="preserve">6793</w:t>
      </w:r>
      <w:r>
        <w:rPr>
          <w:rFonts w:hint="eastAsia" w:ascii="宋体" w:hAnsi="宋体" w:cs="宋体"/>
          <w:color w:val="auto"/>
          <w:sz w:val="28"/>
          <w:szCs w:val="28"/>
          <w:highlight w:val="none"/>
        </w:rPr>
        <w:t xml:space="preserve">万元</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最高限价：</w:t>
      </w:r>
      <w:r>
        <w:rPr>
          <w:rFonts w:ascii="宋体" w:hAnsi="宋体" w:cs="宋体"/>
          <w:color w:val="auto"/>
          <w:sz w:val="28"/>
          <w:szCs w:val="28"/>
          <w:highlight w:val="none"/>
        </w:rPr>
        <w:t xml:space="preserve">6793</w:t>
      </w:r>
      <w:r>
        <w:rPr>
          <w:rFonts w:hint="eastAsia" w:ascii="宋体" w:hAnsi="宋体" w:cs="宋体"/>
          <w:color w:val="auto"/>
          <w:sz w:val="28"/>
          <w:szCs w:val="28"/>
          <w:highlight w:val="none"/>
        </w:rPr>
        <w:t xml:space="preserve">万元</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采购需求：详见采购文件，请仔细研究。</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合同履行期限：合同签订后2</w:t>
      </w:r>
      <w:r>
        <w:rPr>
          <w:rFonts w:ascii="宋体" w:hAnsi="宋体" w:cs="宋体"/>
          <w:color w:val="auto"/>
          <w:sz w:val="28"/>
          <w:szCs w:val="28"/>
          <w:highlight w:val="none"/>
        </w:rPr>
        <w:t xml:space="preserve">4</w:t>
      </w:r>
      <w:r>
        <w:rPr>
          <w:rFonts w:hint="eastAsia" w:ascii="宋体" w:hAnsi="宋体" w:cs="宋体"/>
          <w:color w:val="auto"/>
          <w:sz w:val="28"/>
          <w:szCs w:val="28"/>
          <w:highlight w:val="none"/>
        </w:rPr>
        <w:t xml:space="preserve">0日历天内完成设备供货、安装、调试及配套项目等相关内容并验收合格；并负责本项目2</w:t>
      </w:r>
      <w:r>
        <w:rPr>
          <w:rFonts w:ascii="宋体" w:hAnsi="宋体" w:cs="宋体"/>
          <w:color w:val="auto"/>
          <w:sz w:val="28"/>
          <w:szCs w:val="28"/>
          <w:highlight w:val="none"/>
        </w:rPr>
        <w:t xml:space="preserve">025</w:t>
      </w:r>
      <w:r>
        <w:rPr>
          <w:rFonts w:hint="eastAsia" w:ascii="宋体" w:hAnsi="宋体" w:cs="宋体"/>
          <w:color w:val="auto"/>
          <w:sz w:val="28"/>
          <w:szCs w:val="28"/>
          <w:highlight w:val="none"/>
        </w:rPr>
        <w:t xml:space="preserve">年1月1日-</w:t>
      </w:r>
      <w:r>
        <w:rPr>
          <w:rFonts w:ascii="宋体" w:hAnsi="宋体" w:cs="宋体"/>
          <w:color w:val="auto"/>
          <w:sz w:val="28"/>
          <w:szCs w:val="28"/>
          <w:highlight w:val="none"/>
        </w:rPr>
        <w:t xml:space="preserve">2028</w:t>
      </w:r>
      <w:r>
        <w:rPr>
          <w:rFonts w:hint="eastAsia" w:ascii="宋体" w:hAnsi="宋体" w:cs="宋体"/>
          <w:color w:val="auto"/>
          <w:sz w:val="28"/>
          <w:szCs w:val="28"/>
          <w:highlight w:val="none"/>
        </w:rPr>
        <w:t xml:space="preserve">年1</w:t>
      </w: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月3</w:t>
      </w:r>
      <w:r>
        <w:rPr>
          <w:rFonts w:ascii="宋体" w:hAnsi="宋体" w:cs="宋体"/>
          <w:color w:val="auto"/>
          <w:sz w:val="28"/>
          <w:szCs w:val="28"/>
          <w:highlight w:val="none"/>
        </w:rPr>
        <w:t xml:space="preserve">1</w:t>
      </w:r>
      <w:r>
        <w:rPr>
          <w:rFonts w:hint="eastAsia" w:ascii="宋体" w:hAnsi="宋体" w:cs="宋体"/>
          <w:color w:val="auto"/>
          <w:sz w:val="28"/>
          <w:szCs w:val="28"/>
          <w:highlight w:val="none"/>
        </w:rPr>
        <w:t xml:space="preserve">日期间的正常运营。</w:t>
      </w:r>
      <w:r>
        <w:rPr>
          <w:rFonts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本项目不接受联合体投标。</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本项目不接受分包。</w:t>
      </w:r>
      <w:r>
        <w:rPr>
          <w:rFonts w:hint="eastAsia" w:ascii="宋体" w:hAnsi="宋体" w:cs="宋体"/>
          <w:color w:val="auto"/>
          <w:sz w:val="28"/>
          <w:szCs w:val="28"/>
          <w:highlight w:val="none"/>
        </w:rPr>
      </w:r>
      <w:r>
        <w:rPr>
          <w:color w:val="auto"/>
          <w:highlight w:val="none"/>
        </w:rPr>
      </w:r>
    </w:p>
    <w:p>
      <w:pPr>
        <w:pStyle w:val="863"/>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二、申请人的资格要求：</w:t>
      </w:r>
      <w:r>
        <w:rPr>
          <w:rFonts w:hint="eastAsia" w:ascii="宋体" w:hAnsi="宋体" w:cs="宋体"/>
          <w:b/>
          <w:color w:val="auto"/>
          <w:sz w:val="28"/>
          <w:szCs w:val="28"/>
          <w:highlight w:val="none"/>
        </w:rPr>
      </w:r>
      <w:r>
        <w:rPr>
          <w:color w:val="auto"/>
          <w:highlight w:val="none"/>
        </w:rPr>
      </w:r>
    </w:p>
    <w:p>
      <w:pPr>
        <w:pStyle w:val="863"/>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rPr>
          <w:rFonts w:ascii="宋体" w:hAnsi="宋体" w:cs="宋体"/>
          <w:color w:val="auto"/>
          <w:sz w:val="28"/>
          <w:szCs w:val="28"/>
          <w:highlight w:val="none"/>
        </w:rPr>
      </w:r>
      <w:r>
        <w:rPr>
          <w:color w:val="auto"/>
          <w:highlight w:val="none"/>
        </w:rPr>
      </w:r>
    </w:p>
    <w:p>
      <w:pPr>
        <w:pStyle w:val="875"/>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2.落实政府采购政策需满足的资格要求：无</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u w:val="single"/>
        </w:rPr>
      </w:pPr>
      <w:r>
        <w:rPr>
          <w:rFonts w:ascii="宋体" w:hAnsi="宋体" w:cs="宋体"/>
          <w:color w:val="auto"/>
          <w:sz w:val="28"/>
          <w:szCs w:val="28"/>
          <w:highlight w:val="none"/>
        </w:rPr>
        <w:t xml:space="preserve">4</w:t>
      </w:r>
      <w:r>
        <w:rPr>
          <w:rFonts w:hint="eastAsia" w:ascii="宋体" w:hAnsi="宋体" w:cs="宋体"/>
          <w:color w:val="auto"/>
          <w:sz w:val="28"/>
          <w:szCs w:val="28"/>
          <w:highlight w:val="none"/>
        </w:rPr>
        <w:t xml:space="preserve">.本项目的特定资格要求：无。</w:t>
      </w:r>
      <w:r>
        <w:rPr>
          <w:rFonts w:hint="eastAsia" w:ascii="宋体" w:hAnsi="宋体" w:cs="宋体"/>
          <w:color w:val="auto"/>
          <w:sz w:val="28"/>
          <w:szCs w:val="28"/>
          <w:highlight w:val="none"/>
          <w:u w:val="single"/>
        </w:rPr>
      </w:r>
      <w:r>
        <w:rPr>
          <w:color w:val="auto"/>
          <w:highlight w:val="none"/>
        </w:rPr>
      </w:r>
    </w:p>
    <w:p>
      <w:pPr>
        <w:pStyle w:val="863"/>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三、获取招标文件</w:t>
      </w:r>
      <w:r>
        <w:rPr>
          <w:rFonts w:hint="eastAsia" w:ascii="宋体" w:hAnsi="宋体" w:cs="宋体"/>
          <w:b/>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时间：</w:t>
      </w:r>
      <w:r>
        <w:rPr>
          <w:rFonts w:ascii="宋体" w:hAnsi="宋体" w:cs="宋体"/>
          <w:color w:val="auto"/>
          <w:sz w:val="28"/>
          <w:szCs w:val="28"/>
          <w:highlight w:val="none"/>
        </w:rPr>
        <w:t xml:space="preserve">2024</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日至</w:t>
      </w:r>
      <w:r>
        <w:rPr>
          <w:rFonts w:ascii="宋体" w:hAnsi="宋体" w:cs="宋体"/>
          <w:color w:val="auto"/>
          <w:sz w:val="28"/>
          <w:szCs w:val="28"/>
          <w:highlight w:val="none"/>
        </w:rPr>
        <w:t xml:space="preserve">202</w:t>
      </w:r>
      <w:r>
        <w:rPr>
          <w:rFonts w:hint="eastAsia" w:ascii="宋体" w:hAnsi="宋体" w:cs="宋体"/>
          <w:color w:val="auto"/>
          <w:sz w:val="28"/>
          <w:szCs w:val="28"/>
          <w:highlight w:val="none"/>
        </w:rPr>
        <w:t xml:space="preserve">4年</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日 17点30分（北京时</w:t>
      </w:r>
      <w:r>
        <w:rPr>
          <w:rFonts w:hint="eastAsia" w:ascii="宋体" w:hAnsi="宋体" w:cs="宋体"/>
          <w:color w:val="auto"/>
          <w:sz w:val="28"/>
          <w:szCs w:val="28"/>
          <w:highlight w:val="none"/>
        </w:rPr>
        <w:t xml:space="preserve">间）。</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3.1潜在供应商访问电子招标响应交易平台的网络地址和方法：</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3.2潜在供应商访问“苏采云”系统的网络地址和方法：“苏采云”系统的网址：http://jszfcg.jsczt.cn/。</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3.4采购文件（后缀名为“.kedt”）、供应商操作手册及政府采购客户端工具可通过“苏采云”系统--已报名项目--报名详情页面内相应链接进行下载。</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3.5招标代理机构（采购代理机构）将数据电文形式的采购文件加载至“苏采云”系统，供潜在供应商下载或者查阅。</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3.6请潜在投标单位提前安装相应的控件（详见《江苏省政府采购管理交易系统（苏采云）供应商操作手册》）并使用谷歌浏览器登录“苏采云”系统参与不见面开评标。</w:t>
      </w:r>
      <w:r>
        <w:rPr>
          <w:rFonts w:hint="eastAsia" w:ascii="宋体" w:hAnsi="宋体" w:cs="宋体"/>
          <w:color w:val="auto"/>
          <w:sz w:val="28"/>
          <w:szCs w:val="28"/>
          <w:highlight w:val="none"/>
        </w:rPr>
      </w:r>
      <w:r>
        <w:rPr>
          <w:color w:val="auto"/>
          <w:highlight w:val="none"/>
        </w:rPr>
      </w:r>
    </w:p>
    <w:p>
      <w:pPr>
        <w:pStyle w:val="863"/>
        <w:ind w:firstLine="48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注：如潜在供应商未按上述要求操作，将自行承担所产生的风险。</w:t>
      </w:r>
      <w:r>
        <w:rPr>
          <w:rFonts w:hint="eastAsia" w:ascii="宋体" w:hAnsi="宋体" w:cs="宋体"/>
          <w:b/>
          <w:color w:val="auto"/>
          <w:sz w:val="28"/>
          <w:szCs w:val="28"/>
          <w:highlight w:val="none"/>
        </w:rPr>
      </w:r>
      <w:r>
        <w:rPr>
          <w:color w:val="auto"/>
          <w:highlight w:val="none"/>
        </w:rPr>
      </w:r>
    </w:p>
    <w:p>
      <w:pPr>
        <w:pStyle w:val="863"/>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四、提交投标文件截止时间、开标时间和地点</w:t>
      </w:r>
      <w:r>
        <w:rPr>
          <w:rFonts w:hint="eastAsia" w:ascii="宋体" w:hAnsi="宋体" w:cs="宋体"/>
          <w:b/>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1.2024年</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26</w:t>
      </w:r>
      <w:r>
        <w:rPr>
          <w:rFonts w:hint="eastAsia" w:ascii="宋体" w:hAnsi="宋体" w:cs="宋体"/>
          <w:color w:val="auto"/>
          <w:sz w:val="28"/>
          <w:szCs w:val="28"/>
          <w:highlight w:val="none"/>
        </w:rPr>
        <w:t xml:space="preserve">日</w:t>
      </w:r>
      <w:r>
        <w:rPr>
          <w:rFonts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分（北京时间）。逾时，交易系统将拒绝接受上传响应文件电子文档。</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注：各供应商请关注开标大厅交流区，在开标结束后，请勿离开开标大厅。</w:t>
      </w:r>
      <w:r>
        <w:rPr>
          <w:rFonts w:hint="eastAsia" w:ascii="宋体" w:hAnsi="宋体" w:cs="宋体"/>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2.线上开标地点：“苏采云”系统（网址：http://jszfcg.jsczt.cn/）“开标大厅”。</w:t>
      </w:r>
      <w:r>
        <w:rPr>
          <w:rFonts w:hint="eastAsia" w:ascii="宋体" w:hAnsi="宋体" w:cs="宋体"/>
          <w:color w:val="auto"/>
          <w:sz w:val="28"/>
          <w:szCs w:val="28"/>
          <w:highlight w:val="none"/>
        </w:rPr>
      </w:r>
      <w:r>
        <w:rPr>
          <w:color w:val="auto"/>
          <w:highlight w:val="none"/>
        </w:rPr>
      </w:r>
    </w:p>
    <w:p>
      <w:pPr>
        <w:pStyle w:val="863"/>
        <w:ind w:firstLine="480"/>
        <w:spacing w:line="360" w:lineRule="auto"/>
        <w:rPr>
          <w:rFonts w:ascii="宋体" w:hAnsi="宋体" w:cs="宋体"/>
          <w:i/>
          <w:color w:val="auto"/>
          <w:sz w:val="28"/>
          <w:szCs w:val="28"/>
          <w:highlight w:val="none"/>
        </w:rPr>
      </w:pPr>
      <w:r>
        <w:rPr>
          <w:rFonts w:hint="eastAsia" w:ascii="宋体" w:hAnsi="宋体" w:cs="宋体"/>
          <w:color w:val="auto"/>
          <w:sz w:val="28"/>
          <w:szCs w:val="28"/>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highlight w:val="none"/>
        </w:rPr>
        <w:t xml:space="preserve">投标供应商解密限定在开标后30分钟之内完成</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highlight w:val="none"/>
        </w:rPr>
        <w:t xml:space="preserve">；因采购人原因或网上招投标平台发生故障，导致无法按时完成响应文件解密或开、评标工作无法进行的，可根据实际情况相应延迟解密时间或调整开、评标时间。</w:t>
      </w:r>
      <w:r>
        <w:rPr>
          <w:rFonts w:ascii="宋体" w:hAnsi="宋体" w:cs="宋体"/>
          <w:i/>
          <w:color w:val="auto"/>
          <w:sz w:val="28"/>
          <w:szCs w:val="28"/>
          <w:highlight w:val="none"/>
        </w:rPr>
      </w:r>
      <w:r>
        <w:rPr>
          <w:color w:val="auto"/>
          <w:highlight w:val="none"/>
        </w:rPr>
      </w:r>
    </w:p>
    <w:p>
      <w:pPr>
        <w:pStyle w:val="863"/>
        <w:ind w:firstLine="562"/>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五、公告期限</w:t>
      </w:r>
      <w:r>
        <w:rPr>
          <w:rFonts w:hint="eastAsia" w:ascii="宋体" w:hAnsi="宋体" w:cs="宋体"/>
          <w:b/>
          <w:color w:val="auto"/>
          <w:sz w:val="28"/>
          <w:szCs w:val="28"/>
          <w:highlight w:val="none"/>
        </w:rPr>
      </w:r>
      <w:r>
        <w:rPr>
          <w:color w:val="auto"/>
          <w:highlight w:val="none"/>
        </w:rPr>
      </w:r>
    </w:p>
    <w:p>
      <w:pPr>
        <w:pStyle w:val="863"/>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rPr>
          <w:rFonts w:hint="eastAsia" w:ascii="宋体" w:hAnsi="宋体" w:cs="宋体"/>
          <w:color w:val="auto"/>
          <w:sz w:val="28"/>
          <w:szCs w:val="28"/>
          <w:highlight w:val="none"/>
        </w:rPr>
      </w:r>
      <w:r>
        <w:rPr>
          <w:color w:val="auto"/>
          <w:highlight w:val="none"/>
        </w:rPr>
      </w:r>
    </w:p>
    <w:p>
      <w:pPr>
        <w:pStyle w:val="863"/>
        <w:ind w:firstLine="562"/>
        <w:spacing w:line="5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六、其他补充事宜</w:t>
      </w:r>
      <w:r>
        <w:rPr>
          <w:rFonts w:hint="eastAsia" w:ascii="宋体" w:hAnsi="宋体" w:cs="宋体"/>
          <w:b/>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1.投标保证金：免收。</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rPr>
          <w:rFonts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3.项目演示、样品、答辩等（如有请描述）：无。</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highlight w:val="none"/>
        </w:rPr>
        <w:t xml:space="preserve">5.有关本次采购的事项若存在变动或修改，敬请及时关注“江苏政府采购网”发布的信息更正公告。</w:t>
      </w:r>
      <w:r>
        <w:rPr>
          <w:rFonts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color w:val="auto"/>
          <w:sz w:val="28"/>
          <w:szCs w:val="28"/>
          <w:highlight w:val="none"/>
        </w:rPr>
      </w:r>
      <w:r>
        <w:rPr>
          <w:color w:val="auto"/>
          <w:highlight w:val="none"/>
        </w:rPr>
      </w:r>
    </w:p>
    <w:p>
      <w:pPr>
        <w:pStyle w:val="863"/>
        <w:ind w:firstLine="562"/>
        <w:spacing w:line="5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七、对本次招标提出询问，请按以下方式联系。</w:t>
      </w:r>
      <w:r>
        <w:rPr>
          <w:rFonts w:hint="eastAsia" w:ascii="宋体" w:hAnsi="宋体" w:cs="宋体"/>
          <w:b/>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1.采购人信息</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名称：南通市海门区常乐镇人民政府</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w:t>
      </w:r>
      <w:bookmarkStart w:id="7" w:name="_Hlk132808378"/>
      <w:r>
        <w:rPr>
          <w:rFonts w:hint="eastAsia" w:ascii="宋体" w:hAnsi="宋体" w:cs="宋体"/>
          <w:color w:val="auto"/>
          <w:sz w:val="28"/>
          <w:szCs w:val="28"/>
          <w:highlight w:val="none"/>
        </w:rPr>
        <w:t xml:space="preserve">南通市海门区</w:t>
      </w:r>
      <w:bookmarkEnd w:id="7"/>
      <w:r>
        <w:rPr>
          <w:rFonts w:hint="eastAsia" w:ascii="宋体" w:hAnsi="宋体" w:cs="宋体"/>
          <w:color w:val="auto"/>
          <w:sz w:val="28"/>
          <w:szCs w:val="28"/>
          <w:highlight w:val="none"/>
        </w:rPr>
        <w:t xml:space="preserve">常乐镇常青路88号</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联系人：俞女士</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w:t>
      </w:r>
      <w:r>
        <w:rPr>
          <w:rFonts w:ascii="宋体" w:hAnsi="宋体" w:cs="宋体"/>
          <w:color w:val="auto"/>
          <w:sz w:val="28"/>
          <w:szCs w:val="28"/>
          <w:highlight w:val="none"/>
        </w:rPr>
        <w:t xml:space="preserve">15162722058</w:t>
      </w:r>
      <w:r>
        <w:rPr>
          <w:rFonts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2.集中采购代理机构信息</w:t>
      </w:r>
      <w:r>
        <w:rPr>
          <w:rFonts w:hint="eastAsia" w:ascii="宋体" w:hAnsi="宋体" w:cs="宋体"/>
          <w:color w:val="auto"/>
          <w:sz w:val="28"/>
          <w:szCs w:val="28"/>
          <w:highlight w:val="none"/>
        </w:rPr>
      </w:r>
      <w:r>
        <w:rPr>
          <w:color w:val="auto"/>
          <w:highlight w:val="none"/>
        </w:rPr>
      </w:r>
    </w:p>
    <w:p>
      <w:pPr>
        <w:pStyle w:val="863"/>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名称：南通市海门区公共资源交易中心</w:t>
      </w:r>
      <w:r>
        <w:rPr>
          <w:rFonts w:hint="eastAsia" w:ascii="宋体" w:hAnsi="宋体" w:cs="宋体"/>
          <w:color w:val="auto"/>
          <w:sz w:val="28"/>
          <w:szCs w:val="28"/>
          <w:highlight w:val="none"/>
        </w:rPr>
      </w:r>
      <w:r>
        <w:rPr>
          <w:color w:val="auto"/>
          <w:highlight w:val="none"/>
        </w:rPr>
      </w:r>
    </w:p>
    <w:p>
      <w:pPr>
        <w:pStyle w:val="863"/>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地址：南通市海门区长江南路777号</w:t>
      </w:r>
      <w:r>
        <w:rPr>
          <w:rFonts w:hint="eastAsia" w:ascii="宋体" w:hAnsi="宋体" w:cs="宋体"/>
          <w:color w:val="auto"/>
          <w:sz w:val="28"/>
          <w:szCs w:val="28"/>
          <w:highlight w:val="none"/>
        </w:rPr>
      </w:r>
      <w:r>
        <w:rPr>
          <w:color w:val="auto"/>
          <w:highlight w:val="none"/>
        </w:rPr>
      </w:r>
    </w:p>
    <w:p>
      <w:pPr>
        <w:pStyle w:val="863"/>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联系方式：王先生，0513-82100351</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3.项目联系方式</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项目联系人：王先生</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电话：0513-82100351</w:t>
      </w:r>
      <w:r>
        <w:rPr>
          <w:rFonts w:hint="eastAsia" w:ascii="宋体" w:hAnsi="宋体" w:cs="宋体"/>
          <w:color w:val="auto"/>
          <w:sz w:val="28"/>
          <w:szCs w:val="28"/>
          <w:highlight w:val="none"/>
        </w:rPr>
      </w:r>
      <w:r>
        <w:rPr>
          <w:color w:val="auto"/>
          <w:highlight w:val="none"/>
        </w:rPr>
      </w:r>
    </w:p>
    <w:p>
      <w:pPr>
        <w:pStyle w:val="863"/>
        <w:ind w:firstLine="560"/>
        <w:spacing w:line="520" w:lineRule="exact"/>
        <w:rPr>
          <w:rFonts w:hint="eastAsia" w:ascii="宋体" w:hAnsi="宋体" w:cs="宋体"/>
          <w:color w:val="auto"/>
          <w:sz w:val="28"/>
          <w:szCs w:val="28"/>
          <w:highlight w:val="none"/>
        </w:rPr>
      </w:pPr>
      <w:r>
        <w:rPr>
          <w:color w:val="auto"/>
          <w:highlight w:val="none"/>
        </w:rPr>
      </w:r>
      <w:bookmarkEnd w:id="3"/>
      <w:r>
        <w:rPr>
          <w:color w:val="auto"/>
          <w:highlight w:val="none"/>
        </w:rPr>
      </w:r>
      <w:bookmarkEnd w:id="4"/>
      <w:r>
        <w:rPr>
          <w:rFonts w:hint="eastAsia" w:ascii="宋体" w:hAnsi="宋体" w:cs="宋体"/>
          <w:color w:val="auto"/>
          <w:sz w:val="28"/>
          <w:szCs w:val="28"/>
          <w:highlight w:val="none"/>
        </w:rPr>
        <w:t xml:space="preserve">技术、软件支持电话：0519-86722801；0519-86722806</w:t>
      </w:r>
      <w:r>
        <w:rPr>
          <w:rFonts w:hint="eastAsia" w:ascii="宋体" w:hAnsi="宋体" w:cs="宋体"/>
          <w:color w:val="auto"/>
          <w:sz w:val="28"/>
          <w:szCs w:val="28"/>
          <w:highlight w:val="none"/>
        </w:rPr>
      </w:r>
      <w:r>
        <w:rPr>
          <w:color w:val="auto"/>
          <w:highlight w:val="none"/>
        </w:rPr>
      </w:r>
    </w:p>
    <w:p>
      <w:pPr>
        <w:pStyle w:val="863"/>
        <w:spacing w:line="5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附件:1.招标文件</w:t>
      </w:r>
      <w:r>
        <w:rPr>
          <w:rFonts w:hint="eastAsia" w:ascii="宋体" w:hAnsi="宋体" w:cs="宋体"/>
          <w:b/>
          <w:color w:val="auto"/>
          <w:sz w:val="28"/>
          <w:szCs w:val="28"/>
          <w:highlight w:val="none"/>
        </w:rPr>
      </w:r>
      <w:r>
        <w:rPr>
          <w:color w:val="auto"/>
          <w:highlight w:val="none"/>
        </w:rPr>
      </w:r>
    </w:p>
    <w:p>
      <w:pPr>
        <w:pStyle w:val="863"/>
        <w:spacing w:line="5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     2.采购人信用承诺</w:t>
      </w:r>
      <w:r>
        <w:rPr>
          <w:rFonts w:hint="eastAsia" w:ascii="宋体" w:hAnsi="宋体" w:cs="宋体"/>
          <w:b/>
          <w:color w:val="auto"/>
          <w:sz w:val="28"/>
          <w:szCs w:val="28"/>
          <w:highlight w:val="none"/>
        </w:rPr>
      </w:r>
      <w:r>
        <w:rPr>
          <w:color w:val="auto"/>
          <w:highlight w:val="none"/>
        </w:rPr>
      </w:r>
    </w:p>
    <w:p>
      <w:pPr>
        <w:pStyle w:val="878"/>
        <w:rPr>
          <w:rFonts w:hint="eastAsia"/>
          <w:color w:val="auto"/>
          <w:highlight w:val="none"/>
        </w:rPr>
      </w:pPr>
      <w:r>
        <w:rPr>
          <w:color w:val="auto"/>
          <w:highlight w:val="none"/>
        </w:rPr>
      </w:r>
      <w:bookmarkEnd w:id="0"/>
      <w:r>
        <w:rPr>
          <w:color w:val="auto"/>
          <w:highlight w:val="none"/>
        </w:rPr>
      </w:r>
      <w:bookmarkEnd w:id="5"/>
      <w:r>
        <w:rPr>
          <w:rFonts w:hint="eastAsia"/>
          <w:color w:val="auto"/>
          <w:highlight w:val="none"/>
        </w:rPr>
      </w:r>
      <w:r>
        <w:rPr>
          <w:color w:val="auto"/>
          <w:highlight w:val="none"/>
        </w:rPr>
      </w:r>
    </w:p>
    <w:p>
      <w:pPr>
        <w:pStyle w:val="863"/>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第二部分  投标须知</w:t>
      </w:r>
      <w:r>
        <w:rPr>
          <w:rFonts w:hint="eastAsia" w:ascii="宋体" w:hAnsi="宋体" w:cs="宋体"/>
          <w:b/>
          <w:color w:val="auto"/>
          <w:sz w:val="36"/>
          <w:szCs w:val="36"/>
          <w:highlight w:val="none"/>
        </w:rPr>
      </w:r>
      <w:r>
        <w:rPr>
          <w:color w:val="auto"/>
          <w:highlight w:val="none"/>
        </w:rPr>
      </w:r>
    </w:p>
    <w:p>
      <w:pPr>
        <w:pStyle w:val="866"/>
        <w:spacing w:before="0" w:after="0" w:line="500" w:lineRule="exact"/>
        <w:rPr>
          <w:rFonts w:hint="eastAsia" w:ascii="宋体" w:hAnsi="宋体" w:cs="宋体"/>
          <w:color w:val="auto"/>
          <w:sz w:val="28"/>
          <w:szCs w:val="28"/>
          <w:highlight w:val="none"/>
        </w:rPr>
      </w:pPr>
      <w:r>
        <w:rPr>
          <w:color w:val="auto"/>
          <w:highlight w:val="none"/>
        </w:rPr>
      </w:r>
      <w:bookmarkStart w:id="8" w:name="_Toc16938519"/>
      <w:r>
        <w:rPr>
          <w:color w:val="auto"/>
          <w:highlight w:val="none"/>
        </w:rPr>
      </w:r>
      <w:bookmarkStart w:id="9" w:name="_Toc513029203"/>
      <w:r>
        <w:rPr>
          <w:color w:val="auto"/>
          <w:highlight w:val="none"/>
        </w:rPr>
      </w:r>
      <w:bookmarkStart w:id="10" w:name="_Toc20823275"/>
      <w:r>
        <w:rPr>
          <w:color w:val="auto"/>
          <w:highlight w:val="none"/>
        </w:rPr>
      </w:r>
      <w:bookmarkStart w:id="11" w:name="_Toc120614214"/>
      <w:r>
        <w:rPr>
          <w:rFonts w:hint="eastAsia" w:ascii="宋体" w:hAnsi="宋体" w:cs="宋体"/>
          <w:color w:val="auto"/>
          <w:sz w:val="28"/>
          <w:szCs w:val="28"/>
          <w:highlight w:val="none"/>
        </w:rPr>
        <w:t xml:space="preserve">（一）总则</w:t>
      </w:r>
      <w:bookmarkEnd w:id="8"/>
      <w:r>
        <w:rPr>
          <w:color w:val="auto"/>
          <w:highlight w:val="none"/>
        </w:rPr>
      </w:r>
      <w:bookmarkEnd w:id="9"/>
      <w:r>
        <w:rPr>
          <w:color w:val="auto"/>
          <w:highlight w:val="none"/>
        </w:rPr>
      </w:r>
      <w:bookmarkEnd w:id="10"/>
      <w:r>
        <w:rPr>
          <w:color w:val="auto"/>
          <w:highlight w:val="none"/>
        </w:rPr>
      </w:r>
      <w:bookmarkEnd w:id="11"/>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12" w:name="_Hlt16619475"/>
      <w:r>
        <w:rPr>
          <w:color w:val="auto"/>
          <w:highlight w:val="none"/>
        </w:rPr>
      </w:r>
      <w:bookmarkEnd w:id="12"/>
      <w:r>
        <w:rPr>
          <w:color w:val="auto"/>
          <w:highlight w:val="none"/>
        </w:rPr>
      </w:r>
      <w:bookmarkStart w:id="13" w:name="_Toc458694821"/>
      <w:r>
        <w:rPr>
          <w:color w:val="auto"/>
          <w:highlight w:val="none"/>
        </w:rPr>
      </w:r>
      <w:bookmarkStart w:id="14" w:name="_Toc20823276"/>
      <w:r>
        <w:rPr>
          <w:color w:val="auto"/>
          <w:highlight w:val="none"/>
        </w:rPr>
      </w:r>
      <w:bookmarkStart w:id="15" w:name="_Toc513029204"/>
      <w:r>
        <w:rPr>
          <w:color w:val="auto"/>
          <w:highlight w:val="none"/>
        </w:rPr>
      </w:r>
      <w:bookmarkStart w:id="16" w:name="_Toc16938520"/>
      <w:r>
        <w:rPr>
          <w:rFonts w:hint="eastAsia" w:ascii="宋体" w:hAnsi="宋体" w:eastAsia="宋体" w:cs="宋体"/>
          <w:color w:val="auto"/>
          <w:sz w:val="28"/>
          <w:szCs w:val="28"/>
          <w:highlight w:val="none"/>
        </w:rPr>
        <w:t xml:space="preserve">1</w:t>
      </w:r>
      <w:bookmarkEnd w:id="13"/>
      <w:r>
        <w:rPr>
          <w:rFonts w:hint="eastAsia" w:ascii="宋体" w:hAnsi="宋体" w:eastAsia="宋体" w:cs="宋体"/>
          <w:color w:val="auto"/>
          <w:sz w:val="28"/>
          <w:szCs w:val="28"/>
          <w:highlight w:val="none"/>
        </w:rPr>
        <w:t xml:space="preserve">.招标方式</w:t>
      </w:r>
      <w:bookmarkEnd w:id="14"/>
      <w:r>
        <w:rPr>
          <w:color w:val="auto"/>
          <w:highlight w:val="none"/>
        </w:rPr>
      </w:r>
      <w:bookmarkEnd w:id="15"/>
      <w:r>
        <w:rPr>
          <w:color w:val="auto"/>
          <w:highlight w:val="none"/>
        </w:rPr>
      </w:r>
      <w:bookmarkEnd w:id="16"/>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 本次招标采取公开招标方式，本招标文件仅适用于招标公告中所述项目。</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17" w:name="_Toc20823277"/>
      <w:r>
        <w:rPr>
          <w:color w:val="auto"/>
          <w:highlight w:val="none"/>
        </w:rPr>
      </w:r>
      <w:bookmarkStart w:id="18" w:name="_Toc513029205"/>
      <w:r>
        <w:rPr>
          <w:color w:val="auto"/>
          <w:highlight w:val="none"/>
        </w:rPr>
      </w:r>
      <w:bookmarkStart w:id="19" w:name="_Toc16938521"/>
      <w:r>
        <w:rPr>
          <w:rFonts w:hint="eastAsia" w:ascii="宋体" w:hAnsi="宋体" w:eastAsia="宋体" w:cs="宋体"/>
          <w:color w:val="auto"/>
          <w:sz w:val="28"/>
          <w:szCs w:val="28"/>
          <w:highlight w:val="none"/>
        </w:rPr>
        <w:t xml:space="preserve">2.合格的投标人</w:t>
      </w:r>
      <w:bookmarkEnd w:id="17"/>
      <w:r>
        <w:rPr>
          <w:color w:val="auto"/>
          <w:highlight w:val="none"/>
        </w:rPr>
      </w:r>
      <w:bookmarkEnd w:id="18"/>
      <w:r>
        <w:rPr>
          <w:color w:val="auto"/>
          <w:highlight w:val="none"/>
        </w:rPr>
      </w:r>
      <w:bookmarkEnd w:id="19"/>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2.1满足招标公告中供应商的资格要求的规定。</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20" w:name="_Toc513029206"/>
      <w:r>
        <w:rPr>
          <w:color w:val="auto"/>
          <w:highlight w:val="none"/>
        </w:rPr>
      </w:r>
      <w:bookmarkStart w:id="21" w:name="_Toc20823278"/>
      <w:r>
        <w:rPr>
          <w:color w:val="auto"/>
          <w:highlight w:val="none"/>
        </w:rPr>
      </w:r>
      <w:bookmarkStart w:id="22" w:name="_Toc16938522"/>
      <w:r>
        <w:rPr>
          <w:rFonts w:hint="eastAsia" w:ascii="宋体" w:hAnsi="宋体" w:eastAsia="宋体" w:cs="宋体"/>
          <w:color w:val="auto"/>
          <w:sz w:val="28"/>
          <w:szCs w:val="28"/>
          <w:highlight w:val="none"/>
        </w:rPr>
        <w:t xml:space="preserve">3.适用法律</w:t>
      </w:r>
      <w:bookmarkEnd w:id="20"/>
      <w:r>
        <w:rPr>
          <w:color w:val="auto"/>
          <w:highlight w:val="none"/>
        </w:rPr>
      </w:r>
      <w:bookmarkEnd w:id="21"/>
      <w:r>
        <w:rPr>
          <w:color w:val="auto"/>
          <w:highlight w:val="none"/>
        </w:rPr>
      </w:r>
      <w:bookmarkEnd w:id="22"/>
      <w:r>
        <w:rPr>
          <w:rFonts w:hint="eastAsia" w:ascii="宋体" w:hAnsi="宋体" w:eastAsia="宋体" w:cs="宋体"/>
          <w:b/>
          <w:bCs/>
          <w:color w:val="auto"/>
          <w:sz w:val="28"/>
          <w:szCs w:val="28"/>
          <w:highlight w:val="none"/>
        </w:rPr>
      </w:r>
      <w:r>
        <w:rPr>
          <w:color w:val="auto"/>
          <w:highlight w:val="none"/>
        </w:rPr>
      </w:r>
    </w:p>
    <w:p>
      <w:pPr>
        <w:pStyle w:val="863"/>
        <w:ind w:firstLine="49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 本次招标及由此产生的合同受中华人民共和国有关的法律法规制约和保护。</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23" w:name="_Toc20823279"/>
      <w:r>
        <w:rPr>
          <w:color w:val="auto"/>
          <w:highlight w:val="none"/>
        </w:rPr>
      </w:r>
      <w:bookmarkStart w:id="24" w:name="_Toc462564067"/>
      <w:r>
        <w:rPr>
          <w:color w:val="auto"/>
          <w:highlight w:val="none"/>
        </w:rPr>
      </w:r>
      <w:bookmarkStart w:id="25" w:name="_Toc513029207"/>
      <w:r>
        <w:rPr>
          <w:color w:val="auto"/>
          <w:highlight w:val="none"/>
        </w:rPr>
      </w:r>
      <w:bookmarkStart w:id="26" w:name="_Toc16938523"/>
      <w:r>
        <w:rPr>
          <w:rFonts w:hint="eastAsia" w:ascii="宋体" w:hAnsi="宋体" w:eastAsia="宋体" w:cs="宋体"/>
          <w:color w:val="auto"/>
          <w:sz w:val="28"/>
          <w:szCs w:val="28"/>
          <w:highlight w:val="none"/>
        </w:rPr>
        <w:t xml:space="preserve">4.投标费用</w:t>
      </w:r>
      <w:bookmarkEnd w:id="23"/>
      <w:r>
        <w:rPr>
          <w:color w:val="auto"/>
          <w:highlight w:val="none"/>
        </w:rPr>
      </w:r>
      <w:bookmarkEnd w:id="24"/>
      <w:r>
        <w:rPr>
          <w:color w:val="auto"/>
          <w:highlight w:val="none"/>
        </w:rPr>
      </w:r>
      <w:bookmarkEnd w:id="25"/>
      <w:r>
        <w:rPr>
          <w:color w:val="auto"/>
          <w:highlight w:val="none"/>
        </w:rPr>
      </w:r>
      <w:bookmarkEnd w:id="26"/>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color w:val="auto"/>
          <w:highlight w:val="none"/>
        </w:rPr>
      </w:r>
      <w:bookmarkStart w:id="27" w:name="_Toc16938525"/>
      <w:r>
        <w:rPr>
          <w:color w:val="auto"/>
          <w:highlight w:val="none"/>
        </w:rPr>
      </w:r>
      <w:bookmarkStart w:id="28" w:name="_Toc20823281"/>
      <w:r>
        <w:rPr>
          <w:color w:val="auto"/>
          <w:highlight w:val="none"/>
        </w:rPr>
      </w:r>
      <w:bookmarkStart w:id="29" w:name="_Toc513029209"/>
      <w:r>
        <w:rPr>
          <w:color w:val="auto"/>
          <w:highlight w:val="none"/>
        </w:rPr>
      </w:r>
      <w:bookmarkStart w:id="30" w:name="_Toc120614215"/>
      <w:r>
        <w:rPr>
          <w:rFonts w:hint="eastAsia" w:ascii="宋体" w:hAnsi="宋体"/>
          <w:bCs/>
          <w:color w:val="auto"/>
          <w:sz w:val="28"/>
          <w:szCs w:val="28"/>
          <w:highlight w:val="none"/>
        </w:rPr>
        <w:t xml:space="preserve">4.1 供应商应自行承担所有与参加招标有关的费用，无论招标过程中的做法和结果如何，采购人在任何情况下均无义务和责任承担这些费用。</w:t>
      </w:r>
      <w:r>
        <w:rPr>
          <w:rFonts w:hint="eastAsia" w:ascii="宋体" w:hAnsi="宋体"/>
          <w:bCs/>
          <w:color w:val="auto"/>
          <w:sz w:val="28"/>
          <w:szCs w:val="28"/>
          <w:highlight w:val="none"/>
        </w:rPr>
      </w:r>
      <w:r>
        <w:rPr>
          <w:color w:val="auto"/>
          <w:highlight w:val="none"/>
        </w:rPr>
      </w:r>
    </w:p>
    <w:p>
      <w:pPr>
        <w:pStyle w:val="867"/>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rPr>
        <w:t xml:space="preserve">5.招标文件的约束力</w:t>
      </w:r>
      <w:r>
        <w:rPr>
          <w:rFonts w:ascii="宋体" w:hAnsi="宋体" w:eastAsia="宋体"/>
          <w:b/>
          <w:bCs/>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rPr>
          <w:rFonts w:ascii="宋体" w:hAnsi="宋体"/>
          <w:color w:val="auto"/>
          <w:sz w:val="28"/>
          <w:szCs w:val="28"/>
          <w:highlight w:val="none"/>
        </w:rPr>
      </w:r>
      <w:r>
        <w:rPr>
          <w:color w:val="auto"/>
          <w:highlight w:val="none"/>
        </w:rPr>
      </w:r>
    </w:p>
    <w:p>
      <w:pPr>
        <w:pStyle w:val="867"/>
        <w:ind w:firstLine="560"/>
        <w:jc w:val="both"/>
        <w:spacing w:line="5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rPr>
          <w:rFonts w:ascii="宋体" w:hAnsi="宋体" w:eastAsia="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招标文件需求部分（供应商资格要求、项目需求、商务技术评分标准）由采购人解释，其它部分由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解释。</w:t>
      </w:r>
      <w:r>
        <w:rPr>
          <w:rFonts w:ascii="宋体" w:hAnsi="宋体"/>
          <w:color w:val="auto"/>
          <w:sz w:val="28"/>
          <w:szCs w:val="28"/>
          <w:highlight w:val="none"/>
        </w:rPr>
      </w:r>
      <w:r>
        <w:rPr>
          <w:color w:val="auto"/>
          <w:highlight w:val="none"/>
        </w:rPr>
      </w:r>
    </w:p>
    <w:p>
      <w:pPr>
        <w:pStyle w:val="866"/>
        <w:spacing w:before="0" w:after="0"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（二）招标文件</w:t>
      </w:r>
      <w:bookmarkEnd w:id="27"/>
      <w:r>
        <w:rPr>
          <w:color w:val="auto"/>
          <w:highlight w:val="none"/>
        </w:rPr>
      </w:r>
      <w:bookmarkEnd w:id="28"/>
      <w:r>
        <w:rPr>
          <w:color w:val="auto"/>
          <w:highlight w:val="none"/>
        </w:rPr>
      </w:r>
      <w:bookmarkEnd w:id="29"/>
      <w:r>
        <w:rPr>
          <w:color w:val="auto"/>
          <w:highlight w:val="none"/>
        </w:rPr>
      </w:r>
      <w:bookmarkEnd w:id="30"/>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31" w:name="_Toc16938526"/>
      <w:r>
        <w:rPr>
          <w:color w:val="auto"/>
          <w:highlight w:val="none"/>
        </w:rPr>
      </w:r>
      <w:bookmarkStart w:id="32" w:name="_Toc20823282"/>
      <w:r>
        <w:rPr>
          <w:color w:val="auto"/>
          <w:highlight w:val="none"/>
        </w:rPr>
      </w:r>
      <w:bookmarkStart w:id="33" w:name="_Toc513029210"/>
      <w:r>
        <w:rPr>
          <w:rFonts w:hint="eastAsia" w:ascii="宋体" w:hAnsi="宋体" w:eastAsia="宋体" w:cs="宋体"/>
          <w:color w:val="auto"/>
          <w:sz w:val="28"/>
          <w:szCs w:val="28"/>
          <w:highlight w:val="none"/>
        </w:rPr>
        <w:t xml:space="preserve">1.招标文件构成</w:t>
      </w:r>
      <w:bookmarkEnd w:id="31"/>
      <w:r>
        <w:rPr>
          <w:color w:val="auto"/>
          <w:highlight w:val="none"/>
        </w:rPr>
      </w:r>
      <w:bookmarkEnd w:id="32"/>
      <w:r>
        <w:rPr>
          <w:color w:val="auto"/>
          <w:highlight w:val="none"/>
        </w:rPr>
      </w:r>
      <w:bookmarkEnd w:id="33"/>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招标文件由以下部分组成：</w:t>
      </w:r>
      <w:r>
        <w:rPr>
          <w:rFonts w:hint="eastAsia" w:ascii="宋体" w:hAnsi="宋体" w:cs="宋体"/>
          <w:color w:val="auto"/>
          <w:sz w:val="28"/>
          <w:szCs w:val="28"/>
          <w:highlight w:val="none"/>
        </w:rPr>
      </w:r>
      <w:r>
        <w:rPr>
          <w:color w:val="auto"/>
          <w:highlight w:val="none"/>
        </w:rPr>
      </w:r>
    </w:p>
    <w:p>
      <w:pPr>
        <w:pStyle w:val="863"/>
        <w:ind w:firstLine="42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（1）投标邀请</w:t>
      </w:r>
      <w:r>
        <w:rPr>
          <w:rFonts w:hint="eastAsia" w:ascii="宋体" w:hAnsi="宋体" w:cs="宋体"/>
          <w:color w:val="auto"/>
          <w:sz w:val="28"/>
          <w:szCs w:val="28"/>
          <w:highlight w:val="none"/>
        </w:rPr>
      </w:r>
      <w:r>
        <w:rPr>
          <w:color w:val="auto"/>
          <w:highlight w:val="none"/>
        </w:rPr>
      </w:r>
    </w:p>
    <w:p>
      <w:pPr>
        <w:pStyle w:val="863"/>
        <w:ind w:firstLine="42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rPr>
          <w:rFonts w:hint="eastAsia" w:ascii="宋体" w:hAnsi="宋体" w:cs="宋体"/>
          <w:color w:val="auto"/>
          <w:sz w:val="28"/>
          <w:szCs w:val="28"/>
          <w:highlight w:val="none"/>
        </w:rPr>
      </w:r>
      <w:r>
        <w:rPr>
          <w:color w:val="auto"/>
          <w:highlight w:val="none"/>
        </w:rPr>
      </w:r>
    </w:p>
    <w:p>
      <w:pPr>
        <w:pStyle w:val="863"/>
        <w:ind w:firstLine="42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rPr>
          <w:rFonts w:hint="eastAsia" w:ascii="宋体" w:hAnsi="宋体" w:cs="宋体"/>
          <w:color w:val="auto"/>
          <w:sz w:val="28"/>
          <w:szCs w:val="28"/>
          <w:highlight w:val="none"/>
        </w:rPr>
      </w:r>
      <w:r>
        <w:rPr>
          <w:color w:val="auto"/>
          <w:highlight w:val="none"/>
        </w:rPr>
      </w:r>
    </w:p>
    <w:p>
      <w:pPr>
        <w:pStyle w:val="863"/>
        <w:ind w:firstLine="42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rPr>
          <w:rFonts w:hint="eastAsia" w:ascii="宋体" w:hAnsi="宋体" w:cs="宋体"/>
          <w:color w:val="auto"/>
          <w:sz w:val="28"/>
          <w:szCs w:val="28"/>
          <w:highlight w:val="none"/>
        </w:rPr>
      </w:r>
      <w:r>
        <w:rPr>
          <w:color w:val="auto"/>
          <w:highlight w:val="none"/>
        </w:rPr>
      </w:r>
    </w:p>
    <w:p>
      <w:pPr>
        <w:pStyle w:val="863"/>
        <w:ind w:firstLine="42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rPr>
          <w:rFonts w:hint="eastAsia" w:ascii="宋体" w:hAnsi="宋体" w:cs="宋体"/>
          <w:color w:val="auto"/>
          <w:sz w:val="28"/>
          <w:szCs w:val="28"/>
          <w:highlight w:val="none"/>
        </w:rPr>
      </w:r>
      <w:r>
        <w:rPr>
          <w:color w:val="auto"/>
          <w:highlight w:val="none"/>
        </w:rPr>
      </w:r>
    </w:p>
    <w:p>
      <w:pPr>
        <w:pStyle w:val="863"/>
        <w:ind w:firstLine="42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采购人或采购代理机构</w:t>
      </w:r>
      <w:r>
        <w:rPr>
          <w:rFonts w:hint="eastAsia" w:ascii="宋体" w:hAnsi="宋体" w:cs="宋体"/>
          <w:color w:val="auto"/>
          <w:sz w:val="28"/>
          <w:szCs w:val="28"/>
          <w:highlight w:val="none"/>
        </w:rPr>
        <w:t xml:space="preserve">联系解决。</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34" w:name="_Toc16938527"/>
      <w:r>
        <w:rPr>
          <w:color w:val="auto"/>
          <w:highlight w:val="none"/>
        </w:rPr>
      </w:r>
      <w:bookmarkStart w:id="35" w:name="_Toc462564070"/>
      <w:r>
        <w:rPr>
          <w:color w:val="auto"/>
          <w:highlight w:val="none"/>
        </w:rPr>
      </w:r>
      <w:bookmarkStart w:id="36" w:name="_Toc20823283"/>
      <w:r>
        <w:rPr>
          <w:color w:val="auto"/>
          <w:highlight w:val="none"/>
        </w:rPr>
      </w:r>
      <w:bookmarkStart w:id="37" w:name="_Toc513029211"/>
      <w:r>
        <w:rPr>
          <w:rFonts w:hint="eastAsia" w:ascii="宋体" w:hAnsi="宋体" w:eastAsia="宋体" w:cs="宋体"/>
          <w:color w:val="auto"/>
          <w:sz w:val="28"/>
          <w:szCs w:val="28"/>
          <w:highlight w:val="none"/>
        </w:rPr>
        <w:t xml:space="preserve">2.招标文件的澄清</w:t>
      </w:r>
      <w:bookmarkEnd w:id="34"/>
      <w:r>
        <w:rPr>
          <w:color w:val="auto"/>
          <w:highlight w:val="none"/>
        </w:rPr>
      </w:r>
      <w:bookmarkEnd w:id="35"/>
      <w:r>
        <w:rPr>
          <w:color w:val="auto"/>
          <w:highlight w:val="none"/>
        </w:rPr>
      </w:r>
      <w:bookmarkEnd w:id="36"/>
      <w:r>
        <w:rPr>
          <w:color w:val="auto"/>
          <w:highlight w:val="none"/>
        </w:rPr>
      </w:r>
      <w:bookmarkEnd w:id="37"/>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2.2采购人视情组织答疑会。</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38" w:name="_Toc16938528"/>
      <w:r>
        <w:rPr>
          <w:color w:val="auto"/>
          <w:highlight w:val="none"/>
        </w:rPr>
      </w:r>
      <w:bookmarkStart w:id="39" w:name="_Toc513029212"/>
      <w:r>
        <w:rPr>
          <w:color w:val="auto"/>
          <w:highlight w:val="none"/>
        </w:rPr>
      </w:r>
      <w:bookmarkStart w:id="40" w:name="_Toc20823284"/>
      <w:r>
        <w:rPr>
          <w:color w:val="auto"/>
          <w:highlight w:val="none"/>
        </w:rPr>
      </w:r>
      <w:bookmarkStart w:id="41" w:name="_Toc462564071"/>
      <w:r>
        <w:rPr>
          <w:rFonts w:hint="eastAsia" w:ascii="宋体" w:hAnsi="宋体" w:eastAsia="宋体" w:cs="宋体"/>
          <w:color w:val="auto"/>
          <w:sz w:val="28"/>
          <w:szCs w:val="28"/>
          <w:highlight w:val="none"/>
        </w:rPr>
        <w:t xml:space="preserve">3.招标文件的修改</w:t>
      </w:r>
      <w:bookmarkEnd w:id="38"/>
      <w:r>
        <w:rPr>
          <w:color w:val="auto"/>
          <w:highlight w:val="none"/>
        </w:rPr>
      </w:r>
      <w:bookmarkEnd w:id="39"/>
      <w:r>
        <w:rPr>
          <w:color w:val="auto"/>
          <w:highlight w:val="none"/>
        </w:rPr>
      </w:r>
      <w:bookmarkEnd w:id="40"/>
      <w:r>
        <w:rPr>
          <w:color w:val="auto"/>
          <w:highlight w:val="none"/>
        </w:rPr>
      </w:r>
      <w:bookmarkEnd w:id="41"/>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color w:val="auto"/>
          <w:highlight w:val="none"/>
        </w:rPr>
      </w:r>
      <w:bookmarkStart w:id="42" w:name="_Toc16938529"/>
      <w:r>
        <w:rPr>
          <w:color w:val="auto"/>
          <w:highlight w:val="none"/>
        </w:rPr>
      </w:r>
      <w:bookmarkStart w:id="43" w:name="_Toc513029213"/>
      <w:r>
        <w:rPr>
          <w:color w:val="auto"/>
          <w:highlight w:val="none"/>
        </w:rPr>
      </w:r>
      <w:bookmarkStart w:id="44" w:name="_Toc20823285"/>
      <w:r>
        <w:rPr>
          <w:color w:val="auto"/>
          <w:highlight w:val="none"/>
        </w:rPr>
      </w:r>
      <w:bookmarkStart w:id="45" w:name="_Toc120614216"/>
      <w:r>
        <w:rPr>
          <w:color w:val="auto"/>
          <w:highlight w:val="none"/>
        </w:rPr>
      </w:r>
      <w:bookmarkStart w:id="46" w:name="_Toc462564072"/>
      <w:r>
        <w:rPr>
          <w:rFonts w:ascii="宋体" w:hAnsi="宋体"/>
          <w:bCs/>
          <w:color w:val="auto"/>
          <w:sz w:val="28"/>
          <w:szCs w:val="28"/>
          <w:highlight w:val="none"/>
        </w:rPr>
        <w:t xml:space="preserve">3.1</w:t>
      </w:r>
      <w:r>
        <w:rPr>
          <w:rFonts w:ascii="宋体" w:hAnsi="宋体"/>
          <w:color w:val="auto"/>
          <w:sz w:val="28"/>
          <w:szCs w:val="28"/>
          <w:highlight w:val="none"/>
        </w:rPr>
        <w:t xml:space="preserve"> 在投标截止时间前，</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可以对招标文件进行修改。</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有权按照法定的要求推迟投标截止日期和开标日期。</w:t>
      </w:r>
      <w:r>
        <w:rPr>
          <w:rFonts w:ascii="宋体" w:hAnsi="宋体"/>
          <w:color w:val="auto"/>
          <w:sz w:val="28"/>
          <w:szCs w:val="28"/>
          <w:highlight w:val="none"/>
        </w:rPr>
      </w:r>
      <w:r>
        <w:rPr>
          <w:color w:val="auto"/>
          <w:highlight w:val="none"/>
        </w:rPr>
      </w:r>
    </w:p>
    <w:p>
      <w:pPr>
        <w:pStyle w:val="863"/>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rPr>
          <w:rFonts w:hint="eastAsia" w:ascii="宋体" w:hAnsi="宋体"/>
          <w:color w:val="auto"/>
          <w:sz w:val="28"/>
          <w:szCs w:val="28"/>
          <w:highlight w:val="none"/>
        </w:rPr>
      </w:r>
      <w:r>
        <w:rPr>
          <w:color w:val="auto"/>
          <w:highlight w:val="none"/>
        </w:rPr>
      </w:r>
    </w:p>
    <w:p>
      <w:pPr>
        <w:pStyle w:val="863"/>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。发布本项目的“更正（澄清）公告”后采购代理机构已尽通知义务。敬请各潜</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关注本项目的“更正（澄清）公告”，并通过“苏采云”系统重新下载更正（澄清）后的采购文件（后缀名为“.kedt”），离线编制响应文件，否则，将自行承担相应的风险。</w:t>
      </w:r>
      <w:r>
        <w:rPr>
          <w:rFonts w:hint="eastAsia"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自负。</w:t>
      </w:r>
      <w:r>
        <w:rPr>
          <w:rFonts w:ascii="宋体" w:hAnsi="宋体"/>
          <w:color w:val="auto"/>
          <w:sz w:val="28"/>
          <w:szCs w:val="28"/>
          <w:highlight w:val="none"/>
        </w:rPr>
      </w:r>
      <w:r>
        <w:rPr>
          <w:color w:val="auto"/>
          <w:highlight w:val="none"/>
        </w:rPr>
      </w:r>
    </w:p>
    <w:p>
      <w:pPr>
        <w:pStyle w:val="866"/>
        <w:spacing w:before="0" w:after="0"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（三）投标文件的编制</w:t>
      </w:r>
      <w:bookmarkEnd w:id="42"/>
      <w:r>
        <w:rPr>
          <w:color w:val="auto"/>
          <w:highlight w:val="none"/>
        </w:rPr>
      </w:r>
      <w:bookmarkEnd w:id="43"/>
      <w:r>
        <w:rPr>
          <w:color w:val="auto"/>
          <w:highlight w:val="none"/>
        </w:rPr>
      </w:r>
      <w:bookmarkEnd w:id="44"/>
      <w:r>
        <w:rPr>
          <w:color w:val="auto"/>
          <w:highlight w:val="none"/>
        </w:rPr>
      </w:r>
      <w:bookmarkEnd w:id="45"/>
      <w:r>
        <w:rPr>
          <w:color w:val="auto"/>
          <w:highlight w:val="none"/>
        </w:rPr>
      </w:r>
      <w:bookmarkEnd w:id="46"/>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Cs/>
          <w:color w:val="auto"/>
          <w:sz w:val="28"/>
          <w:szCs w:val="28"/>
          <w:highlight w:val="none"/>
        </w:rPr>
      </w:pPr>
      <w:r>
        <w:rPr>
          <w:color w:val="auto"/>
          <w:highlight w:val="none"/>
        </w:rPr>
      </w:r>
      <w:bookmarkStart w:id="47" w:name="_Toc16938530"/>
      <w:r>
        <w:rPr>
          <w:color w:val="auto"/>
          <w:highlight w:val="none"/>
        </w:rPr>
      </w:r>
      <w:bookmarkStart w:id="48" w:name="_Toc20823286"/>
      <w:r>
        <w:rPr>
          <w:color w:val="auto"/>
          <w:highlight w:val="none"/>
        </w:rPr>
      </w:r>
      <w:bookmarkStart w:id="49" w:name="_Toc513029214"/>
      <w:r>
        <w:rPr>
          <w:color w:val="auto"/>
          <w:highlight w:val="none"/>
        </w:rPr>
      </w:r>
      <w:bookmarkStart w:id="50" w:name="_Toc462564073"/>
      <w:r>
        <w:rPr>
          <w:rFonts w:hint="eastAsia" w:ascii="宋体" w:hAnsi="宋体" w:eastAsia="宋体" w:cs="宋体"/>
          <w:color w:val="auto"/>
          <w:sz w:val="28"/>
          <w:szCs w:val="28"/>
          <w:highlight w:val="none"/>
        </w:rPr>
        <w:t xml:space="preserve">1.投标文件的语言及度量衡单位</w:t>
      </w:r>
      <w:bookmarkEnd w:id="47"/>
      <w:r>
        <w:rPr>
          <w:color w:val="auto"/>
          <w:highlight w:val="none"/>
        </w:rPr>
      </w:r>
      <w:bookmarkEnd w:id="48"/>
      <w:r>
        <w:rPr>
          <w:color w:val="auto"/>
          <w:highlight w:val="none"/>
        </w:rPr>
      </w:r>
      <w:bookmarkEnd w:id="49"/>
      <w:r>
        <w:rPr>
          <w:color w:val="auto"/>
          <w:highlight w:val="none"/>
        </w:rPr>
      </w:r>
      <w:bookmarkEnd w:id="50"/>
      <w:r>
        <w:rPr>
          <w:rFonts w:hint="eastAsia" w:ascii="宋体" w:hAnsi="宋体" w:eastAsia="宋体" w:cs="宋体"/>
          <w:bCs/>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rPr>
          <w:rFonts w:ascii="宋体" w:hAnsi="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除技术性能另有规定外，投标文件所使用的度量衡单位，均须采用国家法定计量单位。</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51" w:name="_Toc462564074"/>
      <w:r>
        <w:rPr>
          <w:color w:val="auto"/>
          <w:highlight w:val="none"/>
        </w:rPr>
      </w:r>
      <w:bookmarkStart w:id="52" w:name="_Toc20823287"/>
      <w:r>
        <w:rPr>
          <w:color w:val="auto"/>
          <w:highlight w:val="none"/>
        </w:rPr>
      </w:r>
      <w:bookmarkStart w:id="53" w:name="_Toc513029215"/>
      <w:r>
        <w:rPr>
          <w:color w:val="auto"/>
          <w:highlight w:val="none"/>
        </w:rPr>
      </w:r>
      <w:bookmarkStart w:id="54" w:name="_Toc16938531"/>
      <w:r>
        <w:rPr>
          <w:rFonts w:hint="eastAsia" w:ascii="宋体" w:hAnsi="宋体" w:eastAsia="宋体" w:cs="宋体"/>
          <w:color w:val="auto"/>
          <w:sz w:val="28"/>
          <w:szCs w:val="28"/>
          <w:highlight w:val="none"/>
        </w:rPr>
        <w:t xml:space="preserve">2.投标文件构成</w:t>
      </w:r>
      <w:bookmarkEnd w:id="51"/>
      <w:r>
        <w:rPr>
          <w:color w:val="auto"/>
          <w:highlight w:val="none"/>
        </w:rPr>
      </w:r>
      <w:bookmarkEnd w:id="52"/>
      <w:r>
        <w:rPr>
          <w:color w:val="auto"/>
          <w:highlight w:val="none"/>
        </w:rPr>
      </w:r>
      <w:bookmarkEnd w:id="53"/>
      <w:r>
        <w:rPr>
          <w:color w:val="auto"/>
          <w:highlight w:val="none"/>
        </w:rPr>
      </w:r>
      <w:bookmarkEnd w:id="54"/>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投标人编写的投标文件应包括资格审查证明材料文件、商务技术标文件、价格标文件。供应商按“第五部分 投标文件组成”要求编写投标文件。</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55" w:name="_Hlt26670360"/>
      <w:r>
        <w:rPr>
          <w:color w:val="auto"/>
          <w:highlight w:val="none"/>
        </w:rPr>
      </w:r>
      <w:bookmarkEnd w:id="55"/>
      <w:r>
        <w:rPr>
          <w:color w:val="auto"/>
          <w:highlight w:val="none"/>
        </w:rPr>
      </w:r>
      <w:bookmarkStart w:id="56" w:name="_Hlt26954838"/>
      <w:r>
        <w:rPr>
          <w:color w:val="auto"/>
          <w:highlight w:val="none"/>
        </w:rPr>
      </w:r>
      <w:bookmarkEnd w:id="56"/>
      <w:r>
        <w:rPr>
          <w:color w:val="auto"/>
          <w:highlight w:val="none"/>
        </w:rPr>
      </w:r>
      <w:bookmarkStart w:id="57" w:name="_Toc14577360"/>
      <w:r>
        <w:rPr>
          <w:color w:val="auto"/>
          <w:highlight w:val="none"/>
        </w:rPr>
      </w:r>
      <w:bookmarkStart w:id="58" w:name="_Toc49090511"/>
      <w:r>
        <w:rPr>
          <w:color w:val="auto"/>
          <w:highlight w:val="none"/>
        </w:rPr>
      </w:r>
      <w:bookmarkStart w:id="59" w:name="_Hlt26668975"/>
      <w:r>
        <w:rPr>
          <w:color w:val="auto"/>
          <w:highlight w:val="none"/>
        </w:rPr>
      </w:r>
      <w:bookmarkEnd w:id="59"/>
      <w:r>
        <w:rPr>
          <w:rFonts w:hint="eastAsia" w:ascii="宋体" w:hAnsi="宋体" w:eastAsia="宋体" w:cs="宋体"/>
          <w:color w:val="auto"/>
          <w:sz w:val="28"/>
          <w:szCs w:val="28"/>
          <w:highlight w:val="none"/>
        </w:rPr>
        <w:t xml:space="preserve">3.投标有效期</w:t>
      </w:r>
      <w:bookmarkEnd w:id="57"/>
      <w:r>
        <w:rPr>
          <w:color w:val="auto"/>
          <w:highlight w:val="none"/>
        </w:rPr>
      </w:r>
      <w:bookmarkEnd w:id="58"/>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3.1投标有效期为招标文件规定的开标之日后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rPr>
          <w:rFonts w:hint="eastAsia" w:ascii="宋体" w:hAnsi="宋体" w:cs="宋体"/>
          <w:bCs/>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4.投标有效期的延长</w:t>
      </w:r>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color w:val="auto"/>
          <w:highlight w:val="none"/>
        </w:rPr>
      </w:r>
      <w:bookmarkStart w:id="60" w:name="_Toc16938540"/>
      <w:r>
        <w:rPr>
          <w:color w:val="auto"/>
          <w:highlight w:val="none"/>
        </w:rPr>
      </w:r>
      <w:bookmarkStart w:id="61" w:name="_Toc20823296"/>
      <w:r>
        <w:rPr>
          <w:color w:val="auto"/>
          <w:highlight w:val="none"/>
        </w:rPr>
      </w:r>
      <w:bookmarkStart w:id="62" w:name="_Toc120614217"/>
      <w:r>
        <w:rPr>
          <w:color w:val="auto"/>
          <w:highlight w:val="none"/>
        </w:rPr>
      </w:r>
      <w:bookmarkStart w:id="63" w:name="_Hlt26954739"/>
      <w:r>
        <w:rPr>
          <w:color w:val="auto"/>
          <w:highlight w:val="none"/>
        </w:rPr>
      </w:r>
      <w:bookmarkEnd w:id="63"/>
      <w:r>
        <w:rPr>
          <w:color w:val="auto"/>
          <w:highlight w:val="none"/>
        </w:rPr>
      </w:r>
      <w:bookmarkStart w:id="64" w:name="_Hlt26954852"/>
      <w:r>
        <w:rPr>
          <w:color w:val="auto"/>
          <w:highlight w:val="none"/>
        </w:rPr>
      </w:r>
      <w:bookmarkEnd w:id="64"/>
      <w:r>
        <w:rPr>
          <w:color w:val="auto"/>
          <w:highlight w:val="none"/>
        </w:rPr>
      </w:r>
      <w:bookmarkStart w:id="65" w:name="_Toc513029224"/>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5.电子响应文件其他要求</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5.1电子招标投标交易平台（即“苏采云”系统）相关要求是本采购文件的组成部分。</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5.2投标人应对CA证书妥善保管，如被他人盗用投标，因此带来的结果均由供应商自行承担。</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5.3投标人应当对采购文件提出的实质性要求和条件作出实质性响应，并在电子投标系统逐条应答。</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rPr>
          <w:rFonts w:ascii="宋体" w:hAnsi="宋体"/>
          <w:bCs/>
          <w:color w:val="auto"/>
          <w:sz w:val="28"/>
          <w:szCs w:val="28"/>
          <w:highlight w:val="none"/>
        </w:rPr>
      </w:r>
      <w:r>
        <w:rPr>
          <w:color w:val="auto"/>
          <w:highlight w:val="none"/>
        </w:rPr>
      </w:r>
    </w:p>
    <w:p>
      <w:pPr>
        <w:pStyle w:val="866"/>
        <w:spacing w:before="0" w:after="0"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（四）投标文件的递交</w:t>
      </w:r>
      <w:bookmarkEnd w:id="60"/>
      <w:r>
        <w:rPr>
          <w:color w:val="auto"/>
          <w:highlight w:val="none"/>
        </w:rPr>
      </w:r>
      <w:bookmarkEnd w:id="61"/>
      <w:r>
        <w:rPr>
          <w:color w:val="auto"/>
          <w:highlight w:val="none"/>
        </w:rPr>
      </w:r>
      <w:bookmarkEnd w:id="62"/>
      <w:r>
        <w:rPr>
          <w:color w:val="auto"/>
          <w:highlight w:val="none"/>
        </w:rPr>
      </w:r>
      <w:bookmarkEnd w:id="65"/>
      <w:r>
        <w:rPr>
          <w:rFonts w:hint="eastAsia" w:ascii="宋体" w:hAnsi="宋体" w:cs="宋体"/>
          <w:color w:val="auto"/>
          <w:sz w:val="28"/>
          <w:szCs w:val="28"/>
          <w:highlight w:val="none"/>
        </w:rPr>
      </w:r>
      <w:r>
        <w:rPr>
          <w:color w:val="auto"/>
          <w:highlight w:val="none"/>
        </w:rPr>
      </w:r>
    </w:p>
    <w:p>
      <w:pPr>
        <w:pStyle w:val="867"/>
        <w:ind w:firstLine="560"/>
        <w:jc w:val="both"/>
        <w:spacing w:line="500" w:lineRule="exact"/>
        <w:rPr>
          <w:rFonts w:ascii="宋体" w:hAnsi="宋体" w:eastAsia="宋体"/>
          <w:b/>
          <w:bCs/>
          <w:color w:val="auto"/>
          <w:sz w:val="28"/>
          <w:szCs w:val="28"/>
          <w:highlight w:val="none"/>
        </w:rPr>
      </w:pPr>
      <w:r>
        <w:rPr>
          <w:color w:val="auto"/>
          <w:highlight w:val="none"/>
        </w:rPr>
      </w:r>
      <w:bookmarkStart w:id="66" w:name="_Toc20823297"/>
      <w:r>
        <w:rPr>
          <w:color w:val="auto"/>
          <w:highlight w:val="none"/>
        </w:rPr>
      </w:r>
      <w:bookmarkStart w:id="67" w:name="_Toc16938545"/>
      <w:r>
        <w:rPr>
          <w:color w:val="auto"/>
          <w:highlight w:val="none"/>
        </w:rPr>
      </w:r>
      <w:bookmarkStart w:id="68" w:name="_Toc513029229"/>
      <w:r>
        <w:rPr>
          <w:color w:val="auto"/>
          <w:highlight w:val="none"/>
        </w:rPr>
      </w:r>
      <w:bookmarkStart w:id="69" w:name="_Toc120614218"/>
      <w:r>
        <w:rPr>
          <w:color w:val="auto"/>
          <w:highlight w:val="none"/>
        </w:rPr>
      </w:r>
      <w:bookmarkStart w:id="70" w:name="_Toc20823301"/>
      <w:r>
        <w:rPr>
          <w:color w:val="auto"/>
          <w:highlight w:val="none"/>
        </w:rPr>
      </w:r>
      <w:bookmarkStart w:id="71" w:name="_Toc462564084"/>
      <w:r>
        <w:rPr>
          <w:color w:val="auto"/>
          <w:highlight w:val="none"/>
        </w:rPr>
      </w:r>
      <w:bookmarkStart w:id="72" w:name="_Toc513029225"/>
      <w:r>
        <w:rPr>
          <w:color w:val="auto"/>
          <w:highlight w:val="none"/>
        </w:rPr>
      </w:r>
      <w:bookmarkStart w:id="73" w:name="_Toc16938541"/>
      <w:r>
        <w:rPr>
          <w:rFonts w:ascii="宋体" w:hAnsi="宋体" w:eastAsia="宋体"/>
          <w:color w:val="auto"/>
          <w:sz w:val="28"/>
          <w:szCs w:val="28"/>
          <w:highlight w:val="none"/>
        </w:rPr>
        <w:t xml:space="preserve">1.投标文件</w:t>
      </w:r>
      <w:bookmarkEnd w:id="66"/>
      <w:r>
        <w:rPr>
          <w:color w:val="auto"/>
          <w:highlight w:val="none"/>
        </w:rPr>
      </w:r>
      <w:bookmarkEnd w:id="71"/>
      <w:r>
        <w:rPr>
          <w:color w:val="auto"/>
          <w:highlight w:val="none"/>
        </w:rPr>
      </w:r>
      <w:bookmarkEnd w:id="72"/>
      <w:r>
        <w:rPr>
          <w:color w:val="auto"/>
          <w:highlight w:val="none"/>
        </w:rPr>
      </w:r>
      <w:bookmarkEnd w:id="73"/>
      <w:r>
        <w:rPr>
          <w:rFonts w:ascii="宋体" w:hAnsi="宋体" w:eastAsia="宋体"/>
          <w:color w:val="auto"/>
          <w:sz w:val="28"/>
          <w:szCs w:val="28"/>
          <w:highlight w:val="none"/>
        </w:rPr>
        <w:t xml:space="preserve">的递交</w:t>
      </w:r>
      <w:r>
        <w:rPr>
          <w:rFonts w:ascii="宋体" w:hAnsi="宋体" w:eastAsia="宋体"/>
          <w:b/>
          <w:bCs/>
          <w:color w:val="auto"/>
          <w:sz w:val="28"/>
          <w:szCs w:val="28"/>
          <w:highlight w:val="none"/>
        </w:rPr>
      </w:r>
      <w:r>
        <w:rPr>
          <w:color w:val="auto"/>
          <w:highlight w:val="none"/>
        </w:rPr>
      </w:r>
    </w:p>
    <w:p>
      <w:pPr>
        <w:pStyle w:val="863"/>
        <w:ind w:firstLine="556"/>
        <w:spacing w:line="500" w:lineRule="exact"/>
        <w:rPr>
          <w:rFonts w:hint="eastAsia" w:ascii="宋体" w:hAnsi="宋体"/>
          <w:bCs/>
          <w:color w:val="auto"/>
          <w:sz w:val="28"/>
          <w:szCs w:val="28"/>
          <w:highlight w:val="none"/>
        </w:rPr>
      </w:pPr>
      <w:r>
        <w:rPr>
          <w:color w:val="auto"/>
          <w:highlight w:val="none"/>
        </w:rPr>
      </w:r>
      <w:bookmarkStart w:id="74" w:name="_Toc20823298"/>
      <w:r>
        <w:rPr>
          <w:color w:val="auto"/>
          <w:highlight w:val="none"/>
        </w:rPr>
      </w:r>
      <w:bookmarkStart w:id="75" w:name="_Toc513029226"/>
      <w:r>
        <w:rPr>
          <w:color w:val="auto"/>
          <w:highlight w:val="none"/>
        </w:rPr>
      </w:r>
      <w:bookmarkStart w:id="76" w:name="_Toc16938542"/>
      <w:r>
        <w:rPr>
          <w:rFonts w:hint="eastAsia" w:ascii="宋体" w:hAnsi="宋体"/>
          <w:bCs/>
          <w:color w:val="auto"/>
          <w:sz w:val="28"/>
          <w:szCs w:val="28"/>
          <w:highlight w:val="none"/>
        </w:rPr>
        <w:t xml:space="preserve">1.1线上提交与接收地点：供应商应当通过“苏采云”系统提交数据电文形式的响应文件（即电子投标），“苏采云”系统自动接收。</w:t>
      </w:r>
      <w:r>
        <w:rPr>
          <w:rFonts w:hint="eastAsia" w:ascii="宋体" w:hAnsi="宋体"/>
          <w:bCs/>
          <w:color w:val="auto"/>
          <w:sz w:val="28"/>
          <w:szCs w:val="28"/>
          <w:highlight w:val="none"/>
        </w:rPr>
      </w:r>
      <w:r>
        <w:rPr>
          <w:color w:val="auto"/>
          <w:highlight w:val="none"/>
        </w:rPr>
      </w:r>
    </w:p>
    <w:p>
      <w:pPr>
        <w:pStyle w:val="863"/>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2.投标截止日期</w:t>
      </w:r>
      <w:bookmarkEnd w:id="74"/>
      <w:r>
        <w:rPr>
          <w:color w:val="auto"/>
          <w:highlight w:val="none"/>
        </w:rPr>
      </w:r>
      <w:bookmarkEnd w:id="75"/>
      <w:r>
        <w:rPr>
          <w:color w:val="auto"/>
          <w:highlight w:val="none"/>
        </w:rPr>
      </w:r>
      <w:bookmarkEnd w:id="76"/>
      <w:r>
        <w:rPr>
          <w:rFonts w:ascii="宋体" w:hAnsi="宋体"/>
          <w:b/>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color w:val="auto"/>
          <w:sz w:val="28"/>
          <w:szCs w:val="28"/>
          <w:highlight w:val="none"/>
        </w:rPr>
        <w:t xml:space="preserve">采购人或采购代理机构</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77" w:name="_Toc513029227"/>
      <w:r>
        <w:rPr>
          <w:color w:val="auto"/>
          <w:highlight w:val="none"/>
        </w:rPr>
      </w:r>
      <w:bookmarkStart w:id="78" w:name="_Toc16938543"/>
      <w:r>
        <w:rPr>
          <w:color w:val="auto"/>
          <w:highlight w:val="none"/>
        </w:rPr>
      </w:r>
      <w:bookmarkStart w:id="79" w:name="_Toc20823299"/>
      <w:r>
        <w:rPr>
          <w:rFonts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3.投标文件的密封（加密）要求：</w:t>
      </w:r>
      <w:r>
        <w:rPr>
          <w:rFonts w:hint="eastAsia" w:ascii="宋体" w:hAnsi="宋体"/>
          <w:color w:val="auto"/>
          <w:sz w:val="28"/>
          <w:szCs w:val="28"/>
          <w:highlight w:val="none"/>
        </w:rPr>
      </w:r>
      <w:r>
        <w:rPr>
          <w:color w:val="auto"/>
          <w:highlight w:val="none"/>
        </w:rPr>
      </w:r>
    </w:p>
    <w:p>
      <w:pPr>
        <w:pStyle w:val="863"/>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rPr>
          <w:rFonts w:hint="eastAsia" w:ascii="宋体" w:hAnsi="宋体"/>
          <w:color w:val="auto"/>
          <w:sz w:val="28"/>
          <w:szCs w:val="28"/>
          <w:highlight w:val="none"/>
        </w:rPr>
      </w:r>
      <w:r>
        <w:rPr>
          <w:color w:val="auto"/>
          <w:highlight w:val="none"/>
        </w:rPr>
      </w:r>
    </w:p>
    <w:p>
      <w:pPr>
        <w:pStyle w:val="863"/>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3.2投标人须通过“苏采云”系统提供的政府采购客户端工具（使用“CA数字证书”）加盖电子签章。</w:t>
      </w:r>
      <w:r>
        <w:rPr>
          <w:rFonts w:hint="eastAsia" w:ascii="宋体" w:hAnsi="宋体"/>
          <w:color w:val="auto"/>
          <w:sz w:val="28"/>
          <w:szCs w:val="28"/>
          <w:highlight w:val="none"/>
        </w:rPr>
      </w:r>
      <w:r>
        <w:rPr>
          <w:color w:val="auto"/>
          <w:highlight w:val="none"/>
        </w:rPr>
      </w:r>
    </w:p>
    <w:p>
      <w:pPr>
        <w:pStyle w:val="863"/>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说明：投标人应在用CA数字证书以及自备的能够登录“苏采云”系统的笔记本电脑，在达到开标时间后，使用CA数字证书解密各自投标文件。</w:t>
      </w:r>
      <w:r>
        <w:rPr>
          <w:rFonts w:hint="eastAsia" w:ascii="宋体" w:hAnsi="宋体"/>
          <w:color w:val="auto"/>
          <w:sz w:val="28"/>
          <w:szCs w:val="28"/>
          <w:highlight w:val="none"/>
        </w:rPr>
      </w:r>
      <w:r>
        <w:rPr>
          <w:color w:val="auto"/>
          <w:highlight w:val="none"/>
        </w:rPr>
      </w:r>
    </w:p>
    <w:p>
      <w:pPr>
        <w:pStyle w:val="867"/>
        <w:ind w:firstLine="560"/>
        <w:jc w:val="both"/>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3.3投标人未按规定加密的投标文件，“苏采云”系统应当拒收并提示。</w:t>
      </w:r>
      <w:r>
        <w:rPr>
          <w:rFonts w:hint="eastAsia" w:ascii="宋体" w:hAnsi="宋体" w:eastAsia="宋体"/>
          <w:color w:val="auto"/>
          <w:sz w:val="28"/>
          <w:szCs w:val="28"/>
          <w:highlight w:val="none"/>
        </w:rPr>
      </w:r>
      <w:r>
        <w:rPr>
          <w:color w:val="auto"/>
          <w:highlight w:val="none"/>
        </w:rPr>
      </w:r>
    </w:p>
    <w:p>
      <w:pPr>
        <w:pStyle w:val="867"/>
        <w:ind w:firstLine="560"/>
        <w:jc w:val="both"/>
        <w:spacing w:line="500" w:lineRule="exact"/>
        <w:rPr>
          <w:rFonts w:ascii="宋体" w:hAnsi="宋体" w:eastAsia="宋体"/>
          <w:b/>
          <w:bCs/>
          <w:color w:val="auto"/>
          <w:sz w:val="28"/>
          <w:szCs w:val="28"/>
          <w:highlight w:val="none"/>
        </w:rPr>
      </w:pPr>
      <w:r>
        <w:rPr>
          <w:rFonts w:hint="eastAsia" w:ascii="宋体" w:hAnsi="宋体" w:eastAsia="宋体"/>
          <w:color w:val="auto"/>
          <w:sz w:val="28"/>
          <w:szCs w:val="28"/>
          <w:highlight w:val="none"/>
        </w:rPr>
        <w:t xml:space="preserve">4</w:t>
      </w:r>
      <w:r>
        <w:rPr>
          <w:rFonts w:ascii="宋体" w:hAnsi="宋体" w:eastAsia="宋体"/>
          <w:color w:val="auto"/>
          <w:sz w:val="28"/>
          <w:szCs w:val="28"/>
          <w:highlight w:val="none"/>
        </w:rPr>
        <w:t xml:space="preserve">.投标文件</w:t>
      </w:r>
      <w:bookmarkEnd w:id="77"/>
      <w:r>
        <w:rPr>
          <w:color w:val="auto"/>
          <w:highlight w:val="none"/>
        </w:rPr>
      </w:r>
      <w:bookmarkEnd w:id="78"/>
      <w:r>
        <w:rPr>
          <w:color w:val="auto"/>
          <w:highlight w:val="none"/>
        </w:rPr>
      </w:r>
      <w:bookmarkEnd w:id="79"/>
      <w:r>
        <w:rPr>
          <w:rFonts w:ascii="宋体" w:hAnsi="宋体" w:eastAsia="宋体"/>
          <w:color w:val="auto"/>
          <w:sz w:val="28"/>
          <w:szCs w:val="28"/>
          <w:highlight w:val="none"/>
        </w:rPr>
        <w:t xml:space="preserve">的拒收</w:t>
      </w:r>
      <w:r>
        <w:rPr>
          <w:rFonts w:ascii="宋体" w:hAnsi="宋体" w:eastAsia="宋体"/>
          <w:b/>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拒绝接收在其规定的投标截止时间后上传的任何投标文件。</w:t>
      </w:r>
      <w:r>
        <w:rPr>
          <w:rFonts w:ascii="宋体" w:hAnsi="宋体"/>
          <w:bCs/>
          <w:color w:val="auto"/>
          <w:sz w:val="28"/>
          <w:szCs w:val="28"/>
          <w:highlight w:val="none"/>
        </w:rPr>
      </w:r>
      <w:r>
        <w:rPr>
          <w:color w:val="auto"/>
          <w:highlight w:val="none"/>
        </w:rPr>
      </w:r>
    </w:p>
    <w:p>
      <w:pPr>
        <w:pStyle w:val="867"/>
        <w:ind w:firstLine="560"/>
        <w:jc w:val="both"/>
        <w:spacing w:line="500" w:lineRule="exact"/>
        <w:rPr>
          <w:rFonts w:ascii="宋体" w:hAnsi="宋体" w:eastAsia="宋体"/>
          <w:b/>
          <w:bCs/>
          <w:color w:val="auto"/>
          <w:sz w:val="28"/>
          <w:szCs w:val="28"/>
          <w:highlight w:val="none"/>
        </w:rPr>
      </w:pPr>
      <w:r>
        <w:rPr>
          <w:color w:val="auto"/>
          <w:highlight w:val="none"/>
        </w:rPr>
      </w:r>
      <w:bookmarkStart w:id="80" w:name="_Toc16938544"/>
      <w:r>
        <w:rPr>
          <w:color w:val="auto"/>
          <w:highlight w:val="none"/>
        </w:rPr>
      </w:r>
      <w:bookmarkStart w:id="81" w:name="_Toc513029228"/>
      <w:r>
        <w:rPr>
          <w:color w:val="auto"/>
          <w:highlight w:val="none"/>
        </w:rPr>
      </w:r>
      <w:bookmarkStart w:id="82" w:name="_Toc20823300"/>
      <w:r>
        <w:rPr>
          <w:rFonts w:hint="eastAsia" w:ascii="宋体" w:hAnsi="宋体" w:eastAsia="宋体"/>
          <w:color w:val="auto"/>
          <w:sz w:val="28"/>
          <w:szCs w:val="28"/>
          <w:highlight w:val="none"/>
        </w:rPr>
        <w:t xml:space="preserve">5</w:t>
      </w:r>
      <w:r>
        <w:rPr>
          <w:rFonts w:ascii="宋体" w:hAnsi="宋体" w:eastAsia="宋体"/>
          <w:color w:val="auto"/>
          <w:sz w:val="28"/>
          <w:szCs w:val="28"/>
          <w:highlight w:val="none"/>
        </w:rPr>
        <w:t xml:space="preserve">.投标文件的撤回和修改</w:t>
      </w:r>
      <w:bookmarkEnd w:id="80"/>
      <w:r>
        <w:rPr>
          <w:color w:val="auto"/>
          <w:highlight w:val="none"/>
        </w:rPr>
      </w:r>
      <w:bookmarkEnd w:id="81"/>
      <w:r>
        <w:rPr>
          <w:color w:val="auto"/>
          <w:highlight w:val="none"/>
        </w:rPr>
      </w:r>
      <w:bookmarkEnd w:id="82"/>
      <w:r>
        <w:rPr>
          <w:rFonts w:ascii="宋体" w:hAnsi="宋体" w:eastAsia="宋体"/>
          <w:b/>
          <w:bCs/>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 投标文件的撤回</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.1.1 电子投标文件的撤回</w:t>
      </w:r>
      <w:r>
        <w:rPr>
          <w:rFonts w:ascii="宋体" w:hAnsi="宋体"/>
          <w:color w:val="auto"/>
          <w:sz w:val="28"/>
          <w:szCs w:val="28"/>
          <w:highlight w:val="none"/>
        </w:rPr>
      </w:r>
      <w:r>
        <w:rPr>
          <w:color w:val="auto"/>
          <w:highlight w:val="none"/>
        </w:rPr>
      </w:r>
    </w:p>
    <w:p>
      <w:pPr>
        <w:pStyle w:val="863"/>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w:t>
      </w:r>
      <w:r>
        <w:rPr>
          <w:rFonts w:hint="eastAsia" w:ascii="宋体" w:hAnsi="宋体"/>
          <w:color w:val="auto"/>
          <w:sz w:val="28"/>
          <w:szCs w:val="28"/>
          <w:highlight w:val="none"/>
        </w:rPr>
        <w:t xml:space="preserve">具体操作方法见《江苏省政府采购（供应商）CA数字证书及电子签章办理指南》。</w:t>
      </w:r>
      <w:r>
        <w:rPr>
          <w:rFonts w:hint="eastAsia"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.1.2 投标人撤回电子投标文件，则认为其不再参与本项目投标活动。</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.2 投标文件的修改</w:t>
      </w:r>
      <w:r>
        <w:rPr>
          <w:rFonts w:ascii="宋体" w:hAnsi="宋体"/>
          <w:color w:val="auto"/>
          <w:sz w:val="28"/>
          <w:szCs w:val="28"/>
          <w:highlight w:val="none"/>
        </w:rPr>
      </w:r>
      <w:r>
        <w:rPr>
          <w:color w:val="auto"/>
          <w:highlight w:val="none"/>
        </w:rPr>
      </w:r>
    </w:p>
    <w:p>
      <w:pPr>
        <w:pStyle w:val="863"/>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w:t>
      </w:r>
      <w:r>
        <w:rPr>
          <w:rFonts w:ascii="宋体" w:hAnsi="宋体"/>
          <w:bCs/>
          <w:color w:val="auto"/>
          <w:sz w:val="28"/>
          <w:szCs w:val="28"/>
          <w:highlight w:val="none"/>
        </w:rPr>
      </w:r>
      <w:r>
        <w:rPr>
          <w:color w:val="auto"/>
          <w:highlight w:val="none"/>
        </w:rPr>
      </w:r>
    </w:p>
    <w:p>
      <w:pPr>
        <w:pStyle w:val="863"/>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.3</w:t>
      </w:r>
      <w:r>
        <w:rPr>
          <w:rFonts w:ascii="宋体" w:hAnsi="宋体"/>
          <w:bCs/>
          <w:color w:val="auto"/>
          <w:sz w:val="28"/>
          <w:szCs w:val="28"/>
          <w:highlight w:val="none"/>
        </w:rPr>
        <w:t xml:space="preserve"> 在投标截止时间之后，投标人不得对其电子投标文件作任何修改。</w:t>
      </w:r>
      <w:r>
        <w:rPr>
          <w:rFonts w:ascii="宋体" w:hAnsi="宋体"/>
          <w:bCs/>
          <w:color w:val="auto"/>
          <w:sz w:val="28"/>
          <w:szCs w:val="28"/>
          <w:highlight w:val="none"/>
        </w:rPr>
      </w:r>
      <w:r>
        <w:rPr>
          <w:color w:val="auto"/>
          <w:highlight w:val="none"/>
        </w:rPr>
      </w:r>
    </w:p>
    <w:p>
      <w:pPr>
        <w:pStyle w:val="863"/>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.4</w:t>
      </w:r>
      <w:r>
        <w:rPr>
          <w:rFonts w:ascii="宋体" w:hAnsi="宋体"/>
          <w:bCs/>
          <w:color w:val="auto"/>
          <w:sz w:val="28"/>
          <w:szCs w:val="28"/>
          <w:highlight w:val="none"/>
        </w:rPr>
        <w:t xml:space="preserve"> 在投标截止时间至招标文件中规定的投标有效期满之间的这段时间内，投标人不得撤回其投标。</w:t>
      </w:r>
      <w:r>
        <w:rPr>
          <w:rFonts w:ascii="宋体" w:hAnsi="宋体"/>
          <w:bCs/>
          <w:color w:val="auto"/>
          <w:sz w:val="28"/>
          <w:szCs w:val="28"/>
          <w:highlight w:val="none"/>
        </w:rPr>
      </w:r>
      <w:r>
        <w:rPr>
          <w:color w:val="auto"/>
          <w:highlight w:val="none"/>
        </w:rPr>
      </w:r>
    </w:p>
    <w:p>
      <w:pPr>
        <w:pStyle w:val="866"/>
        <w:spacing w:before="0" w:after="0"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（五）开标与评标</w:t>
      </w:r>
      <w:bookmarkEnd w:id="67"/>
      <w:r>
        <w:rPr>
          <w:color w:val="auto"/>
          <w:highlight w:val="none"/>
        </w:rPr>
      </w:r>
      <w:bookmarkEnd w:id="68"/>
      <w:r>
        <w:rPr>
          <w:color w:val="auto"/>
          <w:highlight w:val="none"/>
        </w:rPr>
      </w:r>
      <w:bookmarkEnd w:id="69"/>
      <w:r>
        <w:rPr>
          <w:color w:val="auto"/>
          <w:highlight w:val="none"/>
        </w:rPr>
      </w:r>
      <w:bookmarkEnd w:id="70"/>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83" w:name="_Toc16938546"/>
      <w:r>
        <w:rPr>
          <w:color w:val="auto"/>
          <w:highlight w:val="none"/>
        </w:rPr>
      </w:r>
      <w:bookmarkStart w:id="84" w:name="_Toc513029230"/>
      <w:r>
        <w:rPr>
          <w:color w:val="auto"/>
          <w:highlight w:val="none"/>
        </w:rPr>
      </w:r>
      <w:bookmarkStart w:id="85" w:name="_Toc20823302"/>
      <w:r>
        <w:rPr>
          <w:rFonts w:hint="eastAsia" w:ascii="宋体" w:hAnsi="宋体" w:eastAsia="宋体" w:cs="宋体"/>
          <w:color w:val="auto"/>
          <w:sz w:val="28"/>
          <w:szCs w:val="28"/>
          <w:highlight w:val="none"/>
        </w:rPr>
        <w:t xml:space="preserve">1.开标</w:t>
      </w:r>
      <w:bookmarkEnd w:id="83"/>
      <w:r>
        <w:rPr>
          <w:color w:val="auto"/>
          <w:highlight w:val="none"/>
        </w:rPr>
      </w:r>
      <w:bookmarkEnd w:id="84"/>
      <w:r>
        <w:rPr>
          <w:color w:val="auto"/>
          <w:highlight w:val="none"/>
        </w:rPr>
      </w:r>
      <w:bookmarkEnd w:id="85"/>
      <w:r>
        <w:rPr>
          <w:rFonts w:hint="eastAsia" w:ascii="宋体" w:hAnsi="宋体" w:eastAsia="宋体" w:cs="宋体"/>
          <w:b/>
          <w:bCs/>
          <w:color w:val="auto"/>
          <w:sz w:val="28"/>
          <w:szCs w:val="28"/>
          <w:highlight w:val="none"/>
        </w:rPr>
      </w:r>
      <w:r>
        <w:rPr>
          <w:color w:val="auto"/>
          <w:highlight w:val="none"/>
        </w:rPr>
      </w:r>
    </w:p>
    <w:p>
      <w:pPr>
        <w:pStyle w:val="863"/>
        <w:ind w:firstLine="556"/>
        <w:spacing w:line="500" w:lineRule="exact"/>
        <w:rPr>
          <w:rFonts w:hint="eastAsia" w:ascii="宋体" w:hAnsi="宋体"/>
          <w:bCs/>
          <w:color w:val="auto"/>
          <w:sz w:val="28"/>
          <w:szCs w:val="28"/>
          <w:highlight w:val="none"/>
        </w:rPr>
      </w:pPr>
      <w:r>
        <w:rPr>
          <w:color w:val="auto"/>
          <w:highlight w:val="none"/>
        </w:rPr>
      </w:r>
      <w:bookmarkStart w:id="86" w:name="_Toc16938547"/>
      <w:r>
        <w:rPr>
          <w:color w:val="auto"/>
          <w:highlight w:val="none"/>
        </w:rPr>
      </w:r>
      <w:bookmarkStart w:id="87" w:name="_Toc513029231"/>
      <w:r>
        <w:rPr>
          <w:color w:val="auto"/>
          <w:highlight w:val="none"/>
        </w:rPr>
      </w:r>
      <w:bookmarkStart w:id="88" w:name="_Toc20823303"/>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将在招标公告中规定的时间和地点组织公开开标。</w:t>
      </w:r>
      <w:r>
        <w:rPr>
          <w:rFonts w:hint="eastAsia" w:ascii="宋体" w:hAnsi="宋体"/>
          <w:bCs/>
          <w:color w:val="auto"/>
          <w:sz w:val="28"/>
          <w:szCs w:val="28"/>
          <w:highlight w:val="none"/>
        </w:rPr>
      </w:r>
      <w:r>
        <w:rPr>
          <w:color w:val="auto"/>
          <w:highlight w:val="none"/>
        </w:rPr>
      </w:r>
    </w:p>
    <w:p>
      <w:pPr>
        <w:pStyle w:val="863"/>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开标当天投标人及时登录不见面开标大厅，投标文件递交截止时间后，采购</w:t>
      </w:r>
      <w:r>
        <w:rPr>
          <w:rFonts w:hint="eastAsia" w:ascii="宋体" w:hAnsi="宋体"/>
          <w:bCs/>
          <w:color w:val="auto"/>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rPr>
          <w:rFonts w:ascii="宋体" w:hAnsi="宋体"/>
          <w:bCs/>
          <w:color w:val="auto"/>
          <w:sz w:val="28"/>
          <w:szCs w:val="28"/>
          <w:highlight w:val="none"/>
        </w:rPr>
      </w:r>
      <w:r>
        <w:rPr>
          <w:color w:val="auto"/>
          <w:highlight w:val="none"/>
        </w:rPr>
      </w:r>
    </w:p>
    <w:p>
      <w:pPr>
        <w:pStyle w:val="863"/>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rPr>
          <w:rFonts w:ascii="宋体" w:hAnsi="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2.评标委员会</w:t>
      </w:r>
      <w:r>
        <w:rPr>
          <w:rFonts w:hint="eastAsia" w:ascii="宋体" w:hAnsi="宋体" w:eastAsia="宋体" w:cs="宋体"/>
          <w:b/>
          <w:bCs/>
          <w:color w:val="auto"/>
          <w:sz w:val="28"/>
          <w:szCs w:val="28"/>
          <w:highlight w:val="none"/>
        </w:rPr>
      </w:r>
      <w:r>
        <w:rPr>
          <w:color w:val="auto"/>
          <w:highlight w:val="none"/>
        </w:rPr>
      </w:r>
    </w:p>
    <w:p>
      <w:pPr>
        <w:pStyle w:val="863"/>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  2.1</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开标后，采购人或采购代理机构将立即组织评标委员会（以下简称评委会）进行评标。</w:t>
      </w:r>
      <w:r>
        <w:rPr>
          <w:rFonts w:hint="eastAsia" w:ascii="宋体" w:hAnsi="宋体" w:cs="宋体"/>
          <w:b/>
          <w:color w:val="auto"/>
          <w:sz w:val="28"/>
          <w:szCs w:val="28"/>
          <w:highlight w:val="none"/>
        </w:rPr>
      </w:r>
      <w:r>
        <w:rPr>
          <w:color w:val="auto"/>
          <w:highlight w:val="none"/>
        </w:rPr>
      </w:r>
    </w:p>
    <w:p>
      <w:pPr>
        <w:pStyle w:val="863"/>
        <w:spacing w:line="50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  2.2 评委会由采购人代表和有关技术、经济等方面的专家组成，且人员构成符合政府采购有关规定。</w:t>
      </w:r>
      <w:r>
        <w:rPr>
          <w:rFonts w:hint="eastAsia" w:ascii="宋体" w:hAnsi="宋体" w:cs="宋体"/>
          <w:color w:val="auto"/>
          <w:sz w:val="28"/>
          <w:szCs w:val="28"/>
          <w:highlight w:val="none"/>
        </w:rPr>
      </w:r>
      <w:r>
        <w:rPr>
          <w:color w:val="auto"/>
          <w:highlight w:val="none"/>
        </w:rPr>
      </w:r>
    </w:p>
    <w:p>
      <w:pPr>
        <w:pStyle w:val="863"/>
        <w:spacing w:line="50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  2.3评委会独立工作，负责评审所有投标文件并确定中标侯选人。</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3.评标过程的保密与公正</w:t>
      </w:r>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color w:val="auto"/>
          <w:highlight w:val="none"/>
        </w:rPr>
      </w:r>
      <w:bookmarkEnd w:id="86"/>
      <w:r>
        <w:rPr>
          <w:color w:val="auto"/>
          <w:highlight w:val="none"/>
        </w:rPr>
      </w:r>
      <w:bookmarkEnd w:id="87"/>
      <w:r>
        <w:rPr>
          <w:color w:val="auto"/>
          <w:highlight w:val="none"/>
        </w:rPr>
      </w:r>
      <w:bookmarkEnd w:id="88"/>
      <w:r>
        <w:rPr>
          <w:rFonts w:hint="eastAsia" w:ascii="宋体" w:hAnsi="宋体" w:cs="宋体"/>
          <w:color w:val="auto"/>
          <w:sz w:val="28"/>
          <w:szCs w:val="28"/>
          <w:highlight w:val="none"/>
        </w:rPr>
        <w:t xml:space="preserve">3.1</w:t>
      </w:r>
      <w:r>
        <w:rPr>
          <w:rFonts w:hint="eastAsia" w:ascii="宋体" w:hAnsi="宋体" w:cs="宋体"/>
          <w:bCs/>
          <w:color w:val="auto"/>
          <w:sz w:val="28"/>
          <w:szCs w:val="28"/>
          <w:highlight w:val="none"/>
        </w:rPr>
        <w:t xml:space="preserve">公开开标后，直至向中标的投标人授予合同时止，凡是与审查、澄清、评价和比较投标的有关资料以及授标建议等，采购人、评委、交易中心均不得向投标人或与评标无关的其他人员透露。</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3.2在评标过程中，投标人不得以任何行为影响评标过程，否则其投标文件将被作为无效投标文件。</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3.3在评标期间，采购代理机构将设专门人员与投标人联系。</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 </w:t>
      </w:r>
      <w:r>
        <w:rPr>
          <w:rFonts w:hint="eastAsia" w:ascii="宋体" w:hAnsi="宋体"/>
          <w:color w:val="auto"/>
          <w:sz w:val="28"/>
          <w:szCs w:val="28"/>
          <w:highlight w:val="none"/>
        </w:rPr>
        <w:t xml:space="preserve">采购人或采购代理机构</w:t>
      </w:r>
      <w:r>
        <w:rPr>
          <w:rFonts w:hint="eastAsia" w:ascii="宋体" w:hAnsi="宋体" w:cs="宋体"/>
          <w:color w:val="auto"/>
          <w:sz w:val="28"/>
          <w:szCs w:val="28"/>
          <w:highlight w:val="none"/>
        </w:rPr>
        <w:t xml:space="preserve">和评标委员会不向未中标的投标人解释未中标原因，也不公布评标过程中的相关细节。</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 采用综合评分法的项目，公布评标结果时一并公布所有投标人的评审得分及排序情况。</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89" w:name="_Toc20823304"/>
      <w:r>
        <w:rPr>
          <w:color w:val="auto"/>
          <w:highlight w:val="none"/>
        </w:rPr>
      </w:r>
      <w:bookmarkStart w:id="90" w:name="_Toc16938548"/>
      <w:r>
        <w:rPr>
          <w:color w:val="auto"/>
          <w:highlight w:val="none"/>
        </w:rPr>
      </w:r>
      <w:bookmarkStart w:id="91" w:name="_Toc513029232"/>
      <w:r>
        <w:rPr>
          <w:rFonts w:hint="eastAsia" w:ascii="宋体" w:hAnsi="宋体" w:eastAsia="宋体" w:cs="宋体"/>
          <w:color w:val="auto"/>
          <w:sz w:val="28"/>
          <w:szCs w:val="28"/>
          <w:highlight w:val="none"/>
        </w:rPr>
        <w:t xml:space="preserve">4.投标的澄清</w:t>
      </w:r>
      <w:bookmarkEnd w:id="89"/>
      <w:r>
        <w:rPr>
          <w:color w:val="auto"/>
          <w:highlight w:val="none"/>
        </w:rPr>
      </w:r>
      <w:bookmarkEnd w:id="90"/>
      <w:r>
        <w:rPr>
          <w:color w:val="auto"/>
          <w:highlight w:val="none"/>
        </w:rPr>
      </w:r>
      <w:bookmarkEnd w:id="91"/>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cs="宋体"/>
          <w:color w:val="auto"/>
          <w:sz w:val="28"/>
          <w:szCs w:val="28"/>
          <w:highlight w:val="none"/>
        </w:rPr>
      </w:r>
      <w:r>
        <w:rPr>
          <w:color w:val="auto"/>
          <w:highlight w:val="none"/>
        </w:rPr>
      </w:r>
    </w:p>
    <w:p>
      <w:pPr>
        <w:pStyle w:val="863"/>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rPr>
          <w:rFonts w:hint="eastAsia" w:ascii="宋体" w:hAnsi="宋体" w:cs="宋体"/>
          <w:color w:val="auto"/>
          <w:sz w:val="28"/>
          <w:szCs w:val="28"/>
          <w:highlight w:val="none"/>
        </w:rPr>
      </w:r>
      <w:r>
        <w:rPr>
          <w:color w:val="auto"/>
          <w:highlight w:val="none"/>
        </w:rPr>
      </w:r>
    </w:p>
    <w:p>
      <w:pPr>
        <w:pStyle w:val="863"/>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4.3 接到评委会澄清要求的投标人如未按规定做出澄清，其风险由投标人自行承担。</w:t>
      </w:r>
      <w:r>
        <w:rPr>
          <w:rFonts w:hint="eastAsia" w:ascii="宋体" w:hAnsi="宋体" w:cs="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Start w:id="92" w:name="_Toc20823305"/>
      <w:r>
        <w:rPr>
          <w:color w:val="auto"/>
          <w:highlight w:val="none"/>
        </w:rPr>
      </w:r>
      <w:bookmarkStart w:id="93" w:name="_Toc16938549"/>
      <w:r>
        <w:rPr>
          <w:color w:val="auto"/>
          <w:highlight w:val="none"/>
        </w:rPr>
      </w:r>
      <w:bookmarkStart w:id="94" w:name="_Toc513029233"/>
      <w:r>
        <w:rPr>
          <w:rFonts w:hint="eastAsia" w:ascii="宋体" w:hAnsi="宋体" w:eastAsia="宋体" w:cs="宋体"/>
          <w:color w:val="auto"/>
          <w:sz w:val="28"/>
          <w:szCs w:val="28"/>
          <w:highlight w:val="none"/>
        </w:rPr>
        <w:t xml:space="preserve">5.对投标文件的初审</w:t>
      </w:r>
      <w:bookmarkEnd w:id="92"/>
      <w:r>
        <w:rPr>
          <w:color w:val="auto"/>
          <w:highlight w:val="none"/>
        </w:rPr>
      </w:r>
      <w:bookmarkEnd w:id="93"/>
      <w:r>
        <w:rPr>
          <w:color w:val="auto"/>
          <w:highlight w:val="none"/>
        </w:rPr>
      </w:r>
      <w:bookmarkEnd w:id="94"/>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5.1</w:t>
      </w:r>
      <w:r>
        <w:rPr>
          <w:rFonts w:hint="eastAsia" w:ascii="宋体" w:hAnsi="宋体" w:cs="宋体"/>
          <w:bCs/>
          <w:color w:val="auto"/>
          <w:sz w:val="28"/>
          <w:szCs w:val="28"/>
          <w:highlight w:val="none"/>
        </w:rPr>
        <w:t xml:space="preserve">投标文件初审分为资格审查和符合性审查。</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rPr>
          <w:rFonts w:hint="eastAsia" w:ascii="宋体" w:hAnsi="宋体" w:cs="宋体"/>
          <w:bCs/>
          <w:color w:val="auto"/>
          <w:sz w:val="28"/>
          <w:szCs w:val="28"/>
          <w:highlight w:val="none"/>
        </w:rPr>
      </w:r>
      <w:r>
        <w:rPr>
          <w:color w:val="auto"/>
          <w:highlight w:val="none"/>
        </w:rPr>
      </w:r>
    </w:p>
    <w:p>
      <w:pPr>
        <w:pStyle w:val="863"/>
        <w:ind w:firstLine="562"/>
        <w:spacing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采购人在进行资格性审查的同时，评标委员会从“信用中国”网站查询供应商的信用记录，以确定供应商是否具备资格。</w:t>
      </w:r>
      <w:r>
        <w:rPr>
          <w:rFonts w:ascii="宋体" w:hAnsi="宋体"/>
          <w:b/>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告知未通过资格审查或符合性审查的原因，评审结束后，</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将不再告知未通过资格审查或符合性审查的原因。</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color w:val="auto"/>
          <w:highlight w:val="none"/>
        </w:rPr>
      </w:r>
      <w:bookmarkStart w:id="95" w:name="_Toc20823306"/>
      <w:r>
        <w:rPr>
          <w:color w:val="auto"/>
          <w:highlight w:val="none"/>
        </w:rPr>
      </w:r>
      <w:bookmarkStart w:id="96" w:name="_Toc513029234"/>
      <w:r>
        <w:rPr>
          <w:color w:val="auto"/>
          <w:highlight w:val="none"/>
        </w:rPr>
      </w:r>
      <w:bookmarkStart w:id="97" w:name="_Toc16938550"/>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auto"/>
          <w:sz w:val="28"/>
          <w:szCs w:val="28"/>
          <w:highlight w:val="none"/>
        </w:rPr>
      </w:r>
      <w:r>
        <w:rPr>
          <w:color w:val="auto"/>
          <w:highlight w:val="none"/>
        </w:rPr>
      </w:r>
    </w:p>
    <w:p>
      <w:pPr>
        <w:pStyle w:val="863"/>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rPr>
          <w:rFonts w:ascii="宋体" w:hAnsi="宋体"/>
          <w:color w:val="auto"/>
          <w:sz w:val="28"/>
          <w:szCs w:val="28"/>
          <w:highlight w:val="none"/>
        </w:rPr>
      </w:r>
      <w:r>
        <w:rPr>
          <w:color w:val="auto"/>
          <w:highlight w:val="none"/>
        </w:rPr>
      </w:r>
    </w:p>
    <w:p>
      <w:pPr>
        <w:pStyle w:val="863"/>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r>
        <w:rPr>
          <w:rFonts w:ascii="宋体" w:hAnsi="宋体"/>
          <w:color w:val="auto"/>
          <w:sz w:val="28"/>
          <w:szCs w:val="28"/>
          <w:highlight w:val="none"/>
        </w:rPr>
      </w:r>
      <w:r>
        <w:rPr>
          <w:color w:val="auto"/>
          <w:highlight w:val="none"/>
        </w:rPr>
      </w:r>
    </w:p>
    <w:p>
      <w:pPr>
        <w:pStyle w:val="867"/>
        <w:jc w:val="both"/>
        <w:spacing w:line="500" w:lineRule="exact"/>
        <w:rPr>
          <w:rFonts w:hint="eastAsia" w:ascii="宋体" w:hAnsi="宋体" w:eastAsia="宋体" w:cs="宋体"/>
          <w:b/>
          <w:bCs/>
          <w:color w:val="auto"/>
          <w:sz w:val="28"/>
          <w:szCs w:val="28"/>
          <w:highlight w:val="none"/>
        </w:rPr>
      </w:pPr>
      <w:r>
        <w:rPr>
          <w:color w:val="auto"/>
          <w:highlight w:val="none"/>
        </w:rPr>
      </w:r>
      <w:bookmarkEnd w:id="95"/>
      <w:r>
        <w:rPr>
          <w:color w:val="auto"/>
          <w:highlight w:val="none"/>
        </w:rPr>
      </w:r>
      <w:bookmarkEnd w:id="96"/>
      <w:r>
        <w:rPr>
          <w:color w:val="auto"/>
          <w:highlight w:val="none"/>
        </w:rPr>
      </w:r>
      <w:bookmarkEnd w:id="97"/>
      <w:r>
        <w:rPr>
          <w:rFonts w:hint="eastAsia" w:ascii="宋体" w:hAnsi="宋体" w:eastAsia="宋体" w:cs="宋体"/>
          <w:color w:val="auto"/>
          <w:sz w:val="28"/>
          <w:szCs w:val="28"/>
          <w:highlight w:val="none"/>
        </w:rPr>
        <w:t xml:space="preserve">6.无效投标条款和废标条款</w:t>
      </w:r>
      <w:r>
        <w:rPr>
          <w:rFonts w:hint="eastAsia" w:ascii="宋体" w:hAnsi="宋体" w:eastAsia="宋体" w:cs="宋体"/>
          <w:b/>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color w:val="auto"/>
          <w:highlight w:val="none"/>
        </w:rPr>
      </w:r>
      <w:bookmarkStart w:id="98" w:name="_Toc20823307"/>
      <w:r>
        <w:rPr>
          <w:color w:val="auto"/>
          <w:highlight w:val="none"/>
        </w:rPr>
      </w:r>
      <w:bookmarkStart w:id="99" w:name="_Toc16938551"/>
      <w:r>
        <w:rPr>
          <w:color w:val="auto"/>
          <w:highlight w:val="none"/>
        </w:rPr>
      </w:r>
      <w:bookmarkStart w:id="100" w:name="_Toc513029235"/>
      <w:r>
        <w:rPr>
          <w:rFonts w:hint="eastAsia" w:ascii="宋体" w:hAnsi="宋体" w:cs="宋体"/>
          <w:bCs/>
          <w:color w:val="auto"/>
          <w:sz w:val="28"/>
          <w:szCs w:val="28"/>
          <w:highlight w:val="none"/>
        </w:rPr>
        <w:t xml:space="preserve">6.1无效投标条款</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6.1.1 投标人在规定的时间内未成功解密电子投标文件的。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6.1.2 投标人未按照招标文件要求上传电子投标文件的。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6.1.3同一投标人提交两个（含两个）以上不同的投标报价的。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6.1.4投标人不具备招标文件中规定资格要求的。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6.1.5投标人的报价超过了采购预算或最高限价的。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6.1.6未通过符合性检查的。</w:t>
      </w:r>
      <w:r>
        <w:rPr>
          <w:rFonts w:hint="eastAsia" w:ascii="宋体" w:hAnsi="宋体" w:cs="宋体"/>
          <w:bCs/>
          <w:i/>
          <w:color w:val="auto"/>
          <w:sz w:val="28"/>
          <w:szCs w:val="28"/>
          <w:highlight w:val="none"/>
          <w:u w:val="single"/>
        </w:rPr>
      </w:r>
      <w:r>
        <w:rPr>
          <w:color w:val="auto"/>
          <w:highlight w:val="none"/>
        </w:rPr>
      </w:r>
    </w:p>
    <w:p>
      <w:pPr>
        <w:pStyle w:val="863"/>
        <w:ind w:firstLine="420"/>
        <w:spacing w:line="50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 6.1.7不符合招标文件中规定的其他实质性要求和条件的。</w:t>
      </w:r>
      <w:r>
        <w:rPr>
          <w:rFonts w:hint="eastAsia" w:ascii="宋体" w:hAnsi="宋体" w:cs="宋体"/>
          <w:bCs/>
          <w:i/>
          <w:color w:val="auto"/>
          <w:sz w:val="28"/>
          <w:szCs w:val="28"/>
          <w:highlight w:val="none"/>
          <w:u w:val="singl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6.1.9 投标文件含有采购人不能接受的附加条件的。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6.1.10</w:t>
      </w:r>
      <w:r>
        <w:rPr>
          <w:rFonts w:ascii="宋体" w:hAnsi="宋体"/>
          <w:bCs/>
          <w:color w:val="auto"/>
          <w:sz w:val="28"/>
          <w:szCs w:val="28"/>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不见面交易系统”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cs="宋体"/>
          <w:bCs/>
          <w:color w:val="auto"/>
          <w:sz w:val="28"/>
          <w:szCs w:val="28"/>
          <w:highlight w:val="none"/>
        </w:rPr>
      </w:r>
      <w:r>
        <w:rPr>
          <w:color w:val="auto"/>
          <w:highlight w:val="none"/>
        </w:rPr>
      </w:r>
    </w:p>
    <w:p>
      <w:pPr>
        <w:pStyle w:val="875"/>
        <w:ind w:firstLine="560"/>
        <w:rPr>
          <w:color w:val="auto"/>
          <w:highlight w:val="none"/>
        </w:rPr>
      </w:pPr>
      <w:r>
        <w:rPr>
          <w:rFonts w:hint="eastAsia" w:ascii="宋体" w:hAnsi="宋体" w:eastAsia="宋体"/>
          <w:bCs/>
          <w:color w:val="auto"/>
          <w:sz w:val="28"/>
          <w:szCs w:val="28"/>
          <w:highlight w:val="none"/>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rPr>
        <w:t xml:space="preserve">3</w:t>
      </w:r>
      <w:r>
        <w:rPr>
          <w:rFonts w:ascii="宋体" w:hAnsi="宋体"/>
          <w:bCs/>
          <w:color w:val="auto"/>
          <w:sz w:val="28"/>
          <w:szCs w:val="28"/>
          <w:highlight w:val="none"/>
        </w:rPr>
        <w:t xml:space="preserve">投标文件未按照招标文件要求加盖电子签章。</w:t>
      </w:r>
      <w:r>
        <w:rPr>
          <w:rFonts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不同的投标人投标文件制作机器码、文件创建标识码一致的。</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6.1.15投标人的商务、技术部分得分相差悬殊，评标委员会认为得分畸低者没有实质性响应的。</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rPr>
        <w:t xml:space="preserve">6</w:t>
      </w:r>
      <w:r>
        <w:rPr>
          <w:rFonts w:ascii="宋体" w:hAnsi="宋体"/>
          <w:bCs/>
          <w:color w:val="auto"/>
          <w:sz w:val="28"/>
          <w:szCs w:val="28"/>
          <w:highlight w:val="none"/>
        </w:rPr>
        <w:t xml:space="preserve">其他法律、法规及本招标文件规定的属无效投标的情形。</w:t>
      </w:r>
      <w:r>
        <w:rPr>
          <w:rFonts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6.2废标条款：</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6.2.1符合专业条件的供应商或者对招标文件作实质响应的供应商不足三家的。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6.2.2出现影响采购公正的违法、违规行为的。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6.2.3因重大变故，采购任务取消的。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6.2.4评标委员会认定招标文件存在歧义、重大缺陷导致评审工作无法进行。</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6.2.5 因系统故障原因造成开评标不成功的。</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 投标截止时间结束后参加投标的供应商不足三家的处理：</w:t>
      </w:r>
      <w:r>
        <w:rPr>
          <w:rFonts w:hint="eastAsia" w:ascii="宋体" w:hAnsi="宋体" w:cs="宋体"/>
          <w:bCs/>
          <w:color w:val="auto"/>
          <w:sz w:val="28"/>
          <w:szCs w:val="28"/>
          <w:highlight w:val="none"/>
        </w:rPr>
      </w:r>
      <w:r>
        <w:rPr>
          <w:color w:val="auto"/>
          <w:highlight w:val="none"/>
        </w:rPr>
      </w:r>
    </w:p>
    <w:p>
      <w:pPr>
        <w:pStyle w:val="863"/>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rPr>
          <w:rFonts w:ascii="宋体" w:hAnsi="宋体" w:cs="宋体"/>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7.投标文件线上格式要求</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7.1投标人应当通过“苏采云”系统提交数据电文形式的投标文件（即电子投标）。</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7.2通过“苏采云”系统提交政府采购客户端工具导出加密的投标文件（后缀名为zip）。投标文件不得超过150M！</w:t>
      </w:r>
      <w:r>
        <w:rPr>
          <w:rFonts w:hint="eastAsia"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7.3本项目采用线上投标，即投标人的投标文件从政府采购客户端工具制作通过“苏采云”系统提交，未提供线上投标文件的，投标无效。</w:t>
      </w:r>
      <w:r>
        <w:rPr>
          <w:rFonts w:ascii="宋体" w:hAnsi="宋体"/>
          <w:bCs/>
          <w:color w:val="auto"/>
          <w:sz w:val="28"/>
          <w:szCs w:val="28"/>
          <w:highlight w:val="none"/>
        </w:rPr>
      </w:r>
      <w:r>
        <w:rPr>
          <w:color w:val="auto"/>
          <w:highlight w:val="none"/>
        </w:rPr>
      </w:r>
    </w:p>
    <w:p>
      <w:pPr>
        <w:pStyle w:val="866"/>
        <w:spacing w:before="0" w:after="0" w:line="500" w:lineRule="exact"/>
        <w:rPr>
          <w:rFonts w:hint="eastAsia" w:ascii="宋体" w:hAnsi="宋体" w:cs="宋体"/>
          <w:color w:val="auto"/>
          <w:sz w:val="28"/>
          <w:szCs w:val="28"/>
          <w:highlight w:val="none"/>
        </w:rPr>
      </w:pPr>
      <w:r>
        <w:rPr>
          <w:color w:val="auto"/>
          <w:highlight w:val="none"/>
        </w:rPr>
      </w:r>
      <w:bookmarkEnd w:id="98"/>
      <w:r>
        <w:rPr>
          <w:color w:val="auto"/>
          <w:highlight w:val="none"/>
        </w:rPr>
      </w:r>
      <w:bookmarkEnd w:id="99"/>
      <w:r>
        <w:rPr>
          <w:color w:val="auto"/>
          <w:highlight w:val="none"/>
        </w:rPr>
      </w:r>
      <w:bookmarkEnd w:id="100"/>
      <w:r>
        <w:rPr>
          <w:color w:val="auto"/>
          <w:highlight w:val="none"/>
        </w:rPr>
      </w:r>
      <w:bookmarkStart w:id="101" w:name="_Toc120614219"/>
      <w:r>
        <w:rPr>
          <w:rFonts w:hint="eastAsia" w:ascii="宋体" w:hAnsi="宋体" w:cs="宋体"/>
          <w:color w:val="auto"/>
          <w:sz w:val="28"/>
          <w:szCs w:val="28"/>
          <w:highlight w:val="none"/>
        </w:rPr>
        <w:t xml:space="preserve">（六）定标</w:t>
      </w:r>
      <w:bookmarkEnd w:id="101"/>
      <w:r>
        <w:rPr>
          <w:rFonts w:hint="eastAsia" w:ascii="宋体" w:hAnsi="宋体" w:cs="宋体"/>
          <w:color w:val="auto"/>
          <w:sz w:val="28"/>
          <w:szCs w:val="28"/>
          <w:highlight w:val="none"/>
        </w:rPr>
      </w:r>
      <w:r>
        <w:rPr>
          <w:color w:val="auto"/>
          <w:highlight w:val="none"/>
        </w:rPr>
      </w:r>
    </w:p>
    <w:p>
      <w:pPr>
        <w:pStyle w:val="867"/>
        <w:ind w:firstLine="560"/>
        <w:jc w:val="both"/>
        <w:spacing w:line="500" w:lineRule="exact"/>
        <w:rPr>
          <w:rFonts w:ascii="宋体" w:hAnsi="宋体" w:eastAsia="宋体"/>
          <w:b/>
          <w:color w:val="auto"/>
          <w:sz w:val="28"/>
          <w:szCs w:val="28"/>
          <w:highlight w:val="none"/>
        </w:rPr>
      </w:pPr>
      <w:r>
        <w:rPr>
          <w:color w:val="auto"/>
          <w:highlight w:val="none"/>
        </w:rPr>
      </w:r>
      <w:bookmarkStart w:id="102" w:name="_Toc16938554"/>
      <w:r>
        <w:rPr>
          <w:color w:val="auto"/>
          <w:highlight w:val="none"/>
        </w:rPr>
      </w:r>
      <w:bookmarkStart w:id="103" w:name="_Toc20823310"/>
      <w:r>
        <w:rPr>
          <w:color w:val="auto"/>
          <w:highlight w:val="none"/>
        </w:rPr>
      </w:r>
      <w:bookmarkStart w:id="104" w:name="_Toc120614220"/>
      <w:r>
        <w:rPr>
          <w:color w:val="auto"/>
          <w:highlight w:val="none"/>
        </w:rPr>
      </w:r>
      <w:bookmarkStart w:id="105" w:name="_Toc20823308"/>
      <w:r>
        <w:rPr>
          <w:color w:val="auto"/>
          <w:highlight w:val="none"/>
        </w:rPr>
      </w:r>
      <w:bookmarkStart w:id="106" w:name="_Toc513029236"/>
      <w:r>
        <w:rPr>
          <w:color w:val="auto"/>
          <w:highlight w:val="none"/>
        </w:rPr>
      </w:r>
      <w:bookmarkStart w:id="107" w:name="_Toc16938552"/>
      <w:r>
        <w:rPr>
          <w:rFonts w:ascii="宋体" w:hAnsi="宋体" w:eastAsia="宋体"/>
          <w:color w:val="auto"/>
          <w:sz w:val="28"/>
          <w:szCs w:val="28"/>
          <w:highlight w:val="none"/>
        </w:rPr>
        <w:t xml:space="preserve">1.确定</w:t>
      </w:r>
      <w:bookmarkEnd w:id="102"/>
      <w:r>
        <w:rPr>
          <w:color w:val="auto"/>
          <w:highlight w:val="none"/>
        </w:rPr>
      </w:r>
      <w:bookmarkEnd w:id="103"/>
      <w:r>
        <w:rPr>
          <w:rFonts w:ascii="宋体" w:hAnsi="宋体" w:eastAsia="宋体"/>
          <w:color w:val="auto"/>
          <w:sz w:val="28"/>
          <w:szCs w:val="28"/>
          <w:highlight w:val="none"/>
        </w:rPr>
        <w:t xml:space="preserve">中标单位</w:t>
      </w:r>
      <w:r>
        <w:rPr>
          <w:rFonts w:ascii="宋体" w:hAnsi="宋体" w:eastAsia="宋体"/>
          <w:b/>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rPr>
        <w:t xml:space="preserve">中标</w:t>
      </w:r>
      <w:r>
        <w:rPr>
          <w:rFonts w:ascii="宋体" w:hAnsi="宋体"/>
          <w:bCs/>
          <w:color w:val="auto"/>
          <w:sz w:val="28"/>
          <w:szCs w:val="28"/>
          <w:highlight w:val="none"/>
        </w:rPr>
        <w:t xml:space="preserve">候选供应商确定成交供应商。</w:t>
      </w:r>
      <w:r>
        <w:rPr>
          <w:rFonts w:ascii="宋体" w:hAnsi="宋体"/>
          <w:bCs/>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”发布中标公告，公告期限为1个工作日。</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1.4若有充分证据证明，中标人出现下列情况之一的，一经查实，将被取消中标资格：</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color w:val="auto"/>
          <w:highlight w:val="none"/>
        </w:rPr>
      </w:r>
      <w:bookmarkStart w:id="108" w:name="_Toc200451960"/>
      <w:r>
        <w:rPr>
          <w:rFonts w:ascii="宋体" w:hAnsi="宋体"/>
          <w:color w:val="auto"/>
          <w:sz w:val="28"/>
          <w:szCs w:val="28"/>
          <w:highlight w:val="none"/>
        </w:rPr>
        <w:t xml:space="preserve">1.5</w:t>
      </w:r>
      <w:r>
        <w:rPr>
          <w:rFonts w:ascii="宋体" w:hAnsi="宋体"/>
          <w:color w:val="auto"/>
          <w:sz w:val="28"/>
          <w:szCs w:val="28"/>
          <w:highlight w:val="none"/>
        </w:rPr>
        <w:t xml:space="preserve">有下列情形之一的，视为投标人串通投标，投标无效：</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rPr>
          <w:rFonts w:ascii="宋体" w:hAnsi="宋体"/>
          <w:color w:val="auto"/>
          <w:sz w:val="28"/>
          <w:szCs w:val="28"/>
          <w:highlight w:val="none"/>
        </w:rPr>
      </w:r>
      <w:r>
        <w:rPr>
          <w:color w:val="auto"/>
          <w:highlight w:val="none"/>
        </w:rPr>
      </w:r>
    </w:p>
    <w:p>
      <w:pPr>
        <w:pStyle w:val="867"/>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rPr>
        <w:t xml:space="preserve">2.质疑处理</w:t>
      </w:r>
      <w:bookmarkEnd w:id="108"/>
      <w:r>
        <w:rPr>
          <w:rFonts w:ascii="宋体" w:hAnsi="宋体" w:eastAsia="宋体"/>
          <w:b/>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提出质疑的供应商应当是参与所质疑项目采购活动的供应商。潜在供应商依法获取其可质疑的采购文件的，可以对采购文件提出质疑。</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提出质疑。上述应知其权益受到损害之日，是指：</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2.2.1</w:t>
      </w:r>
      <w:r>
        <w:rPr>
          <w:rFonts w:ascii="宋体" w:hAnsi="宋体"/>
          <w:color w:val="auto"/>
          <w:sz w:val="28"/>
          <w:szCs w:val="28"/>
          <w:highlight w:val="none"/>
        </w:rPr>
        <w:t xml:space="preserve">对可以质疑的采购文件提出质疑的，为收到采购文件之日或者采购文件公告期限届满之日；</w:t>
      </w:r>
      <w:r>
        <w:rPr>
          <w:rFonts w:ascii="宋体" w:hAnsi="宋体"/>
          <w:color w:val="auto"/>
          <w:sz w:val="28"/>
          <w:szCs w:val="28"/>
          <w:highlight w:val="none"/>
        </w:rPr>
        <w:br w:type="textWrapping" w:clear="all"/>
      </w:r>
      <w:r>
        <w:rPr>
          <w:rFonts w:ascii="宋体" w:hAnsi="宋体"/>
          <w:color w:val="auto"/>
          <w:sz w:val="28"/>
          <w:szCs w:val="28"/>
          <w:highlight w:val="none"/>
        </w:rPr>
        <w:t xml:space="preserve">　　</w:t>
      </w:r>
      <w:r>
        <w:rPr>
          <w:rFonts w:ascii="宋体" w:hAnsi="宋体"/>
          <w:color w:val="auto"/>
          <w:sz w:val="28"/>
          <w:szCs w:val="28"/>
          <w:highlight w:val="none"/>
        </w:rPr>
        <w:t xml:space="preserve">2.2.2</w:t>
      </w:r>
      <w:r>
        <w:rPr>
          <w:rFonts w:ascii="宋体" w:hAnsi="宋体"/>
          <w:color w:val="auto"/>
          <w:sz w:val="28"/>
          <w:szCs w:val="28"/>
          <w:highlight w:val="none"/>
        </w:rPr>
        <w:t xml:space="preserve">对采购过程提出质疑的，为各采购程序环节结束之日；</w:t>
      </w:r>
      <w:r>
        <w:rPr>
          <w:rFonts w:ascii="宋体" w:hAnsi="宋体"/>
          <w:color w:val="auto"/>
          <w:sz w:val="28"/>
          <w:szCs w:val="28"/>
          <w:highlight w:val="none"/>
        </w:rPr>
        <w:br w:type="textWrapping" w:clear="all"/>
      </w:r>
      <w:r>
        <w:rPr>
          <w:rFonts w:ascii="宋体" w:hAnsi="宋体"/>
          <w:color w:val="auto"/>
          <w:sz w:val="28"/>
          <w:szCs w:val="28"/>
          <w:highlight w:val="none"/>
        </w:rPr>
        <w:t xml:space="preserve">　　</w:t>
      </w:r>
      <w:r>
        <w:rPr>
          <w:rFonts w:ascii="宋体" w:hAnsi="宋体"/>
          <w:color w:val="auto"/>
          <w:sz w:val="28"/>
          <w:szCs w:val="28"/>
          <w:highlight w:val="none"/>
        </w:rPr>
        <w:t xml:space="preserve">2.2.3</w:t>
      </w:r>
      <w:r>
        <w:rPr>
          <w:rFonts w:ascii="宋体" w:hAnsi="宋体"/>
          <w:color w:val="auto"/>
          <w:sz w:val="28"/>
          <w:szCs w:val="28"/>
          <w:highlight w:val="none"/>
        </w:rPr>
        <w:t xml:space="preserve">对中标或者成交结果提出质疑的，为中标或者成交结果公告期限届满之日。</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auto"/>
          <w:sz w:val="28"/>
          <w:szCs w:val="28"/>
          <w:highlight w:val="none"/>
        </w:rPr>
      </w:r>
      <w:r>
        <w:rPr>
          <w:color w:val="auto"/>
          <w:highlight w:val="none"/>
        </w:rPr>
      </w:r>
    </w:p>
    <w:p>
      <w:pPr>
        <w:pStyle w:val="863"/>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2.4质疑答复依据</w:t>
      </w:r>
      <w:r>
        <w:rPr>
          <w:rFonts w:hint="eastAsia" w:ascii="宋体" w:hAnsi="宋体"/>
          <w:color w:val="auto"/>
          <w:sz w:val="28"/>
          <w:szCs w:val="28"/>
          <w:highlight w:val="none"/>
        </w:rPr>
        <w:t xml:space="preserve">《政府采购质疑和投诉办法》（财政部令第94号）。</w:t>
      </w:r>
      <w:r>
        <w:rPr>
          <w:rFonts w:hint="eastAsia"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采购人质疑接收人及联系方式，见招标文件第一</w:t>
      </w:r>
      <w:r>
        <w:rPr>
          <w:rFonts w:hint="eastAsia" w:ascii="宋体" w:hAnsi="宋体"/>
          <w:color w:val="auto"/>
          <w:sz w:val="28"/>
          <w:szCs w:val="28"/>
          <w:highlight w:val="none"/>
        </w:rPr>
        <w:t xml:space="preserve">部分</w:t>
      </w:r>
      <w:r>
        <w:rPr>
          <w:rFonts w:ascii="宋体" w:hAnsi="宋体"/>
          <w:color w:val="auto"/>
          <w:sz w:val="28"/>
          <w:szCs w:val="28"/>
          <w:highlight w:val="none"/>
        </w:rPr>
        <w:t xml:space="preserve">。</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2.5以下情形的质疑不予受理</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2.5.1内容不符合《政府采购质疑和投诉办法》第十二条规定的质疑。</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2.5.2超出政府采购法定期限的质疑。</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2.5.3未参加投标活动的供应商或在投标活动中自身权益未受到损害的供应商所提出的质疑。</w:t>
      </w:r>
      <w:r>
        <w:rPr>
          <w:rFonts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rPr>
          <w:rFonts w:ascii="宋体" w:hAnsi="宋体"/>
          <w:color w:val="auto"/>
          <w:sz w:val="28"/>
          <w:szCs w:val="28"/>
          <w:highlight w:val="none"/>
        </w:rPr>
      </w:r>
      <w:r>
        <w:rPr>
          <w:color w:val="auto"/>
          <w:highlight w:val="none"/>
        </w:rPr>
      </w:r>
    </w:p>
    <w:p>
      <w:pPr>
        <w:pStyle w:val="863"/>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2.6供应商提出书面质疑必须有理、有据，不得捏造事实、提供虚假材料进行恶意质疑。否则，一经查实，</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有权依据政府采购的有关规定，报请政府采购监管部门对该供应商进行相应的行政处罚和记录该供应商的失信信息。</w:t>
      </w:r>
      <w:r>
        <w:rPr>
          <w:rFonts w:ascii="宋体" w:hAnsi="宋体"/>
          <w:color w:val="auto"/>
          <w:sz w:val="28"/>
          <w:szCs w:val="28"/>
          <w:highlight w:val="none"/>
        </w:rPr>
      </w:r>
      <w:r>
        <w:rPr>
          <w:color w:val="auto"/>
          <w:highlight w:val="none"/>
        </w:rPr>
      </w:r>
    </w:p>
    <w:p>
      <w:pPr>
        <w:pStyle w:val="867"/>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rPr>
        <w:t xml:space="preserve">3</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中标通知书</w:t>
      </w:r>
      <w:r>
        <w:rPr>
          <w:rFonts w:ascii="宋体" w:hAnsi="宋体" w:eastAsia="宋体"/>
          <w:b/>
          <w:color w:val="auto"/>
          <w:sz w:val="28"/>
          <w:szCs w:val="28"/>
          <w:highlight w:val="none"/>
        </w:rPr>
      </w:r>
      <w:r>
        <w:rPr>
          <w:color w:val="auto"/>
          <w:highlight w:val="none"/>
        </w:rPr>
      </w:r>
    </w:p>
    <w:p>
      <w:pPr>
        <w:pStyle w:val="863"/>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3.l</w:t>
      </w:r>
      <w:r>
        <w:rPr>
          <w:rFonts w:ascii="宋体" w:hAnsi="宋体"/>
          <w:b/>
          <w:color w:val="auto"/>
          <w:sz w:val="28"/>
          <w:szCs w:val="28"/>
          <w:highlight w:val="none"/>
        </w:rPr>
        <w:t xml:space="preserve"> </w:t>
      </w:r>
      <w:r>
        <w:rPr>
          <w:rFonts w:ascii="宋体" w:hAnsi="宋体"/>
          <w:color w:val="auto"/>
          <w:sz w:val="28"/>
          <w:szCs w:val="28"/>
          <w:highlight w:val="none"/>
        </w:rPr>
        <w:t xml:space="preserve">中标结果确定后，</w:t>
      </w:r>
      <w:r>
        <w:rPr>
          <w:rFonts w:hint="eastAsia" w:ascii="宋体" w:hAnsi="宋体"/>
          <w:bCs/>
          <w:color w:val="auto"/>
          <w:sz w:val="28"/>
          <w:szCs w:val="28"/>
          <w:highlight w:val="none"/>
        </w:rPr>
        <w:t xml:space="preserve">采购人或采购代理机构</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rPr>
        <w:t xml:space="preserve">。</w:t>
      </w:r>
      <w:r>
        <w:rPr>
          <w:rFonts w:hint="eastAsia" w:ascii="宋体" w:hAnsi="宋体"/>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auto"/>
          <w:sz w:val="28"/>
          <w:szCs w:val="28"/>
          <w:highlight w:val="none"/>
        </w:rPr>
      </w:r>
      <w:r>
        <w:rPr>
          <w:color w:val="auto"/>
          <w:highlight w:val="none"/>
        </w:rPr>
      </w:r>
    </w:p>
    <w:p>
      <w:pPr>
        <w:pStyle w:val="866"/>
        <w:spacing w:before="0" w:after="0"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（七）授予合同</w:t>
      </w:r>
      <w:bookmarkEnd w:id="104"/>
      <w:r>
        <w:rPr>
          <w:rFonts w:hint="eastAsia" w:ascii="宋体" w:hAnsi="宋体" w:cs="宋体"/>
          <w:color w:val="auto"/>
          <w:sz w:val="28"/>
          <w:szCs w:val="28"/>
          <w:highlight w:val="none"/>
        </w:rPr>
      </w:r>
      <w:r>
        <w:rPr>
          <w:color w:val="auto"/>
          <w:highlight w:val="none"/>
        </w:rPr>
      </w:r>
    </w:p>
    <w:p>
      <w:pPr>
        <w:pStyle w:val="867"/>
        <w:ind w:firstLine="560"/>
        <w:jc w:val="both"/>
        <w:spacing w:line="500" w:lineRule="exact"/>
        <w:rPr>
          <w:rFonts w:hint="eastAsia" w:ascii="宋体" w:hAnsi="宋体" w:eastAsia="宋体" w:cs="宋体"/>
          <w:b/>
          <w:color w:val="auto"/>
          <w:sz w:val="28"/>
          <w:szCs w:val="28"/>
          <w:highlight w:val="none"/>
        </w:rPr>
      </w:pPr>
      <w:r>
        <w:rPr>
          <w:color w:val="auto"/>
          <w:highlight w:val="none"/>
        </w:rPr>
      </w:r>
      <w:bookmarkEnd w:id="105"/>
      <w:r>
        <w:rPr>
          <w:color w:val="auto"/>
          <w:highlight w:val="none"/>
        </w:rPr>
      </w:r>
      <w:bookmarkEnd w:id="106"/>
      <w:r>
        <w:rPr>
          <w:color w:val="auto"/>
          <w:highlight w:val="none"/>
        </w:rPr>
      </w:r>
      <w:bookmarkEnd w:id="107"/>
      <w:r>
        <w:rPr>
          <w:color w:val="auto"/>
          <w:highlight w:val="none"/>
        </w:rPr>
      </w:r>
      <w:bookmarkStart w:id="109" w:name="_Toc513029237"/>
      <w:r>
        <w:rPr>
          <w:color w:val="auto"/>
          <w:highlight w:val="none"/>
        </w:rPr>
      </w:r>
      <w:bookmarkStart w:id="110" w:name="_Toc16938553"/>
      <w:r>
        <w:rPr>
          <w:color w:val="auto"/>
          <w:highlight w:val="none"/>
        </w:rPr>
      </w:r>
      <w:bookmarkStart w:id="111" w:name="_Toc20823309"/>
      <w:r>
        <w:rPr>
          <w:rFonts w:hint="eastAsia" w:ascii="宋体" w:hAnsi="宋体" w:eastAsia="宋体" w:cs="宋体"/>
          <w:color w:val="auto"/>
          <w:sz w:val="28"/>
          <w:szCs w:val="28"/>
          <w:highlight w:val="none"/>
        </w:rPr>
        <w:t xml:space="preserve">1.签订合同</w:t>
      </w:r>
      <w:r>
        <w:rPr>
          <w:rFonts w:hint="eastAsia" w:ascii="宋体" w:hAnsi="宋体" w:eastAsia="宋体" w:cs="宋体"/>
          <w:b/>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.l中标人应当在中标通知书发出之日起三十日内，按照招标文件确定的事项与采购人签订政府采购合同。</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1.2招标文件、中标人的投标文件及招标过程中有关澄清、承诺文件均应作为合同附件。</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hint="eastAsia" w:ascii="宋体" w:hAnsi="宋体" w:cs="宋体"/>
          <w:color w:val="auto"/>
          <w:sz w:val="28"/>
          <w:szCs w:val="28"/>
          <w:highlight w:val="none"/>
        </w:rPr>
      </w:r>
      <w:r>
        <w:rPr>
          <w:color w:val="auto"/>
          <w:highlight w:val="none"/>
        </w:rPr>
      </w:r>
    </w:p>
    <w:p>
      <w:pPr>
        <w:pStyle w:val="867"/>
        <w:ind w:firstLine="560"/>
        <w:jc w:val="both"/>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2.货物和服务的追加、减少和添购。</w:t>
      </w:r>
      <w:r>
        <w:rPr>
          <w:rFonts w:hint="eastAsia" w:ascii="宋体" w:hAnsi="宋体" w:eastAsia="宋体" w:cs="宋体"/>
          <w:b/>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color w:val="auto"/>
          <w:sz w:val="28"/>
          <w:szCs w:val="28"/>
          <w:highlight w:val="none"/>
        </w:rPr>
      </w:r>
      <w:r>
        <w:rPr>
          <w:color w:val="auto"/>
          <w:highlight w:val="none"/>
        </w:rPr>
      </w:r>
    </w:p>
    <w:p>
      <w:pPr>
        <w:pStyle w:val="867"/>
        <w:ind w:firstLine="562"/>
        <w:jc w:val="both"/>
        <w:spacing w:line="500" w:lineRule="exact"/>
        <w:rPr>
          <w:rFonts w:hint="eastAsia" w:ascii="宋体" w:hAnsi="宋体" w:eastAsia="宋体"/>
          <w:b/>
          <w:color w:val="auto"/>
          <w:sz w:val="28"/>
          <w:szCs w:val="28"/>
          <w:highlight w:val="none"/>
        </w:rPr>
      </w:pPr>
      <w:r>
        <w:rPr>
          <w:color w:val="auto"/>
          <w:highlight w:val="none"/>
        </w:rPr>
      </w:r>
      <w:bookmarkEnd w:id="109"/>
      <w:r>
        <w:rPr>
          <w:color w:val="auto"/>
          <w:highlight w:val="none"/>
        </w:rPr>
      </w:r>
      <w:bookmarkEnd w:id="110"/>
      <w:r>
        <w:rPr>
          <w:color w:val="auto"/>
          <w:highlight w:val="none"/>
        </w:rPr>
      </w:r>
      <w:bookmarkEnd w:id="111"/>
      <w:r>
        <w:rPr>
          <w:rFonts w:ascii="宋体" w:hAnsi="宋体" w:eastAsia="宋体"/>
          <w:b/>
          <w:color w:val="auto"/>
          <w:sz w:val="28"/>
          <w:szCs w:val="28"/>
          <w:highlight w:val="none"/>
        </w:rPr>
        <w:t xml:space="preserve">3.政府采购履约</w:t>
      </w:r>
      <w:r>
        <w:rPr>
          <w:rFonts w:hint="eastAsia" w:ascii="宋体" w:hAnsi="宋体" w:eastAsia="宋体"/>
          <w:b/>
          <w:color w:val="auto"/>
          <w:sz w:val="28"/>
          <w:szCs w:val="28"/>
          <w:highlight w:val="none"/>
        </w:rPr>
        <w:t xml:space="preserve">保证</w:t>
      </w:r>
      <w:r>
        <w:rPr>
          <w:rFonts w:ascii="宋体" w:hAnsi="宋体" w:eastAsia="宋体"/>
          <w:b/>
          <w:color w:val="auto"/>
          <w:sz w:val="28"/>
          <w:szCs w:val="28"/>
          <w:highlight w:val="none"/>
        </w:rPr>
        <w:t xml:space="preserve">资金</w:t>
      </w:r>
      <w:r>
        <w:rPr>
          <w:rFonts w:hint="eastAsia" w:ascii="宋体" w:hAnsi="宋体" w:eastAsia="宋体"/>
          <w:b/>
          <w:color w:val="auto"/>
          <w:sz w:val="28"/>
          <w:szCs w:val="28"/>
          <w:highlight w:val="none"/>
        </w:rPr>
        <w:t xml:space="preserve">、合同信用融资</w:t>
      </w:r>
      <w:r>
        <w:rPr>
          <w:rFonts w:ascii="宋体" w:hAnsi="宋体" w:eastAsia="宋体"/>
          <w:b/>
          <w:color w:val="auto"/>
          <w:sz w:val="28"/>
          <w:szCs w:val="28"/>
          <w:highlight w:val="none"/>
        </w:rPr>
        <w:t xml:space="preserve">扶持政策</w:t>
      </w:r>
      <w:r>
        <w:rPr>
          <w:rFonts w:hint="eastAsia" w:ascii="宋体" w:hAnsi="宋体" w:eastAsia="宋体"/>
          <w:b/>
          <w:color w:val="auto"/>
          <w:sz w:val="28"/>
          <w:szCs w:val="28"/>
          <w:highlight w:val="none"/>
        </w:rPr>
      </w:r>
      <w:r>
        <w:rPr>
          <w:color w:val="auto"/>
          <w:highlight w:val="none"/>
        </w:rPr>
      </w:r>
    </w:p>
    <w:p>
      <w:pPr>
        <w:pStyle w:val="863"/>
        <w:ind w:firstLine="562"/>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3.1</w:t>
      </w:r>
      <w:r>
        <w:rPr>
          <w:rFonts w:ascii="宋体" w:hAnsi="宋体"/>
          <w:b/>
          <w:color w:val="auto"/>
          <w:sz w:val="28"/>
          <w:szCs w:val="28"/>
          <w:highlight w:val="none"/>
        </w:rPr>
        <w:t xml:space="preserve">中标供应商如需获得</w:t>
      </w:r>
      <w:r>
        <w:rPr>
          <w:rFonts w:hint="eastAsia" w:ascii="宋体" w:hAnsi="宋体"/>
          <w:b/>
          <w:color w:val="auto"/>
          <w:sz w:val="28"/>
          <w:szCs w:val="28"/>
          <w:highlight w:val="none"/>
        </w:rPr>
        <w:t xml:space="preserve">履约保证金</w:t>
      </w:r>
      <w:r>
        <w:rPr>
          <w:rFonts w:ascii="宋体" w:hAnsi="宋体"/>
          <w:b/>
          <w:color w:val="auto"/>
          <w:sz w:val="28"/>
          <w:szCs w:val="28"/>
          <w:highlight w:val="none"/>
        </w:rPr>
        <w:t xml:space="preserve">支持，可在</w:t>
      </w:r>
      <w:r>
        <w:rPr>
          <w:rFonts w:hint="eastAsia" w:ascii="宋体" w:hAnsi="宋体"/>
          <w:b/>
          <w:color w:val="auto"/>
          <w:sz w:val="28"/>
          <w:szCs w:val="28"/>
          <w:highlight w:val="none"/>
        </w:rPr>
        <w:t xml:space="preserve">江苏政府采购网</w:t>
      </w:r>
      <w:r>
        <w:rPr>
          <w:rFonts w:ascii="宋体" w:hAnsi="宋体"/>
          <w:b/>
          <w:color w:val="auto"/>
          <w:sz w:val="28"/>
          <w:szCs w:val="28"/>
          <w:highlight w:val="none"/>
        </w:rPr>
        <w:t xml:space="preserve">直接</w:t>
      </w:r>
      <w:r>
        <w:rPr>
          <w:rFonts w:hint="eastAsia" w:ascii="宋体" w:hAnsi="宋体"/>
          <w:b/>
          <w:color w:val="auto"/>
          <w:sz w:val="28"/>
          <w:szCs w:val="28"/>
          <w:highlight w:val="none"/>
        </w:rPr>
        <w:t xml:space="preserve">线上</w:t>
      </w:r>
      <w:r>
        <w:rPr>
          <w:rFonts w:ascii="宋体" w:hAnsi="宋体"/>
          <w:b/>
          <w:color w:val="auto"/>
          <w:sz w:val="28"/>
          <w:szCs w:val="28"/>
          <w:highlight w:val="none"/>
        </w:rPr>
        <w:t xml:space="preserve">办理线上</w:t>
      </w:r>
      <w:r>
        <w:rPr>
          <w:rFonts w:hint="eastAsia" w:ascii="宋体" w:hAnsi="宋体"/>
          <w:b/>
          <w:color w:val="auto"/>
          <w:sz w:val="28"/>
          <w:szCs w:val="28"/>
          <w:highlight w:val="none"/>
        </w:rPr>
        <w:t xml:space="preserve">履约</w:t>
      </w:r>
      <w:r>
        <w:rPr>
          <w:rFonts w:ascii="宋体" w:hAnsi="宋体"/>
          <w:b/>
          <w:color w:val="auto"/>
          <w:sz w:val="28"/>
          <w:szCs w:val="28"/>
          <w:highlight w:val="none"/>
        </w:rPr>
        <w:t xml:space="preserve">保证保险申请</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详情请见</w:t>
      </w:r>
      <w:r>
        <w:rPr>
          <w:rFonts w:hint="eastAsia" w:ascii="宋体" w:hAnsi="宋体"/>
          <w:b/>
          <w:color w:val="auto"/>
          <w:sz w:val="28"/>
          <w:szCs w:val="28"/>
          <w:highlight w:val="none"/>
        </w:rPr>
        <w:t xml:space="preserve">江苏政府采购网</w:t>
      </w:r>
      <w:r>
        <w:rPr>
          <w:rFonts w:ascii="宋体" w:hAnsi="宋体"/>
          <w:b/>
          <w:color w:val="auto"/>
          <w:sz w:val="28"/>
          <w:szCs w:val="28"/>
          <w:highlight w:val="none"/>
        </w:rPr>
        <w:t xml:space="preserve">首页 “易企服”综合服务平台-金融</w:t>
      </w:r>
      <w:r>
        <w:rPr>
          <w:rFonts w:hint="eastAsia" w:ascii="宋体" w:hAnsi="宋体"/>
          <w:b/>
          <w:color w:val="auto"/>
          <w:sz w:val="28"/>
          <w:szCs w:val="28"/>
          <w:highlight w:val="none"/>
        </w:rPr>
        <w:t xml:space="preserve">产品全周期</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履约</w:t>
      </w:r>
      <w:r>
        <w:rPr>
          <w:rFonts w:ascii="宋体" w:hAnsi="宋体"/>
          <w:b/>
          <w:color w:val="auto"/>
          <w:sz w:val="28"/>
          <w:szCs w:val="28"/>
          <w:highlight w:val="none"/>
        </w:rPr>
        <w:t xml:space="preserve">保证保险专栏。</w:t>
      </w:r>
      <w:r>
        <w:rPr>
          <w:rFonts w:hint="eastAsia" w:ascii="宋体" w:hAnsi="宋体"/>
          <w:b/>
          <w:color w:val="auto"/>
          <w:sz w:val="28"/>
          <w:szCs w:val="28"/>
          <w:highlight w:val="none"/>
        </w:rPr>
      </w:r>
      <w:r>
        <w:rPr>
          <w:color w:val="auto"/>
          <w:highlight w:val="none"/>
        </w:rPr>
      </w:r>
    </w:p>
    <w:p>
      <w:pPr>
        <w:pStyle w:val="867"/>
        <w:ind w:firstLine="551"/>
        <w:jc w:val="both"/>
        <w:spacing w:line="500" w:lineRule="exact"/>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3.2</w:t>
      </w:r>
      <w:r>
        <w:rPr>
          <w:rFonts w:ascii="宋体" w:hAnsi="宋体" w:eastAsia="宋体"/>
          <w:b/>
          <w:color w:val="auto"/>
          <w:sz w:val="28"/>
          <w:szCs w:val="28"/>
          <w:highlight w:val="none"/>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宋体" w:hAnsi="宋体" w:eastAsia="宋体"/>
          <w:b/>
          <w:color w:val="auto"/>
          <w:sz w:val="28"/>
          <w:szCs w:val="28"/>
          <w:highlight w:val="none"/>
        </w:rPr>
        <w:t xml:space="preserve">合同信用融资</w:t>
      </w:r>
      <w:r>
        <w:rPr>
          <w:rFonts w:ascii="宋体" w:hAnsi="宋体" w:eastAsia="宋体"/>
          <w:b/>
          <w:color w:val="auto"/>
          <w:sz w:val="28"/>
          <w:szCs w:val="28"/>
          <w:highlight w:val="none"/>
        </w:rPr>
        <w:t xml:space="preserve">支持，可凭政府采购合同办理“政采贷”融资贷款，详情请见</w:t>
      </w:r>
      <w:r>
        <w:rPr>
          <w:rFonts w:hint="eastAsia" w:ascii="宋体" w:hAnsi="宋体" w:eastAsia="宋体"/>
          <w:b/>
          <w:color w:val="auto"/>
          <w:sz w:val="28"/>
          <w:szCs w:val="28"/>
          <w:highlight w:val="none"/>
        </w:rPr>
        <w:t xml:space="preserve">江苏政府采购网</w:t>
      </w:r>
      <w:r>
        <w:rPr>
          <w:rFonts w:ascii="宋体" w:hAnsi="宋体" w:eastAsia="宋体"/>
          <w:b/>
          <w:color w:val="auto"/>
          <w:sz w:val="28"/>
          <w:szCs w:val="28"/>
          <w:highlight w:val="none"/>
        </w:rPr>
        <w:t xml:space="preserve"> “易企服”综合服务平台-金融</w:t>
      </w:r>
      <w:r>
        <w:rPr>
          <w:rFonts w:hint="eastAsia" w:ascii="宋体" w:hAnsi="宋体" w:eastAsia="宋体"/>
          <w:b/>
          <w:color w:val="auto"/>
          <w:sz w:val="28"/>
          <w:szCs w:val="28"/>
          <w:highlight w:val="none"/>
        </w:rPr>
        <w:t xml:space="preserve">产品全周期</w:t>
      </w:r>
      <w:r>
        <w:rPr>
          <w:rFonts w:ascii="宋体" w:hAnsi="宋体" w:eastAsia="宋体"/>
          <w:b/>
          <w:color w:val="auto"/>
          <w:sz w:val="28"/>
          <w:szCs w:val="28"/>
          <w:highlight w:val="none"/>
        </w:rPr>
        <w:t xml:space="preserve">-贷款产品专栏。</w:t>
      </w:r>
      <w:r>
        <w:rPr>
          <w:rFonts w:hint="eastAsia" w:ascii="宋体" w:hAnsi="宋体" w:eastAsia="宋体"/>
          <w:b/>
          <w:color w:val="auto"/>
          <w:sz w:val="28"/>
          <w:szCs w:val="28"/>
          <w:highlight w:val="none"/>
        </w:rPr>
      </w:r>
      <w:r>
        <w:rPr>
          <w:color w:val="auto"/>
          <w:highlight w:val="none"/>
        </w:rPr>
      </w:r>
    </w:p>
    <w:p>
      <w:pPr>
        <w:pStyle w:val="863"/>
        <w:ind w:firstLine="422"/>
        <w:rPr>
          <w:rFonts w:hint="eastAsia" w:ascii="宋体" w:hAnsi="宋体"/>
          <w:b/>
          <w:color w:val="auto"/>
          <w:sz w:val="28"/>
          <w:szCs w:val="28"/>
          <w:highlight w:val="none"/>
        </w:rPr>
      </w:pPr>
      <w:r>
        <w:rPr>
          <w:rFonts w:hint="eastAsia" w:ascii="宋体" w:hAnsi="宋体"/>
          <w:b/>
          <w:color w:val="auto"/>
          <w:sz w:val="28"/>
          <w:szCs w:val="28"/>
          <w:highlight w:val="none"/>
        </w:rPr>
        <w:t xml:space="preserve">3.3</w:t>
      </w:r>
      <w:r>
        <w:rPr>
          <w:rFonts w:ascii="宋体" w:hAnsi="宋体"/>
          <w:b/>
          <w:color w:val="auto"/>
          <w:sz w:val="28"/>
          <w:szCs w:val="28"/>
          <w:highlight w:val="none"/>
        </w:rPr>
        <w:t xml:space="preserve">根据《关于</w:t>
      </w:r>
      <w:r>
        <w:rPr>
          <w:rFonts w:hint="eastAsia" w:ascii="宋体" w:hAnsi="宋体"/>
          <w:b/>
          <w:color w:val="auto"/>
          <w:sz w:val="28"/>
          <w:szCs w:val="28"/>
          <w:highlight w:val="none"/>
        </w:rPr>
        <w:t xml:space="preserve">深入开展南通市政府采购线上合同信用融资业务</w:t>
      </w:r>
      <w:r>
        <w:rPr>
          <w:rFonts w:ascii="宋体" w:hAnsi="宋体"/>
          <w:b/>
          <w:color w:val="auto"/>
          <w:sz w:val="28"/>
          <w:szCs w:val="28"/>
          <w:highlight w:val="none"/>
        </w:rPr>
        <w:t xml:space="preserve">的通知》（通财购〔202</w:t>
      </w:r>
      <w:r>
        <w:rPr>
          <w:rFonts w:hint="eastAsia" w:ascii="宋体" w:hAnsi="宋体"/>
          <w:b/>
          <w:color w:val="auto"/>
          <w:sz w:val="28"/>
          <w:szCs w:val="28"/>
          <w:highlight w:val="none"/>
        </w:rPr>
        <w:t xml:space="preserve">2</w:t>
      </w:r>
      <w:r>
        <w:rPr>
          <w:rFonts w:ascii="宋体" w:hAnsi="宋体"/>
          <w:b/>
          <w:color w:val="auto"/>
          <w:sz w:val="28"/>
          <w:szCs w:val="28"/>
          <w:highlight w:val="none"/>
        </w:rPr>
        <w:t xml:space="preserve">〕</w:t>
      </w:r>
      <w:r>
        <w:rPr>
          <w:rFonts w:hint="eastAsia" w:ascii="宋体" w:hAnsi="宋体"/>
          <w:b/>
          <w:color w:val="auto"/>
          <w:sz w:val="28"/>
          <w:szCs w:val="28"/>
          <w:highlight w:val="none"/>
        </w:rPr>
        <w:t xml:space="preserve">68</w:t>
      </w:r>
      <w:r>
        <w:rPr>
          <w:rFonts w:ascii="宋体" w:hAnsi="宋体"/>
          <w:b/>
          <w:color w:val="auto"/>
          <w:sz w:val="28"/>
          <w:szCs w:val="28"/>
          <w:highlight w:val="none"/>
        </w:rPr>
        <w:t xml:space="preserve">号）</w:t>
      </w:r>
      <w:r>
        <w:rPr>
          <w:rFonts w:hint="eastAsia" w:ascii="宋体" w:hAnsi="宋体"/>
          <w:b/>
          <w:color w:val="auto"/>
          <w:sz w:val="28"/>
          <w:szCs w:val="28"/>
          <w:highlight w:val="none"/>
        </w:rPr>
        <w:t xml:space="preserve">，</w:t>
      </w:r>
      <w:r>
        <w:rPr>
          <w:rFonts w:ascii="宋体" w:hAnsi="宋体"/>
          <w:b/>
          <w:color w:val="auto"/>
          <w:sz w:val="28"/>
          <w:szCs w:val="28"/>
          <w:highlight w:val="none"/>
        </w:rPr>
        <w:t xml:space="preserve">中标</w:t>
      </w:r>
      <w:r>
        <w:rPr>
          <w:rFonts w:hint="eastAsia" w:ascii="宋体" w:hAnsi="宋体"/>
          <w:b/>
          <w:color w:val="auto"/>
          <w:sz w:val="28"/>
          <w:szCs w:val="28"/>
          <w:highlight w:val="none"/>
        </w:rPr>
        <w:t xml:space="preserve">（成交）</w:t>
      </w:r>
      <w:r>
        <w:rPr>
          <w:rFonts w:ascii="宋体" w:hAnsi="宋体"/>
          <w:b/>
          <w:color w:val="auto"/>
          <w:sz w:val="28"/>
          <w:szCs w:val="28"/>
          <w:highlight w:val="none"/>
        </w:rPr>
        <w:t xml:space="preserve">供应商可通过</w:t>
      </w:r>
      <w:r>
        <w:rPr>
          <w:rFonts w:hint="eastAsia" w:ascii="宋体" w:hAnsi="宋体"/>
          <w:b/>
          <w:color w:val="auto"/>
          <w:sz w:val="28"/>
          <w:szCs w:val="28"/>
          <w:highlight w:val="none"/>
        </w:rPr>
        <w:t xml:space="preserve">中征应收账款融资服务平台（简称“中征平台”）</w:t>
      </w:r>
      <w:r>
        <w:rPr>
          <w:rFonts w:ascii="宋体" w:hAnsi="宋体"/>
          <w:b/>
          <w:color w:val="auto"/>
          <w:sz w:val="28"/>
          <w:szCs w:val="28"/>
          <w:highlight w:val="none"/>
        </w:rPr>
        <w:t xml:space="preserve">办理“政采贷”融资贷款</w:t>
      </w:r>
      <w:r>
        <w:rPr>
          <w:rFonts w:hint="eastAsia" w:ascii="宋体" w:hAnsi="宋体"/>
          <w:b/>
          <w:color w:val="auto"/>
          <w:sz w:val="28"/>
          <w:szCs w:val="28"/>
          <w:highlight w:val="none"/>
        </w:rPr>
        <w:t xml:space="preserve">，具体</w:t>
      </w:r>
      <w:r>
        <w:rPr>
          <w:rFonts w:ascii="宋体" w:hAnsi="宋体"/>
          <w:b/>
          <w:color w:val="auto"/>
          <w:sz w:val="28"/>
          <w:szCs w:val="28"/>
          <w:highlight w:val="none"/>
        </w:rPr>
        <w:t xml:space="preserve">业务操作流程如下</w:t>
      </w:r>
      <w:r>
        <w:rPr>
          <w:rFonts w:hint="eastAsia" w:ascii="宋体" w:hAnsi="宋体"/>
          <w:b/>
          <w:color w:val="auto"/>
          <w:sz w:val="28"/>
          <w:szCs w:val="28"/>
          <w:highlight w:val="none"/>
        </w:rPr>
        <w:t xml:space="preserve">： </w:t>
      </w:r>
      <w:r>
        <w:rPr>
          <w:rFonts w:hint="eastAsia" w:ascii="宋体" w:hAnsi="宋体"/>
          <w:b/>
          <w:color w:val="auto"/>
          <w:sz w:val="28"/>
          <w:szCs w:val="28"/>
          <w:highlight w:val="none"/>
        </w:rPr>
      </w:r>
      <w:r>
        <w:rPr>
          <w:color w:val="auto"/>
          <w:highlight w:val="none"/>
        </w:rPr>
      </w:r>
    </w:p>
    <w:p>
      <w:pPr>
        <w:pStyle w:val="863"/>
        <w:ind w:firstLine="422"/>
        <w:rPr>
          <w:rFonts w:hint="eastAsia" w:ascii="宋体" w:hAnsi="宋体"/>
          <w:b/>
          <w:color w:val="auto"/>
          <w:sz w:val="28"/>
          <w:szCs w:val="28"/>
          <w:highlight w:val="none"/>
        </w:rPr>
      </w:pPr>
      <w:r>
        <w:rPr>
          <w:rFonts w:hint="eastAsia" w:ascii="宋体" w:hAnsi="宋体"/>
          <w:b/>
          <w:color w:val="auto"/>
          <w:sz w:val="28"/>
          <w:szCs w:val="28"/>
          <w:highlight w:val="none"/>
        </w:rPr>
        <w:t xml:space="preserve">3.3.1确定融资意向。中标(成交)供应商取得中标 (成交 ) 通知书后，联系意向金融机构，商治融资事项，确定融资意向。</w:t>
      </w:r>
      <w:r>
        <w:rPr>
          <w:rFonts w:hint="eastAsia" w:ascii="宋体" w:hAnsi="宋体"/>
          <w:b/>
          <w:color w:val="auto"/>
          <w:sz w:val="28"/>
          <w:szCs w:val="28"/>
          <w:highlight w:val="none"/>
        </w:rPr>
      </w:r>
      <w:r>
        <w:rPr>
          <w:color w:val="auto"/>
          <w:highlight w:val="none"/>
        </w:rPr>
      </w:r>
    </w:p>
    <w:p>
      <w:pPr>
        <w:pStyle w:val="863"/>
        <w:ind w:firstLine="422"/>
        <w:rPr>
          <w:rFonts w:hint="eastAsia" w:ascii="宋体" w:hAnsi="宋体"/>
          <w:b/>
          <w:color w:val="auto"/>
          <w:sz w:val="28"/>
          <w:szCs w:val="28"/>
          <w:highlight w:val="none"/>
        </w:rPr>
      </w:pPr>
      <w:r>
        <w:rPr>
          <w:rFonts w:hint="eastAsia" w:ascii="宋体" w:hAnsi="宋体"/>
          <w:b/>
          <w:color w:val="auto"/>
          <w:sz w:val="28"/>
          <w:szCs w:val="28"/>
          <w:highlight w:val="none"/>
        </w:rPr>
        <w:t xml:space="preserve">3.3.2签订采购合同。中标(成交 )供应商与采购人签订政府采购合同时，应将自身融资需求告知采购人或其委托的采购代理机构，提醒 (或协助 ) 其当天在“苏采云”上传合同的同时将“供应商是否融资”选为“是”</w:t>
      </w:r>
      <w:r>
        <w:rPr>
          <w:rFonts w:hint="eastAsia" w:ascii="宋体" w:hAnsi="宋体"/>
          <w:b/>
          <w:color w:val="auto"/>
          <w:sz w:val="28"/>
          <w:szCs w:val="28"/>
          <w:highlight w:val="none"/>
        </w:rPr>
      </w:r>
      <w:r>
        <w:rPr>
          <w:color w:val="auto"/>
          <w:highlight w:val="none"/>
        </w:rPr>
      </w:r>
    </w:p>
    <w:p>
      <w:pPr>
        <w:pStyle w:val="863"/>
        <w:ind w:firstLine="422"/>
        <w:rPr>
          <w:rFonts w:hint="eastAsia" w:ascii="宋体" w:hAnsi="宋体"/>
          <w:b/>
          <w:color w:val="auto"/>
          <w:sz w:val="28"/>
          <w:szCs w:val="28"/>
          <w:highlight w:val="none"/>
        </w:rPr>
      </w:pPr>
      <w:r>
        <w:rPr>
          <w:rFonts w:hint="eastAsia" w:ascii="宋体" w:hAnsi="宋体"/>
          <w:b/>
          <w:color w:val="auto"/>
          <w:sz w:val="28"/>
          <w:szCs w:val="28"/>
          <w:highlight w:val="none"/>
        </w:rPr>
        <w:t xml:space="preserve">3.3.3提交融资申请。中标(成交) 供应商登录“中征平台”进行用户注册，查看“政采贷”融资产品，向确定合作的金融机构提交融资申请。</w:t>
      </w:r>
      <w:r>
        <w:rPr>
          <w:rFonts w:hint="eastAsia" w:ascii="宋体" w:hAnsi="宋体"/>
          <w:b/>
          <w:color w:val="auto"/>
          <w:sz w:val="28"/>
          <w:szCs w:val="28"/>
          <w:highlight w:val="none"/>
        </w:rPr>
      </w:r>
      <w:r>
        <w:rPr>
          <w:color w:val="auto"/>
          <w:highlight w:val="none"/>
        </w:rPr>
      </w:r>
    </w:p>
    <w:p>
      <w:pPr>
        <w:pStyle w:val="863"/>
        <w:ind w:firstLine="422"/>
        <w:rPr>
          <w:rFonts w:hint="eastAsia" w:ascii="宋体" w:hAnsi="宋体" w:cs="宋体"/>
          <w:color w:val="auto"/>
          <w:highlight w:val="none"/>
        </w:rPr>
      </w:pPr>
      <w:r>
        <w:rPr>
          <w:rFonts w:hint="eastAsia" w:ascii="宋体" w:hAnsi="宋体"/>
          <w:b/>
          <w:color w:val="auto"/>
          <w:sz w:val="28"/>
          <w:szCs w:val="28"/>
          <w:highlight w:val="none"/>
        </w:rPr>
        <w:t xml:space="preserve">3.3.4确认回款账户。金融机构填写需要锁定的回款账户信息后中标(成交)供应商应登录“中征平台”确认账户信息，以实现回款账户的锁定。</w:t>
      </w:r>
      <w:r>
        <w:rPr>
          <w:rFonts w:hint="eastAsia" w:ascii="宋体" w:hAnsi="宋体" w:cs="宋体"/>
          <w:color w:val="auto"/>
          <w:highlight w:val="none"/>
        </w:rPr>
      </w:r>
      <w:r>
        <w:rPr>
          <w:color w:val="auto"/>
          <w:highlight w:val="none"/>
        </w:rPr>
      </w:r>
    </w:p>
    <w:p>
      <w:pPr>
        <w:pStyle w:val="863"/>
        <w:spacing w:line="500" w:lineRule="exact"/>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863"/>
        <w:spacing w:line="500" w:lineRule="exact"/>
        <w:rPr>
          <w:rFonts w:ascii="宋体" w:hAnsi="宋体" w:cs="宋体"/>
          <w:color w:val="auto"/>
          <w:highlight w:val="none"/>
        </w:rPr>
      </w:pPr>
      <w:r>
        <w:rPr>
          <w:rFonts w:ascii="宋体" w:hAnsi="宋体" w:cs="宋体"/>
          <w:color w:val="auto"/>
          <w:highlight w:val="none"/>
        </w:rPr>
      </w:r>
      <w:r>
        <w:rPr>
          <w:color w:val="auto"/>
          <w:highlight w:val="none"/>
        </w:rPr>
      </w:r>
    </w:p>
    <w:p>
      <w:pPr>
        <w:pStyle w:val="875"/>
        <w:rPr>
          <w:color w:val="auto"/>
          <w:highlight w:val="none"/>
        </w:rPr>
      </w:pPr>
      <w:r>
        <w:rPr>
          <w:color w:val="auto"/>
          <w:highlight w:val="none"/>
        </w:rPr>
      </w:r>
      <w:r>
        <w:rPr>
          <w:color w:val="auto"/>
          <w:highlight w:val="none"/>
        </w:rPr>
      </w:r>
    </w:p>
    <w:p>
      <w:pPr>
        <w:pStyle w:val="877"/>
        <w:rPr>
          <w:color w:val="auto"/>
          <w:highlight w:val="none"/>
        </w:rPr>
      </w:pPr>
      <w:r>
        <w:rPr>
          <w:color w:val="auto"/>
          <w:highlight w:val="none"/>
        </w:rPr>
      </w:r>
      <w:r>
        <w:rPr>
          <w:color w:val="auto"/>
          <w:highlight w:val="none"/>
        </w:rPr>
      </w:r>
    </w:p>
    <w:p>
      <w:pPr>
        <w:pStyle w:val="878"/>
        <w:rPr>
          <w:color w:val="auto"/>
          <w:highlight w:val="none"/>
        </w:rPr>
      </w:pPr>
      <w:r>
        <w:rPr>
          <w:color w:val="auto"/>
          <w:highlight w:val="none"/>
        </w:rPr>
      </w:r>
      <w:r>
        <w:rPr>
          <w:color w:val="auto"/>
          <w:highlight w:val="none"/>
        </w:rPr>
      </w:r>
    </w:p>
    <w:p>
      <w:pPr>
        <w:pStyle w:val="863"/>
        <w:rPr>
          <w:rFonts w:hint="eastAsia"/>
          <w:color w:val="auto"/>
          <w:highlight w:val="none"/>
        </w:rPr>
      </w:pPr>
      <w:r>
        <w:rPr>
          <w:rFonts w:hint="eastAsia"/>
          <w:color w:val="auto"/>
          <w:highlight w:val="none"/>
        </w:rPr>
      </w:r>
      <w:r>
        <w:rPr>
          <w:color w:val="auto"/>
          <w:highlight w:val="none"/>
        </w:rPr>
      </w:r>
    </w:p>
    <w:p>
      <w:pPr>
        <w:pStyle w:val="863"/>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第三部分  项目需求</w:t>
      </w:r>
      <w:r>
        <w:rPr>
          <w:rFonts w:hint="eastAsia" w:ascii="宋体" w:hAnsi="宋体" w:cs="宋体"/>
          <w:b/>
          <w:color w:val="auto"/>
          <w:sz w:val="36"/>
          <w:szCs w:val="36"/>
          <w:highlight w:val="none"/>
        </w:rPr>
      </w:r>
      <w:r>
        <w:rPr>
          <w:color w:val="auto"/>
          <w:highlight w:val="none"/>
        </w:rPr>
      </w:r>
    </w:p>
    <w:p>
      <w:pPr>
        <w:pStyle w:val="863"/>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b/>
          <w:bCs/>
          <w:color w:val="auto"/>
          <w:sz w:val="28"/>
          <w:szCs w:val="28"/>
          <w:highlight w:val="none"/>
        </w:rPr>
      </w:r>
      <w:r>
        <w:rPr>
          <w:color w:val="auto"/>
          <w:highlight w:val="none"/>
        </w:rPr>
      </w:r>
    </w:p>
    <w:p>
      <w:pPr>
        <w:pStyle w:val="863"/>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ascii="宋体" w:hAnsi="宋体" w:cs="宋体"/>
          <w:b/>
          <w:bCs/>
          <w:color w:val="auto"/>
          <w:sz w:val="28"/>
          <w:szCs w:val="28"/>
          <w:highlight w:val="none"/>
        </w:rPr>
      </w:r>
      <w:r>
        <w:rPr>
          <w:color w:val="auto"/>
          <w:highlight w:val="none"/>
        </w:rPr>
      </w:r>
    </w:p>
    <w:p>
      <w:pPr>
        <w:pStyle w:val="863"/>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一、项目概况：</w:t>
      </w:r>
      <w:r>
        <w:rPr>
          <w:rFonts w:ascii="宋体" w:hAnsi="宋体" w:cs="宋体"/>
          <w:b/>
          <w:bCs/>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1、项目概况</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为推动国家综合改革试点试验项目高效落地，强化项目产业引领及示范带动作用，拟在南通市海门区常乐镇</w:t>
      </w:r>
      <w:r>
        <w:rPr>
          <w:rFonts w:hint="eastAsia" w:ascii="宋体" w:hAnsi="宋体" w:cs="宋体"/>
          <w:color w:val="auto"/>
          <w:sz w:val="28"/>
          <w:szCs w:val="28"/>
          <w:highlight w:val="none"/>
          <w:lang w:val="zh-CN"/>
        </w:rPr>
        <w:t xml:space="preserve">颐生村颐生酿造厂西侧，核心区域占地面积约89亩，建设常乐镇农业科技产业园核心区一期智能温室设备采购、安装及配套项目。项目建设以海门区农村综合改革试点试验项目为抓手，以产业融合研发及展示项目、绿色循环生态农业示范项目、“智慧乡村”数字化项目三个子项目为主要建设内容，以温室工场领衔，融合数字设施农业、现代都市农业、绿色循环农业等发展要素，聚焦科技农业示范带动及现代农业融合创新，结合人才创新基地，通过探索都市农业创新业态，推动农业与健康生活、科普研学、互动商业、休闲旅游等深度融合，推动海门国家乡村振兴示范区建设。</w:t>
      </w:r>
      <w:r>
        <w:rPr>
          <w:rFonts w:ascii="宋体" w:hAnsi="宋体" w:cs="宋体"/>
          <w:color w:val="auto"/>
          <w:sz w:val="28"/>
          <w:szCs w:val="28"/>
          <w:highlight w:val="none"/>
          <w:lang w:val="zh-CN"/>
        </w:rPr>
      </w:r>
      <w:r>
        <w:rPr>
          <w:color w:val="auto"/>
          <w:highlight w:val="none"/>
        </w:rPr>
      </w:r>
    </w:p>
    <w:p>
      <w:pPr>
        <w:pStyle w:val="863"/>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二、项目商务要求：</w:t>
      </w:r>
      <w:r>
        <w:rPr>
          <w:rFonts w:ascii="宋体" w:hAnsi="宋体" w:cs="宋体"/>
          <w:b/>
          <w:bCs/>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1.</w:t>
      </w:r>
      <w:r>
        <w:rPr>
          <w:rFonts w:hint="eastAsia" w:ascii="宋体" w:hAnsi="宋体" w:cs="宋体"/>
          <w:color w:val="auto"/>
          <w:sz w:val="28"/>
          <w:szCs w:val="28"/>
          <w:highlight w:val="none"/>
        </w:rPr>
        <w:t xml:space="preserve">合同履约期限：</w:t>
      </w:r>
      <w:r>
        <w:rPr>
          <w:rFonts w:hint="eastAsia" w:ascii="宋体" w:hAnsi="宋体" w:cs="宋体"/>
          <w:color w:val="auto"/>
          <w:sz w:val="28"/>
          <w:szCs w:val="28"/>
          <w:highlight w:val="none"/>
        </w:rPr>
        <w:t xml:space="preserve">合同签订后2</w:t>
      </w:r>
      <w:r>
        <w:rPr>
          <w:rFonts w:ascii="宋体" w:hAnsi="宋体" w:cs="宋体"/>
          <w:color w:val="auto"/>
          <w:sz w:val="28"/>
          <w:szCs w:val="28"/>
          <w:highlight w:val="none"/>
        </w:rPr>
        <w:t xml:space="preserve">4</w:t>
      </w:r>
      <w:r>
        <w:rPr>
          <w:rFonts w:hint="eastAsia" w:ascii="宋体" w:hAnsi="宋体" w:cs="宋体"/>
          <w:color w:val="auto"/>
          <w:sz w:val="28"/>
          <w:szCs w:val="28"/>
          <w:highlight w:val="none"/>
        </w:rPr>
        <w:t xml:space="preserve">0日历天内完成设备供货、安装、调试及配套项目等相关内容并验收合格；并负责本项目2025年1月1日-2028年12月31日期间的正常运营；</w:t>
      </w:r>
      <w:r>
        <w:rPr>
          <w:rFonts w:hint="eastAsia" w:ascii="宋体" w:hAnsi="宋体" w:cs="宋体"/>
          <w:color w:val="auto"/>
          <w:sz w:val="28"/>
          <w:szCs w:val="28"/>
          <w:highlight w:val="none"/>
        </w:rPr>
        <w:t xml:space="preserve">供货及安装地点：南通市海门区常乐镇；</w:t>
      </w:r>
      <w:r>
        <w:rPr>
          <w:rFonts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包装和运输：所有包装应便于运输、搬运、储存、配送、方便取用，外包装箱可视运输情况（如火车、汽车、飞机及轮船等具体条件）来制作合乎防震、防水、防潮等要求的包装结构，并且应加上必需有的运输安全标志。搬运电子元器件时，要注意防止撞击和跌落。</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3.售后服务条款：</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w:t>
      </w:r>
      <w:r>
        <w:rPr>
          <w:rFonts w:hint="eastAsia" w:ascii="宋体" w:hAnsi="宋体" w:cs="宋体"/>
          <w:color w:val="auto"/>
          <w:spacing w:val="-3"/>
          <w:sz w:val="28"/>
          <w:szCs w:val="28"/>
          <w:highlight w:val="none"/>
        </w:rPr>
        <w:t xml:space="preserve">所有</w:t>
      </w:r>
      <w:r>
        <w:rPr>
          <w:rFonts w:hint="eastAsia" w:cs="宋体"/>
          <w:color w:val="auto"/>
          <w:spacing w:val="-3"/>
          <w:sz w:val="28"/>
          <w:szCs w:val="28"/>
          <w:highlight w:val="none"/>
        </w:rPr>
        <w:t xml:space="preserve">软件系统及硬件</w:t>
      </w:r>
      <w:r>
        <w:rPr>
          <w:rFonts w:hint="eastAsia" w:ascii="宋体" w:hAnsi="宋体" w:cs="宋体"/>
          <w:color w:val="auto"/>
          <w:spacing w:val="-3"/>
          <w:sz w:val="28"/>
          <w:szCs w:val="28"/>
          <w:highlight w:val="none"/>
        </w:rPr>
        <w:t xml:space="preserve">设备由中标供应商免费安装调试；</w:t>
      </w:r>
      <w:r>
        <w:rPr>
          <w:rFonts w:hint="eastAsia" w:ascii="宋体" w:hAnsi="宋体" w:cs="宋体"/>
          <w:color w:val="auto"/>
          <w:sz w:val="28"/>
          <w:szCs w:val="28"/>
          <w:highlight w:val="none"/>
        </w:rPr>
        <w:t xml:space="preserve">通过采购人组织的验收后，</w:t>
      </w:r>
      <w:r>
        <w:rPr>
          <w:rFonts w:hint="eastAsia" w:ascii="宋体" w:hAnsi="宋体" w:cs="宋体"/>
          <w:color w:val="auto"/>
          <w:spacing w:val="-3"/>
          <w:sz w:val="28"/>
          <w:szCs w:val="28"/>
          <w:highlight w:val="none"/>
        </w:rPr>
        <w:t xml:space="preserve">免费对使用人员进行培训、技术指导，并有培训计划、培训方式等；项目质保期内免费对</w:t>
      </w:r>
      <w:r>
        <w:rPr>
          <w:rFonts w:hint="eastAsia" w:cs="宋体"/>
          <w:color w:val="auto"/>
          <w:spacing w:val="-3"/>
          <w:sz w:val="28"/>
          <w:szCs w:val="28"/>
          <w:highlight w:val="none"/>
        </w:rPr>
        <w:t xml:space="preserve">软件系统及硬件</w:t>
      </w:r>
      <w:r>
        <w:rPr>
          <w:rFonts w:hint="eastAsia" w:ascii="宋体" w:hAnsi="宋体" w:cs="宋体"/>
          <w:color w:val="auto"/>
          <w:spacing w:val="-3"/>
          <w:sz w:val="28"/>
          <w:szCs w:val="28"/>
          <w:highlight w:val="none"/>
        </w:rPr>
        <w:t xml:space="preserve">设备进行定期维护，并注明维护范围和间隔时长；超出项目质保期后，中标供应商应以优惠价格向采购人提供相关服务及设备配件。</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3.2中标供应商应提供售后服务负责人姓名、职务、详细地址及售后服务电话等，在项目质保期内免费提供售后服务；</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3.3</w:t>
      </w:r>
      <w:r>
        <w:rPr>
          <w:color w:val="auto"/>
          <w:spacing w:val="10"/>
          <w:sz w:val="28"/>
          <w:szCs w:val="28"/>
          <w:highlight w:val="none"/>
        </w:rPr>
        <w:t xml:space="preserve">维修响应速度：</w:t>
      </w:r>
      <w:r>
        <w:rPr>
          <w:rFonts w:hint="eastAsia" w:ascii="宋体" w:hAnsi="宋体" w:cs="宋体"/>
          <w:color w:val="auto"/>
          <w:sz w:val="28"/>
          <w:szCs w:val="28"/>
          <w:highlight w:val="none"/>
        </w:rPr>
        <w:t xml:space="preserve">应做到2小时响应，</w:t>
      </w:r>
      <w:r>
        <w:rPr>
          <w:rFonts w:hint="eastAsia" w:ascii="宋体" w:hAnsi="宋体" w:cs="宋体"/>
          <w:color w:val="auto"/>
          <w:spacing w:val="-3"/>
          <w:sz w:val="28"/>
          <w:szCs w:val="28"/>
          <w:highlight w:val="none"/>
        </w:rPr>
        <w:t xml:space="preserve">如有需要，</w:t>
      </w:r>
      <w:r>
        <w:rPr>
          <w:rFonts w:hint="eastAsia" w:ascii="宋体" w:hAnsi="宋体" w:cs="宋体"/>
          <w:color w:val="auto"/>
          <w:sz w:val="28"/>
          <w:szCs w:val="28"/>
          <w:highlight w:val="none"/>
        </w:rPr>
        <w:t xml:space="preserve">24小时内派人赶到采购方现场，帮助排除故障；</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3.4质保期：</w:t>
      </w:r>
      <w:r>
        <w:rPr>
          <w:rFonts w:ascii="宋体" w:hAnsi="宋体" w:cs="宋体"/>
          <w:color w:val="auto"/>
          <w:sz w:val="28"/>
          <w:szCs w:val="28"/>
          <w:highlight w:val="none"/>
        </w:rPr>
        <w:t xml:space="preserve">1</w:t>
      </w:r>
      <w:r>
        <w:rPr>
          <w:rFonts w:hint="eastAsia" w:ascii="宋体" w:hAnsi="宋体" w:cs="宋体"/>
          <w:color w:val="auto"/>
          <w:sz w:val="28"/>
          <w:szCs w:val="28"/>
          <w:highlight w:val="none"/>
        </w:rPr>
        <w:t xml:space="preserve">年；</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4.供应商应当在合同约定的时间内完成本项目所有工作，并能通过采购人组织的验收，达到交付条件。</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5.投标供应商应当具备与本项目相适应的履约能力，</w:t>
      </w:r>
      <w:r>
        <w:rPr>
          <w:rStyle w:val="1018"/>
          <w:rFonts w:hint="eastAsia" w:ascii="宋体" w:hAnsi="宋体" w:cs="宋体"/>
          <w:color w:val="auto"/>
          <w:sz w:val="28"/>
          <w:szCs w:val="28"/>
          <w:highlight w:val="none"/>
        </w:rPr>
        <w:t xml:space="preserve">投标主要产品应具备安全性、具备扩展能力、易操作、易维护，中标方应</w:t>
      </w:r>
      <w:r>
        <w:rPr>
          <w:rFonts w:hint="eastAsia" w:ascii="宋体" w:hAnsi="宋体" w:cs="宋体"/>
          <w:color w:val="auto"/>
          <w:sz w:val="28"/>
          <w:szCs w:val="28"/>
          <w:highlight w:val="none"/>
        </w:rPr>
        <w:t xml:space="preserve">严格按照国家、行业、采购人的要求开展相关工作。</w:t>
      </w:r>
      <w:r>
        <w:rPr>
          <w:rFonts w:ascii="宋体" w:hAnsi="宋体" w:cs="宋体"/>
          <w:color w:val="auto"/>
          <w:sz w:val="28"/>
          <w:szCs w:val="28"/>
          <w:highlight w:val="none"/>
        </w:rPr>
      </w:r>
      <w:r>
        <w:rPr>
          <w:color w:val="auto"/>
          <w:highlight w:val="none"/>
        </w:rPr>
      </w:r>
    </w:p>
    <w:p>
      <w:pPr>
        <w:pStyle w:val="863"/>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项目运营：中标供应商应负责本项目2025年1月1日-2028年12月31日期间的项目正常运营，包括农业生产、科普教育、人才培训及设施设备的维护管理，并定期协调相关专家团队为本地培养人才和孵化团队。负责运营阶段为采购人争取各级政府项目资金及其他相关优惠经济、行政和技术政策及财政补贴。</w:t>
      </w:r>
      <w:r>
        <w:rPr>
          <w:rFonts w:ascii="宋体" w:hAnsi="宋体" w:cs="宋体"/>
          <w:color w:val="auto"/>
          <w:sz w:val="28"/>
          <w:szCs w:val="28"/>
          <w:highlight w:val="none"/>
        </w:rPr>
      </w:r>
      <w:r>
        <w:rPr>
          <w:color w:val="auto"/>
          <w:highlight w:val="none"/>
        </w:rPr>
      </w:r>
    </w:p>
    <w:p>
      <w:pPr>
        <w:pStyle w:val="875"/>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具体要求包括：</w:t>
      </w:r>
      <w:r>
        <w:rPr>
          <w:rFonts w:hint="eastAsia" w:ascii="宋体" w:hAnsi="宋体" w:eastAsia="宋体" w:cs="宋体"/>
          <w:color w:val="auto"/>
          <w:sz w:val="28"/>
          <w:szCs w:val="28"/>
          <w:highlight w:val="none"/>
        </w:rPr>
      </w:r>
      <w:r>
        <w:rPr>
          <w:color w:val="auto"/>
          <w:highlight w:val="none"/>
        </w:rPr>
      </w:r>
    </w:p>
    <w:p>
      <w:pPr>
        <w:pStyle w:val="875"/>
        <w:ind w:firstLine="560"/>
        <w:spacing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 xml:space="preserve">6.1</w:t>
      </w:r>
      <w:r>
        <w:rPr>
          <w:rFonts w:hint="eastAsia" w:ascii="宋体" w:hAnsi="宋体" w:eastAsia="宋体" w:cs="宋体"/>
          <w:color w:val="auto"/>
          <w:sz w:val="28"/>
          <w:szCs w:val="28"/>
          <w:highlight w:val="none"/>
        </w:rPr>
        <w:t xml:space="preserve">农业生产：派驻具有10年以上温室果蔬生产管理经验的生产经理保证农业生产，达到年度产量要求；</w:t>
      </w:r>
      <w:r>
        <w:rPr>
          <w:rFonts w:hint="eastAsia" w:ascii="宋体" w:hAnsi="宋体" w:eastAsia="宋体" w:cs="宋体"/>
          <w:color w:val="auto"/>
          <w:sz w:val="28"/>
          <w:szCs w:val="28"/>
          <w:highlight w:val="none"/>
        </w:rPr>
      </w:r>
      <w:r>
        <w:rPr>
          <w:color w:val="auto"/>
          <w:highlight w:val="none"/>
        </w:rPr>
      </w:r>
    </w:p>
    <w:p>
      <w:pPr>
        <w:pStyle w:val="875"/>
        <w:ind w:firstLine="560"/>
        <w:spacing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 xml:space="preserve">6.2</w:t>
      </w:r>
      <w:r>
        <w:rPr>
          <w:rFonts w:hint="eastAsia" w:ascii="宋体" w:hAnsi="宋体" w:eastAsia="宋体" w:cs="宋体"/>
          <w:color w:val="auto"/>
          <w:sz w:val="28"/>
          <w:szCs w:val="28"/>
          <w:highlight w:val="none"/>
        </w:rPr>
        <w:t xml:space="preserve">科普教育：设计采购方认可的科普活动项目3项及以上，包括中学生、小学生团体活动及亲子活动的方案、任务单与教具。</w:t>
      </w:r>
      <w:r>
        <w:rPr>
          <w:rFonts w:hint="eastAsia" w:ascii="宋体" w:hAnsi="宋体" w:eastAsia="宋体" w:cs="宋体"/>
          <w:color w:val="auto"/>
          <w:sz w:val="28"/>
          <w:szCs w:val="28"/>
          <w:highlight w:val="none"/>
        </w:rPr>
      </w:r>
      <w:r>
        <w:rPr>
          <w:color w:val="auto"/>
          <w:highlight w:val="none"/>
        </w:rPr>
      </w:r>
    </w:p>
    <w:p>
      <w:pPr>
        <w:pStyle w:val="875"/>
        <w:ind w:firstLine="560"/>
        <w:spacing w:line="360" w:lineRule="auto"/>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 xml:space="preserve">6.3</w:t>
      </w:r>
      <w:r>
        <w:rPr>
          <w:rFonts w:hint="eastAsia" w:ascii="宋体" w:hAnsi="宋体" w:eastAsia="宋体" w:cs="宋体"/>
          <w:color w:val="auto"/>
          <w:sz w:val="28"/>
          <w:szCs w:val="28"/>
          <w:highlight w:val="none"/>
        </w:rPr>
        <w:t xml:space="preserve">人才培训：协调科研单位为本地培养人才和孵化团队，其中国家级科研单位专家线下交流培训活动不低于4次/年。</w:t>
      </w:r>
      <w:r>
        <w:rPr>
          <w:rFonts w:hint="eastAsia" w:ascii="宋体" w:hAnsi="宋体" w:eastAsia="宋体" w:cs="宋体"/>
          <w:color w:val="auto"/>
          <w:sz w:val="28"/>
          <w:szCs w:val="28"/>
          <w:highlight w:val="none"/>
        </w:rPr>
      </w:r>
      <w:r>
        <w:rPr>
          <w:color w:val="auto"/>
          <w:highlight w:val="none"/>
        </w:rPr>
      </w:r>
    </w:p>
    <w:p>
      <w:pPr>
        <w:pStyle w:val="875"/>
        <w:ind w:firstLine="560"/>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t xml:space="preserve">6.4</w:t>
      </w:r>
      <w:r>
        <w:rPr>
          <w:rFonts w:hint="eastAsia" w:ascii="宋体" w:hAnsi="宋体" w:eastAsia="宋体" w:cs="宋体"/>
          <w:color w:val="auto"/>
          <w:sz w:val="28"/>
          <w:szCs w:val="28"/>
          <w:highlight w:val="none"/>
        </w:rPr>
        <w:t xml:space="preserve">设备维护：质保期外、运营期限内主动巡检4次/年，及时消除设备故障隐患，协调解决问题，运营期限内设备的维修保养等。</w:t>
      </w:r>
      <w:r>
        <w:rPr>
          <w:rFonts w:ascii="宋体" w:hAnsi="宋体" w:eastAsia="宋体" w:cs="宋体"/>
          <w:color w:val="auto"/>
          <w:sz w:val="28"/>
          <w:szCs w:val="28"/>
          <w:highlight w:val="none"/>
        </w:rPr>
      </w:r>
      <w:r>
        <w:rPr>
          <w:color w:val="auto"/>
          <w:highlight w:val="none"/>
        </w:rPr>
      </w:r>
    </w:p>
    <w:p>
      <w:pPr>
        <w:pStyle w:val="877"/>
        <w:rPr>
          <w:rFonts w:hint="eastAsia" w:hAnsi="宋体" w:cs="宋体"/>
          <w:color w:val="auto"/>
          <w:sz w:val="28"/>
          <w:szCs w:val="28"/>
          <w:highlight w:val="none"/>
        </w:rPr>
      </w:pPr>
      <w:r>
        <w:rPr>
          <w:rFonts w:hint="eastAsia" w:hAnsi="宋体" w:cs="宋体"/>
          <w:color w:val="auto"/>
          <w:sz w:val="28"/>
          <w:szCs w:val="28"/>
          <w:highlight w:val="none"/>
        </w:rPr>
        <w:t xml:space="preserve">注：上述项目运营期产生的运营费（包含设备的维修保养费等）含在投标报价中，由供应商自行考虑，采购人不再另行支付。</w:t>
      </w:r>
      <w:r>
        <w:rPr>
          <w:rFonts w:hint="eastAsia" w:hAnsi="宋体" w:cs="宋体"/>
          <w:color w:val="auto"/>
          <w:sz w:val="28"/>
          <w:szCs w:val="28"/>
          <w:highlight w:val="none"/>
        </w:rPr>
      </w:r>
      <w:r>
        <w:rPr>
          <w:color w:val="auto"/>
          <w:highlight w:val="none"/>
        </w:rPr>
      </w:r>
    </w:p>
    <w:p>
      <w:pPr>
        <w:pStyle w:val="863"/>
        <w:spacing w:line="500" w:lineRule="exact"/>
        <w:rPr>
          <w:rFonts w:ascii="宋体" w:hAnsi="宋体" w:cs="宋体"/>
          <w:color w:val="auto"/>
          <w:sz w:val="28"/>
          <w:szCs w:val="28"/>
          <w:highlight w:val="none"/>
        </w:rPr>
      </w:pPr>
      <w:r>
        <w:rPr>
          <w:rFonts w:hint="eastAsia" w:ascii="宋体" w:hAnsi="宋体" w:cs="宋体"/>
          <w:b/>
          <w:bCs/>
          <w:color w:val="auto"/>
          <w:sz w:val="28"/>
          <w:szCs w:val="28"/>
          <w:highlight w:val="none"/>
        </w:rPr>
        <w:t xml:space="preserve">三、项目技术要求：</w:t>
      </w:r>
      <w:bookmarkStart w:id="112" w:name="_Toc28312"/>
      <w:r>
        <w:rPr>
          <w:color w:val="auto"/>
          <w:highlight w:val="none"/>
        </w:rPr>
      </w:r>
      <w:bookmarkStart w:id="113" w:name="_Toc7931"/>
      <w:r>
        <w:rPr>
          <w:color w:val="auto"/>
          <w:highlight w:val="none"/>
        </w:rPr>
      </w:r>
      <w:bookmarkStart w:id="114" w:name="_Toc11732"/>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1.本项目质量要求：满足招标文件要求，且达到国家、行业及地方现行有关质量验收标准的要求合格；</w:t>
      </w:r>
      <w:r>
        <w:rPr>
          <w:rFonts w:ascii="宋体" w:hAnsi="宋体" w:cs="宋体"/>
          <w:color w:val="auto"/>
          <w:sz w:val="28"/>
          <w:szCs w:val="28"/>
          <w:highlight w:val="none"/>
        </w:rPr>
      </w:r>
      <w:r>
        <w:rPr>
          <w:color w:val="auto"/>
          <w:highlight w:val="none"/>
        </w:rPr>
      </w:r>
    </w:p>
    <w:p>
      <w:pPr>
        <w:pStyle w:val="863"/>
        <w:ind w:firstLine="560"/>
        <w:spacing w:line="500" w:lineRule="exact"/>
        <w:tabs>
          <w:tab w:val="left" w:pos="78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配套DFT营养液池栽培技术，每平米定植25棵，实现360万株/公顷的年产量。保证国际化水准、无短板、国内领先。</w:t>
      </w:r>
      <w:r>
        <w:rPr>
          <w:rFonts w:ascii="宋体" w:hAnsi="宋体" w:cs="宋体"/>
          <w:color w:val="auto"/>
          <w:sz w:val="28"/>
          <w:szCs w:val="28"/>
          <w:highlight w:val="none"/>
        </w:rPr>
      </w:r>
      <w:r>
        <w:rPr>
          <w:color w:val="auto"/>
          <w:highlight w:val="none"/>
        </w:rPr>
      </w:r>
    </w:p>
    <w:p>
      <w:pPr>
        <w:pStyle w:val="863"/>
        <w:ind w:firstLine="560"/>
        <w:spacing w:line="500" w:lineRule="exact"/>
        <w:tabs>
          <w:tab w:val="left" w:pos="786" w:leader="none"/>
        </w:tabs>
        <w:rPr>
          <w:rFonts w:ascii="宋体" w:hAnsi="宋体" w:cs="宋体"/>
          <w:color w:val="auto"/>
          <w:sz w:val="28"/>
          <w:szCs w:val="28"/>
          <w:highlight w:val="none"/>
        </w:rPr>
      </w:pP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水肥一体化、滴箭精准灌溉，省水40%，采用国际领先的立体栽培技术，自动灌溉，</w:t>
      </w:r>
      <w:r>
        <w:rPr>
          <w:rFonts w:hint="eastAsia" w:ascii="宋体" w:hAnsi="宋体" w:cs="宋体"/>
          <w:color w:val="auto"/>
          <w:sz w:val="28"/>
          <w:szCs w:val="28"/>
          <w:highlight w:val="none"/>
          <w:lang w:val="zh-CN"/>
        </w:rPr>
        <w:t xml:space="preserve">从植物生长各个阶段需求出发，对植物生长环境内的温度、湿度、光照、空气组成、基质的含水量、排水量、蒸发率、生长状况和生长阶段等主要数据指标进行监测和数据收集，并上传至中央控制主机进行分析存储。掌握这些关键数据信息，有的放矢的安排自动化灌溉计划，恰到好处地满足作物的需求。同时对灌溉回液收集处理，循环利用，节约水资源，提高产量，做到经济效益最大化。水肥一体化系统主要功能包括：灌溉分区控制、灌溉水罐自动补液、精准灌溉施肥设计与实施、回水消毒处理二次利用。</w:t>
      </w:r>
      <w:r>
        <w:rPr>
          <w:rFonts w:hint="eastAsia" w:ascii="宋体" w:hAnsi="宋体" w:cs="宋体"/>
          <w:color w:val="auto"/>
          <w:sz w:val="28"/>
          <w:szCs w:val="28"/>
          <w:highlight w:val="none"/>
        </w:rPr>
        <w:t xml:space="preserve">真正代表了未来农业无害化发展的需要，是解决“吃的好”问题的最佳方案。</w:t>
      </w:r>
      <w:r>
        <w:rPr>
          <w:rFonts w:ascii="宋体" w:hAnsi="宋体" w:cs="宋体"/>
          <w:color w:val="auto"/>
          <w:sz w:val="28"/>
          <w:szCs w:val="28"/>
          <w:highlight w:val="none"/>
        </w:rPr>
      </w:r>
      <w:r>
        <w:rPr>
          <w:color w:val="auto"/>
          <w:highlight w:val="none"/>
        </w:rPr>
      </w:r>
    </w:p>
    <w:p>
      <w:pPr>
        <w:pStyle w:val="863"/>
        <w:ind w:firstLine="560"/>
        <w:spacing w:line="500" w:lineRule="exact"/>
        <w:tabs>
          <w:tab w:val="left" w:pos="78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智慧物联网管理系统，实现劳动力优化，作业效率提升20%，采用先进的智能环控系统，温室环境自动调节，控制误差在+/-1℃。解决了温室普遍存在的环境无法控制，无法满足现代化种植的问题，也解决了精细化种植的需要，是高端植物品种兼容性最好的温室。</w:t>
      </w:r>
      <w:r>
        <w:rPr>
          <w:rFonts w:ascii="宋体" w:hAnsi="宋体" w:cs="宋体"/>
          <w:color w:val="auto"/>
          <w:sz w:val="28"/>
          <w:szCs w:val="28"/>
          <w:highlight w:val="none"/>
        </w:rPr>
      </w:r>
      <w:r>
        <w:rPr>
          <w:color w:val="auto"/>
          <w:highlight w:val="none"/>
        </w:rPr>
      </w:r>
    </w:p>
    <w:p>
      <w:pPr>
        <w:pStyle w:val="863"/>
        <w:ind w:firstLine="560"/>
        <w:spacing w:line="500" w:lineRule="exact"/>
        <w:tabs>
          <w:tab w:val="left" w:pos="786"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高度自动化程度温室，叶菜自动移栽和采收。解决了育苗和叶菜劳动力强度大的问题，最主要的是减少人员出入带给温室病菌病虫害的问题，确保植物最大限度地安全可靠，减少人员参与而导致的病害，为后期运营保驾护航，结合物联网智能环控系统，是真正的智能自动化植物工厂。</w:t>
      </w:r>
      <w:r>
        <w:rPr>
          <w:rFonts w:ascii="宋体" w:hAnsi="宋体" w:cs="宋体"/>
          <w:color w:val="auto"/>
          <w:sz w:val="28"/>
          <w:szCs w:val="28"/>
          <w:highlight w:val="none"/>
        </w:rPr>
      </w:r>
      <w:r>
        <w:rPr>
          <w:color w:val="auto"/>
          <w:highlight w:val="none"/>
        </w:rPr>
      </w:r>
    </w:p>
    <w:p>
      <w:pPr>
        <w:pStyle w:val="863"/>
        <w:ind w:firstLine="560"/>
        <w:spacing w:line="500" w:lineRule="exact"/>
        <w:tabs>
          <w:tab w:val="left" w:pos="786"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结构经过温室权威结构计算软件进行验</w:t>
      </w:r>
      <w:r>
        <w:rPr>
          <w:rFonts w:hint="eastAsia" w:ascii="宋体" w:hAnsi="宋体" w:cs="宋体"/>
          <w:color w:val="auto"/>
          <w:sz w:val="28"/>
          <w:szCs w:val="28"/>
          <w:highlight w:val="none"/>
        </w:rPr>
        <w:t xml:space="preserve">算，确保安全可靠。解决了国内按照建筑标准构件过大，粗放式的问题，精细科学的计算，使得大大小小的构件轻巧但强度不减，更环保.温室的跨度设计采用8m，每个跨度分为两个小屋面，即天沟间距为4m。采用21.6度的屋面倾角。这种设计的屋面倾角可以获得良好的采光效果，并且可以使得雨水自然流动，避免在屋顶积水。此外，21.6度的屋面倾角还可以提高屋顶的结构强度，以便承受较大的雪载荷和风载荷，最大程度得节约结构成本。关于温室开间，设计开间为4.5米，可以采用成熟的拉幕系统，可以确保系统运行平稳，准确，以及较高的温室密闭性。</w:t>
      </w:r>
      <w:r>
        <w:rPr>
          <w:rFonts w:hint="eastAsia" w:ascii="宋体" w:hAnsi="宋体" w:cs="宋体"/>
          <w:color w:val="auto"/>
          <w:sz w:val="28"/>
          <w:szCs w:val="28"/>
          <w:highlight w:val="none"/>
        </w:rPr>
      </w:r>
      <w:r>
        <w:rPr>
          <w:color w:val="auto"/>
          <w:highlight w:val="none"/>
        </w:rPr>
      </w:r>
    </w:p>
    <w:p>
      <w:pPr>
        <w:pStyle w:val="863"/>
        <w:ind w:firstLine="560"/>
        <w:spacing w:line="500" w:lineRule="exact"/>
        <w:tabs>
          <w:tab w:val="left" w:pos="786"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农产品价值提升转储中心包含：冷库、仓储转运区、成品周转区、装卸平台及管理用房。承担了“农产品采后处理中心”、“农产品物流集散中心”、“特色农产品体验中心”三个重要功能，从采收-预冷-分拣包装-入库-售卖，承担“从种子到餐桌”的“末端一体化流程”。</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b/>
          <w:bCs/>
          <w:color w:val="auto"/>
          <w:sz w:val="28"/>
          <w:szCs w:val="28"/>
          <w:highlight w:val="none"/>
        </w:rPr>
      </w:pPr>
      <w:r>
        <w:rPr>
          <w:rFonts w:ascii="宋体" w:hAnsi="宋体" w:cs="宋体"/>
          <w:color w:val="auto"/>
          <w:sz w:val="28"/>
          <w:szCs w:val="28"/>
          <w:highlight w:val="none"/>
        </w:rPr>
        <w:t xml:space="preserve">8</w:t>
      </w:r>
      <w:r>
        <w:rPr>
          <w:rFonts w:hint="eastAsia" w:ascii="宋体" w:hAnsi="宋体" w:cs="宋体"/>
          <w:color w:val="auto"/>
          <w:sz w:val="28"/>
          <w:szCs w:val="28"/>
          <w:highlight w:val="none"/>
        </w:rPr>
        <w:t xml:space="preserve">.技术参数及采购数量要求：详见附件招标清单。</w:t>
      </w:r>
      <w:r>
        <w:rPr>
          <w:rFonts w:ascii="宋体" w:hAnsi="宋体" w:cs="宋体"/>
          <w:b/>
          <w:bCs/>
          <w:color w:val="auto"/>
          <w:sz w:val="28"/>
          <w:szCs w:val="28"/>
          <w:highlight w:val="none"/>
        </w:rPr>
      </w:r>
      <w:r>
        <w:rPr>
          <w:color w:val="auto"/>
          <w:highlight w:val="none"/>
        </w:rPr>
      </w:r>
    </w:p>
    <w:p>
      <w:pPr>
        <w:pStyle w:val="875"/>
        <w:spacing w:line="500" w:lineRule="exact"/>
        <w:rPr>
          <w:rFonts w:ascii="宋体" w:hAnsi="宋体" w:eastAsia="宋体"/>
          <w:b/>
          <w:color w:val="auto"/>
          <w:sz w:val="28"/>
          <w:szCs w:val="28"/>
          <w:highlight w:val="none"/>
        </w:rPr>
      </w:pPr>
      <w:r>
        <w:rPr>
          <w:color w:val="auto"/>
          <w:highlight w:val="none"/>
        </w:rPr>
      </w:r>
      <w:bookmarkEnd w:id="112"/>
      <w:r>
        <w:rPr>
          <w:color w:val="auto"/>
          <w:highlight w:val="none"/>
        </w:rPr>
      </w:r>
      <w:bookmarkEnd w:id="113"/>
      <w:r>
        <w:rPr>
          <w:color w:val="auto"/>
          <w:highlight w:val="none"/>
        </w:rPr>
      </w:r>
      <w:bookmarkEnd w:id="114"/>
      <w:r>
        <w:rPr>
          <w:rFonts w:hint="eastAsia" w:ascii="宋体" w:hAnsi="宋体" w:eastAsia="宋体"/>
          <w:b/>
          <w:color w:val="auto"/>
          <w:sz w:val="28"/>
          <w:szCs w:val="28"/>
          <w:highlight w:val="none"/>
        </w:rPr>
        <w:t xml:space="preserve">四、</w:t>
      </w:r>
      <w:bookmarkStart w:id="115" w:name="_Hlk133582838"/>
      <w:r>
        <w:rPr>
          <w:rFonts w:hint="eastAsia" w:ascii="宋体" w:hAnsi="宋体" w:eastAsia="宋体"/>
          <w:b/>
          <w:color w:val="auto"/>
          <w:sz w:val="28"/>
          <w:szCs w:val="28"/>
          <w:highlight w:val="none"/>
        </w:rPr>
        <w:t xml:space="preserve">合同价款含安装费、材料费、机械费、管理费、利润、规费、税金、风险费、安全文明施工费、卸车费、运费、深化设计、</w:t>
      </w:r>
      <w:r>
        <w:rPr>
          <w:rFonts w:hint="eastAsia" w:ascii="宋体" w:hAnsi="宋体" w:eastAsia="宋体"/>
          <w:b/>
          <w:color w:val="auto"/>
          <w:sz w:val="28"/>
          <w:szCs w:val="28"/>
          <w:highlight w:val="none"/>
        </w:rPr>
        <w:t xml:space="preserve">运营期内的运营费（包含设备的维修保养费）等一切费用</w:t>
      </w:r>
      <w:r>
        <w:rPr>
          <w:rFonts w:hint="eastAsia" w:ascii="宋体" w:hAnsi="宋体" w:eastAsia="宋体"/>
          <w:b/>
          <w:color w:val="auto"/>
          <w:sz w:val="28"/>
          <w:szCs w:val="28"/>
          <w:highlight w:val="none"/>
          <w:lang w:val="zh-CN"/>
        </w:rPr>
        <w:t xml:space="preserve">；完成采购人要求的合同以外的零星工作或发生非施工方责任事件的工程量按现场签证确定，但工程量清单中的缺项、漏项如投标人在投标时未能及时提出，视为供应商的风险范围，工程量结算时不做调整。</w:t>
      </w:r>
      <w:bookmarkEnd w:id="115"/>
      <w:r>
        <w:rPr>
          <w:rFonts w:hint="eastAsia" w:ascii="宋体" w:hAnsi="宋体" w:eastAsia="宋体"/>
          <w:b/>
          <w:color w:val="auto"/>
          <w:sz w:val="28"/>
          <w:szCs w:val="28"/>
          <w:highlight w:val="none"/>
          <w:lang w:val="zh-CN"/>
        </w:rPr>
        <w:t xml:space="preserve">运营期内的运营费（包含设备的维修保养费）等一切费用含在投标报价中，由供应商自行考虑，采购人不再另行支付。</w:t>
      </w:r>
      <w:r>
        <w:rPr>
          <w:rFonts w:ascii="宋体" w:hAnsi="宋体" w:eastAsia="宋体"/>
          <w:b/>
          <w:color w:val="auto"/>
          <w:sz w:val="28"/>
          <w:szCs w:val="28"/>
          <w:highlight w:val="none"/>
          <w:lang w:val="zh-CN"/>
        </w:rPr>
      </w:r>
      <w:r>
        <w:rPr>
          <w:color w:val="auto"/>
          <w:highlight w:val="none"/>
        </w:rPr>
      </w:r>
    </w:p>
    <w:p>
      <w:pPr>
        <w:pStyle w:val="875"/>
        <w:spacing w:line="500" w:lineRule="exact"/>
        <w:rPr>
          <w:rFonts w:ascii="宋体" w:hAnsi="宋体" w:eastAsia="宋体"/>
          <w:color w:val="auto"/>
          <w:sz w:val="28"/>
          <w:szCs w:val="28"/>
          <w:highlight w:val="none"/>
        </w:rPr>
      </w:pPr>
      <w:r>
        <w:rPr>
          <w:rFonts w:hint="eastAsia" w:ascii="宋体" w:hAnsi="宋体" w:eastAsia="宋体"/>
          <w:b/>
          <w:color w:val="auto"/>
          <w:sz w:val="28"/>
          <w:szCs w:val="28"/>
          <w:highlight w:val="none"/>
        </w:rPr>
        <w:t xml:space="preserve">五、付款方式</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r>
      <w:r>
        <w:rPr>
          <w:color w:val="auto"/>
          <w:highlight w:val="none"/>
        </w:rPr>
      </w:r>
    </w:p>
    <w:p>
      <w:pPr>
        <w:pStyle w:val="875"/>
        <w:spacing w:line="500" w:lineRule="exac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（1）合同生效，供应商进场完成临建等基础建设后，需向采购方提交项目月进度款项申请材料（含当月完成的采购清单及监理审核意见等），待采购方审核通过后，15天内支付合同金额的20%。</w:t>
      </w:r>
      <w:r>
        <w:rPr>
          <w:rFonts w:ascii="宋体" w:hAnsi="宋体" w:eastAsia="宋体"/>
          <w:color w:val="auto"/>
          <w:sz w:val="28"/>
          <w:szCs w:val="28"/>
          <w:highlight w:val="none"/>
        </w:rPr>
      </w:r>
      <w:r>
        <w:rPr>
          <w:color w:val="auto"/>
          <w:highlight w:val="none"/>
        </w:rPr>
      </w:r>
    </w:p>
    <w:p>
      <w:pPr>
        <w:pStyle w:val="875"/>
        <w:spacing w:line="500" w:lineRule="exac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（2）第一批主体钢结构发货，经采购方验收合格后，支付合同金额的20%;</w:t>
      </w:r>
      <w:r>
        <w:rPr>
          <w:rFonts w:ascii="宋体" w:hAnsi="宋体" w:eastAsia="宋体"/>
          <w:color w:val="auto"/>
          <w:sz w:val="28"/>
          <w:szCs w:val="28"/>
          <w:highlight w:val="none"/>
        </w:rPr>
      </w:r>
      <w:r>
        <w:rPr>
          <w:color w:val="auto"/>
          <w:highlight w:val="none"/>
        </w:rPr>
      </w:r>
    </w:p>
    <w:p>
      <w:pPr>
        <w:pStyle w:val="875"/>
        <w:spacing w:line="500" w:lineRule="exac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（3）主要设备到场，经采购方验收合格后，15天内支付合同金额的20%;</w:t>
      </w:r>
      <w:r>
        <w:rPr>
          <w:rFonts w:ascii="宋体" w:hAnsi="宋体" w:eastAsia="宋体"/>
          <w:color w:val="auto"/>
          <w:sz w:val="28"/>
          <w:szCs w:val="28"/>
          <w:highlight w:val="none"/>
        </w:rPr>
      </w:r>
      <w:r>
        <w:rPr>
          <w:color w:val="auto"/>
          <w:highlight w:val="none"/>
        </w:rPr>
      </w:r>
    </w:p>
    <w:p>
      <w:pPr>
        <w:pStyle w:val="875"/>
        <w:spacing w:line="500" w:lineRule="exac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主要设备是指：①天沟；②湿帘和负压风机；③防虫网。</w:t>
      </w:r>
      <w:r>
        <w:rPr>
          <w:rFonts w:ascii="宋体" w:hAnsi="宋体" w:eastAsia="宋体"/>
          <w:color w:val="auto"/>
          <w:sz w:val="28"/>
          <w:szCs w:val="28"/>
          <w:highlight w:val="none"/>
        </w:rPr>
      </w:r>
      <w:r>
        <w:rPr>
          <w:color w:val="auto"/>
          <w:highlight w:val="none"/>
        </w:rPr>
      </w:r>
    </w:p>
    <w:p>
      <w:pPr>
        <w:pStyle w:val="875"/>
        <w:spacing w:line="500" w:lineRule="exac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（4）温室壳体封顶且主要设备安装完成并经采购方验收合格后，15天内支付合同金额的10%;</w:t>
      </w:r>
      <w:r>
        <w:rPr>
          <w:rFonts w:ascii="宋体" w:hAnsi="宋体" w:eastAsia="宋体"/>
          <w:color w:val="auto"/>
          <w:sz w:val="28"/>
          <w:szCs w:val="28"/>
          <w:highlight w:val="none"/>
        </w:rPr>
      </w:r>
      <w:r>
        <w:rPr>
          <w:color w:val="auto"/>
          <w:highlight w:val="none"/>
        </w:rPr>
      </w:r>
    </w:p>
    <w:p>
      <w:pPr>
        <w:pStyle w:val="875"/>
        <w:spacing w:line="500" w:lineRule="exac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5</w:t>
      </w:r>
      <w:r>
        <w:rPr>
          <w:rFonts w:hint="eastAsia" w:ascii="宋体" w:hAnsi="宋体" w:eastAsia="宋体"/>
          <w:color w:val="auto"/>
          <w:sz w:val="28"/>
          <w:szCs w:val="28"/>
          <w:highlight w:val="none"/>
        </w:rPr>
        <w:t xml:space="preserve">）项目完工验收合格后，采购方在15天内支付至合同金额的80%。</w:t>
      </w:r>
      <w:r>
        <w:rPr>
          <w:rFonts w:ascii="宋体" w:hAnsi="宋体" w:eastAsia="宋体"/>
          <w:color w:val="auto"/>
          <w:sz w:val="28"/>
          <w:szCs w:val="28"/>
          <w:highlight w:val="none"/>
        </w:rPr>
      </w:r>
      <w:r>
        <w:rPr>
          <w:color w:val="auto"/>
          <w:highlight w:val="none"/>
        </w:rPr>
      </w:r>
    </w:p>
    <w:p>
      <w:pPr>
        <w:pStyle w:val="875"/>
        <w:spacing w:line="500" w:lineRule="exac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6</w:t>
      </w:r>
      <w:r>
        <w:rPr>
          <w:rFonts w:hint="eastAsia" w:ascii="宋体" w:hAnsi="宋体" w:eastAsia="宋体"/>
          <w:color w:val="auto"/>
          <w:sz w:val="28"/>
          <w:szCs w:val="28"/>
          <w:highlight w:val="none"/>
        </w:rPr>
        <w:t xml:space="preserve">）项目竣工决算审计结束后15天内，采购方付至结算价的9</w:t>
      </w:r>
      <w:r>
        <w:rPr>
          <w:rFonts w:ascii="宋体" w:hAnsi="宋体" w:eastAsia="宋体"/>
          <w:color w:val="auto"/>
          <w:sz w:val="28"/>
          <w:szCs w:val="28"/>
          <w:highlight w:val="none"/>
        </w:rPr>
        <w:t xml:space="preserve">4</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r>
      <w:r>
        <w:rPr>
          <w:color w:val="auto"/>
          <w:highlight w:val="none"/>
        </w:rPr>
      </w:r>
    </w:p>
    <w:p>
      <w:pPr>
        <w:pStyle w:val="875"/>
        <w:spacing w:line="500" w:lineRule="exact"/>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7</w:t>
      </w:r>
      <w:r>
        <w:rPr>
          <w:rFonts w:hint="eastAsia" w:ascii="宋体" w:hAnsi="宋体" w:eastAsia="宋体"/>
          <w:color w:val="auto"/>
          <w:sz w:val="28"/>
          <w:szCs w:val="28"/>
          <w:highlight w:val="none"/>
        </w:rPr>
        <w:t xml:space="preserve">）余款</w:t>
      </w:r>
      <w:r>
        <w:rPr>
          <w:rFonts w:ascii="宋体" w:hAnsi="宋体" w:eastAsia="宋体"/>
          <w:color w:val="auto"/>
          <w:sz w:val="28"/>
          <w:szCs w:val="28"/>
          <w:highlight w:val="none"/>
        </w:rPr>
        <w:t xml:space="preserve">6</w:t>
      </w:r>
      <w:r>
        <w:rPr>
          <w:rFonts w:hint="eastAsia" w:ascii="宋体" w:hAnsi="宋体" w:eastAsia="宋体"/>
          <w:color w:val="auto"/>
          <w:sz w:val="28"/>
          <w:szCs w:val="28"/>
          <w:highlight w:val="none"/>
        </w:rPr>
        <w:t xml:space="preserve">%在项目运营期内（2</w:t>
      </w:r>
      <w:r>
        <w:rPr>
          <w:rFonts w:ascii="宋体" w:hAnsi="宋体" w:eastAsia="宋体"/>
          <w:color w:val="auto"/>
          <w:sz w:val="28"/>
          <w:szCs w:val="28"/>
          <w:highlight w:val="none"/>
        </w:rPr>
        <w:t xml:space="preserve">025</w:t>
      </w:r>
      <w:r>
        <w:rPr>
          <w:rFonts w:hint="eastAsia" w:ascii="宋体" w:hAnsi="宋体" w:eastAsia="宋体"/>
          <w:color w:val="auto"/>
          <w:sz w:val="28"/>
          <w:szCs w:val="28"/>
          <w:highlight w:val="none"/>
        </w:rPr>
        <w:t xml:space="preserve">年1月1日-</w:t>
      </w:r>
      <w:r>
        <w:rPr>
          <w:rFonts w:ascii="宋体" w:hAnsi="宋体" w:eastAsia="宋体"/>
          <w:color w:val="auto"/>
          <w:sz w:val="28"/>
          <w:szCs w:val="28"/>
          <w:highlight w:val="none"/>
        </w:rPr>
        <w:t xml:space="preserve">2028</w:t>
      </w:r>
      <w:r>
        <w:rPr>
          <w:rFonts w:hint="eastAsia" w:ascii="宋体" w:hAnsi="宋体" w:eastAsia="宋体"/>
          <w:color w:val="auto"/>
          <w:sz w:val="28"/>
          <w:szCs w:val="28"/>
          <w:highlight w:val="none"/>
        </w:rPr>
        <w:t xml:space="preserve">年1</w:t>
      </w:r>
      <w:r>
        <w:rPr>
          <w:rFonts w:ascii="宋体" w:hAnsi="宋体" w:eastAsia="宋体"/>
          <w:color w:val="auto"/>
          <w:sz w:val="28"/>
          <w:szCs w:val="28"/>
          <w:highlight w:val="none"/>
        </w:rPr>
        <w:t xml:space="preserve">2</w:t>
      </w:r>
      <w:r>
        <w:rPr>
          <w:rFonts w:hint="eastAsia" w:ascii="宋体" w:hAnsi="宋体" w:eastAsia="宋体"/>
          <w:color w:val="auto"/>
          <w:sz w:val="28"/>
          <w:szCs w:val="28"/>
          <w:highlight w:val="none"/>
        </w:rPr>
        <w:t xml:space="preserve">月3</w:t>
      </w:r>
      <w:r>
        <w:rPr>
          <w:rFonts w:ascii="宋体" w:hAnsi="宋体" w:eastAsia="宋体"/>
          <w:color w:val="auto"/>
          <w:sz w:val="28"/>
          <w:szCs w:val="28"/>
          <w:highlight w:val="none"/>
        </w:rPr>
        <w:t xml:space="preserve">1</w:t>
      </w:r>
      <w:r>
        <w:rPr>
          <w:rFonts w:hint="eastAsia" w:ascii="宋体" w:hAnsi="宋体" w:eastAsia="宋体"/>
          <w:color w:val="auto"/>
          <w:sz w:val="28"/>
          <w:szCs w:val="28"/>
          <w:highlight w:val="none"/>
        </w:rPr>
        <w:t xml:space="preserve">日）分四次支付，其中2</w:t>
      </w:r>
      <w:r>
        <w:rPr>
          <w:rFonts w:ascii="宋体" w:hAnsi="宋体" w:eastAsia="宋体"/>
          <w:color w:val="auto"/>
          <w:sz w:val="28"/>
          <w:szCs w:val="28"/>
          <w:highlight w:val="none"/>
        </w:rPr>
        <w:t xml:space="preserve">025</w:t>
      </w:r>
      <w:r>
        <w:rPr>
          <w:rFonts w:hint="eastAsia" w:ascii="宋体" w:hAnsi="宋体" w:eastAsia="宋体"/>
          <w:color w:val="auto"/>
          <w:sz w:val="28"/>
          <w:szCs w:val="28"/>
          <w:highlight w:val="none"/>
        </w:rPr>
        <w:t xml:space="preserve">年1</w:t>
      </w:r>
      <w:r>
        <w:rPr>
          <w:rFonts w:ascii="宋体" w:hAnsi="宋体" w:eastAsia="宋体"/>
          <w:color w:val="auto"/>
          <w:sz w:val="28"/>
          <w:szCs w:val="28"/>
          <w:highlight w:val="none"/>
        </w:rPr>
        <w:t xml:space="preserve">2</w:t>
      </w:r>
      <w:r>
        <w:rPr>
          <w:rFonts w:hint="eastAsia" w:ascii="宋体" w:hAnsi="宋体" w:eastAsia="宋体"/>
          <w:color w:val="auto"/>
          <w:sz w:val="28"/>
          <w:szCs w:val="28"/>
          <w:highlight w:val="none"/>
        </w:rPr>
        <w:t xml:space="preserve">月3</w:t>
      </w:r>
      <w:r>
        <w:rPr>
          <w:rFonts w:ascii="宋体" w:hAnsi="宋体" w:eastAsia="宋体"/>
          <w:color w:val="auto"/>
          <w:sz w:val="28"/>
          <w:szCs w:val="28"/>
          <w:highlight w:val="none"/>
        </w:rPr>
        <w:t xml:space="preserve">1</w:t>
      </w:r>
      <w:r>
        <w:rPr>
          <w:rFonts w:hint="eastAsia" w:ascii="宋体" w:hAnsi="宋体" w:eastAsia="宋体"/>
          <w:color w:val="auto"/>
          <w:sz w:val="28"/>
          <w:szCs w:val="28"/>
          <w:highlight w:val="none"/>
        </w:rPr>
        <w:t xml:space="preserve">日前支付结算价的1</w:t>
      </w:r>
      <w:r>
        <w:rPr>
          <w:rFonts w:ascii="宋体" w:hAnsi="宋体" w:eastAsia="宋体"/>
          <w:color w:val="auto"/>
          <w:sz w:val="28"/>
          <w:szCs w:val="28"/>
          <w:highlight w:val="none"/>
        </w:rPr>
        <w:t xml:space="preserve">%</w:t>
      </w:r>
      <w:r>
        <w:rPr>
          <w:rFonts w:hint="eastAsia" w:ascii="宋体" w:hAnsi="宋体" w:eastAsia="宋体"/>
          <w:color w:val="auto"/>
          <w:sz w:val="28"/>
          <w:szCs w:val="28"/>
          <w:highlight w:val="none"/>
        </w:rPr>
        <w:t xml:space="preserve">，2</w:t>
      </w:r>
      <w:r>
        <w:rPr>
          <w:rFonts w:ascii="宋体" w:hAnsi="宋体" w:eastAsia="宋体"/>
          <w:color w:val="auto"/>
          <w:sz w:val="28"/>
          <w:szCs w:val="28"/>
          <w:highlight w:val="none"/>
        </w:rPr>
        <w:t xml:space="preserve">026</w:t>
      </w:r>
      <w:r>
        <w:rPr>
          <w:rFonts w:hint="eastAsia" w:ascii="宋体" w:hAnsi="宋体" w:eastAsia="宋体"/>
          <w:color w:val="auto"/>
          <w:sz w:val="28"/>
          <w:szCs w:val="28"/>
          <w:highlight w:val="none"/>
        </w:rPr>
        <w:t xml:space="preserve">年1</w:t>
      </w:r>
      <w:r>
        <w:rPr>
          <w:rFonts w:ascii="宋体" w:hAnsi="宋体" w:eastAsia="宋体"/>
          <w:color w:val="auto"/>
          <w:sz w:val="28"/>
          <w:szCs w:val="28"/>
          <w:highlight w:val="none"/>
        </w:rPr>
        <w:t xml:space="preserve">2</w:t>
      </w:r>
      <w:r>
        <w:rPr>
          <w:rFonts w:hint="eastAsia" w:ascii="宋体" w:hAnsi="宋体" w:eastAsia="宋体"/>
          <w:color w:val="auto"/>
          <w:sz w:val="28"/>
          <w:szCs w:val="28"/>
          <w:highlight w:val="none"/>
        </w:rPr>
        <w:t xml:space="preserve">月3</w:t>
      </w:r>
      <w:r>
        <w:rPr>
          <w:rFonts w:ascii="宋体" w:hAnsi="宋体" w:eastAsia="宋体"/>
          <w:color w:val="auto"/>
          <w:sz w:val="28"/>
          <w:szCs w:val="28"/>
          <w:highlight w:val="none"/>
        </w:rPr>
        <w:t xml:space="preserve">1</w:t>
      </w:r>
      <w:r>
        <w:rPr>
          <w:rFonts w:hint="eastAsia" w:ascii="宋体" w:hAnsi="宋体" w:eastAsia="宋体"/>
          <w:color w:val="auto"/>
          <w:sz w:val="28"/>
          <w:szCs w:val="28"/>
          <w:highlight w:val="none"/>
        </w:rPr>
        <w:t xml:space="preserve">日前支付结算价的1</w:t>
      </w:r>
      <w:r>
        <w:rPr>
          <w:rFonts w:ascii="宋体" w:hAnsi="宋体" w:eastAsia="宋体"/>
          <w:color w:val="auto"/>
          <w:sz w:val="28"/>
          <w:szCs w:val="28"/>
          <w:highlight w:val="none"/>
        </w:rPr>
        <w:t xml:space="preserve">%</w:t>
      </w:r>
      <w:r>
        <w:rPr>
          <w:rFonts w:hint="eastAsia" w:ascii="宋体" w:hAnsi="宋体" w:eastAsia="宋体"/>
          <w:color w:val="auto"/>
          <w:sz w:val="28"/>
          <w:szCs w:val="28"/>
          <w:highlight w:val="none"/>
        </w:rPr>
        <w:t xml:space="preserve">，2</w:t>
      </w:r>
      <w:r>
        <w:rPr>
          <w:rFonts w:ascii="宋体" w:hAnsi="宋体" w:eastAsia="宋体"/>
          <w:color w:val="auto"/>
          <w:sz w:val="28"/>
          <w:szCs w:val="28"/>
          <w:highlight w:val="none"/>
        </w:rPr>
        <w:t xml:space="preserve">027</w:t>
      </w:r>
      <w:r>
        <w:rPr>
          <w:rFonts w:hint="eastAsia" w:ascii="宋体" w:hAnsi="宋体" w:eastAsia="宋体"/>
          <w:color w:val="auto"/>
          <w:sz w:val="28"/>
          <w:szCs w:val="28"/>
          <w:highlight w:val="none"/>
        </w:rPr>
        <w:t xml:space="preserve">年1</w:t>
      </w:r>
      <w:r>
        <w:rPr>
          <w:rFonts w:ascii="宋体" w:hAnsi="宋体" w:eastAsia="宋体"/>
          <w:color w:val="auto"/>
          <w:sz w:val="28"/>
          <w:szCs w:val="28"/>
          <w:highlight w:val="none"/>
        </w:rPr>
        <w:t xml:space="preserve">2</w:t>
      </w:r>
      <w:r>
        <w:rPr>
          <w:rFonts w:hint="eastAsia" w:ascii="宋体" w:hAnsi="宋体" w:eastAsia="宋体"/>
          <w:color w:val="auto"/>
          <w:sz w:val="28"/>
          <w:szCs w:val="28"/>
          <w:highlight w:val="none"/>
        </w:rPr>
        <w:t xml:space="preserve">月3</w:t>
      </w:r>
      <w:r>
        <w:rPr>
          <w:rFonts w:ascii="宋体" w:hAnsi="宋体" w:eastAsia="宋体"/>
          <w:color w:val="auto"/>
          <w:sz w:val="28"/>
          <w:szCs w:val="28"/>
          <w:highlight w:val="none"/>
        </w:rPr>
        <w:t xml:space="preserve">1</w:t>
      </w:r>
      <w:r>
        <w:rPr>
          <w:rFonts w:hint="eastAsia" w:ascii="宋体" w:hAnsi="宋体" w:eastAsia="宋体"/>
          <w:color w:val="auto"/>
          <w:sz w:val="28"/>
          <w:szCs w:val="28"/>
          <w:highlight w:val="none"/>
        </w:rPr>
        <w:t xml:space="preserve">日前支付结算价的</w:t>
      </w:r>
      <w:r>
        <w:rPr>
          <w:rFonts w:ascii="宋体" w:hAnsi="宋体" w:eastAsia="宋体"/>
          <w:color w:val="auto"/>
          <w:sz w:val="28"/>
          <w:szCs w:val="28"/>
          <w:highlight w:val="none"/>
        </w:rPr>
        <w:t xml:space="preserve">2%</w:t>
      </w:r>
      <w:r>
        <w:rPr>
          <w:rFonts w:hint="eastAsia" w:ascii="宋体" w:hAnsi="宋体" w:eastAsia="宋体"/>
          <w:color w:val="auto"/>
          <w:sz w:val="28"/>
          <w:szCs w:val="28"/>
          <w:highlight w:val="none"/>
        </w:rPr>
        <w:t xml:space="preserve">，2</w:t>
      </w:r>
      <w:r>
        <w:rPr>
          <w:rFonts w:ascii="宋体" w:hAnsi="宋体" w:eastAsia="宋体"/>
          <w:color w:val="auto"/>
          <w:sz w:val="28"/>
          <w:szCs w:val="28"/>
          <w:highlight w:val="none"/>
        </w:rPr>
        <w:t xml:space="preserve">028</w:t>
      </w:r>
      <w:r>
        <w:rPr>
          <w:rFonts w:hint="eastAsia" w:ascii="宋体" w:hAnsi="宋体" w:eastAsia="宋体"/>
          <w:color w:val="auto"/>
          <w:sz w:val="28"/>
          <w:szCs w:val="28"/>
          <w:highlight w:val="none"/>
        </w:rPr>
        <w:t xml:space="preserve">年1</w:t>
      </w:r>
      <w:r>
        <w:rPr>
          <w:rFonts w:ascii="宋体" w:hAnsi="宋体" w:eastAsia="宋体"/>
          <w:color w:val="auto"/>
          <w:sz w:val="28"/>
          <w:szCs w:val="28"/>
          <w:highlight w:val="none"/>
        </w:rPr>
        <w:t xml:space="preserve">2</w:t>
      </w:r>
      <w:r>
        <w:rPr>
          <w:rFonts w:hint="eastAsia" w:ascii="宋体" w:hAnsi="宋体" w:eastAsia="宋体"/>
          <w:color w:val="auto"/>
          <w:sz w:val="28"/>
          <w:szCs w:val="28"/>
          <w:highlight w:val="none"/>
        </w:rPr>
        <w:t xml:space="preserve">月3</w:t>
      </w:r>
      <w:r>
        <w:rPr>
          <w:rFonts w:ascii="宋体" w:hAnsi="宋体" w:eastAsia="宋体"/>
          <w:color w:val="auto"/>
          <w:sz w:val="28"/>
          <w:szCs w:val="28"/>
          <w:highlight w:val="none"/>
        </w:rPr>
        <w:t xml:space="preserve">1</w:t>
      </w:r>
      <w:r>
        <w:rPr>
          <w:rFonts w:hint="eastAsia" w:ascii="宋体" w:hAnsi="宋体" w:eastAsia="宋体"/>
          <w:color w:val="auto"/>
          <w:sz w:val="28"/>
          <w:szCs w:val="28"/>
          <w:highlight w:val="none"/>
        </w:rPr>
        <w:t xml:space="preserve">日前支付结算价的</w:t>
      </w:r>
      <w:r>
        <w:rPr>
          <w:rFonts w:ascii="宋体" w:hAnsi="宋体" w:eastAsia="宋体"/>
          <w:color w:val="auto"/>
          <w:sz w:val="28"/>
          <w:szCs w:val="28"/>
          <w:highlight w:val="none"/>
        </w:rPr>
        <w:t xml:space="preserve">2%</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r>
      <w:r>
        <w:rPr>
          <w:color w:val="auto"/>
          <w:highlight w:val="none"/>
        </w:rPr>
      </w:r>
    </w:p>
    <w:p>
      <w:pPr>
        <w:pStyle w:val="875"/>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供应商应随付款进度及时提供与应付款项等额的增值税专用发票。款项由采购单位按相关财务支付规定办理支付手续，不得故意拖延支付时间。</w:t>
      </w:r>
      <w:r>
        <w:rPr>
          <w:rFonts w:hint="eastAsia" w:ascii="宋体" w:hAnsi="宋体" w:eastAsia="宋体"/>
          <w:color w:val="auto"/>
          <w:sz w:val="28"/>
          <w:szCs w:val="28"/>
          <w:highlight w:val="none"/>
        </w:rPr>
      </w:r>
      <w:r>
        <w:rPr>
          <w:color w:val="auto"/>
          <w:highlight w:val="none"/>
        </w:rPr>
      </w:r>
    </w:p>
    <w:p>
      <w:pPr>
        <w:pStyle w:val="875"/>
        <w:spacing w:line="500" w:lineRule="exact"/>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六、履约保证金：</w:t>
      </w:r>
      <w:r>
        <w:rPr>
          <w:rFonts w:hint="eastAsia" w:ascii="宋体" w:hAnsi="宋体" w:eastAsia="宋体"/>
          <w:b/>
          <w:color w:val="auto"/>
          <w:sz w:val="28"/>
          <w:szCs w:val="28"/>
          <w:highlight w:val="none"/>
        </w:rPr>
      </w:r>
      <w:r>
        <w:rPr>
          <w:color w:val="auto"/>
          <w:highlight w:val="none"/>
        </w:rPr>
      </w:r>
    </w:p>
    <w:p>
      <w:pPr>
        <w:pStyle w:val="863"/>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1.本项目成交后的履约保证金为项目成交价的5%，</w:t>
      </w:r>
      <w:bookmarkEnd w:id="1"/>
      <w:r>
        <w:rPr>
          <w:color w:val="auto"/>
          <w:highlight w:val="none"/>
        </w:rPr>
      </w:r>
      <w:bookmarkEnd w:id="2"/>
      <w:r>
        <w:rPr>
          <w:color w:val="auto"/>
          <w:highlight w:val="none"/>
        </w:rPr>
      </w:r>
      <w:bookmarkEnd w:id="6"/>
      <w:r>
        <w:rPr>
          <w:rFonts w:hint="eastAsia" w:ascii="宋体" w:hAnsi="宋体"/>
          <w:color w:val="auto"/>
          <w:sz w:val="28"/>
          <w:szCs w:val="28"/>
          <w:highlight w:val="none"/>
        </w:rPr>
        <w:t xml:space="preserve">成交供应商的履约保证金采用现金（现金方式包含银行转账、网银、电汇、数字人民币等）或保函，须在成交通知书发出之日起至合同签订前汇入采购单位账户，成交供应商凭成交通知书与采购单位签订合同。超期或未有协商，则视为自动放弃成交资格。</w:t>
      </w:r>
      <w:r>
        <w:rPr>
          <w:rFonts w:ascii="宋体" w:hAnsi="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成交供应商全部履约合同义务，经采购单位验收合格无质量、进度等问题的，采购人在验收合格后一次性退还履约保证金，采购人若逾期退还履约保证金的，按照逾期部分的每日 0.05%支付违约金</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3.发生以下情况的，履约保证金不予退还或部分退还：</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a.签订合同后，成交供应商不履行合同义务的，采购单位有权全额扣除履约保证金，全额不予退还，同时采购单位亦有权终止合同，中标供应商还须承担相应的法律赔偿责任。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宋体" w:hAnsi="宋体" w:cs="宋体"/>
          <w:color w:val="auto"/>
          <w:sz w:val="28"/>
          <w:szCs w:val="28"/>
          <w:highlight w:val="none"/>
        </w:rPr>
      </w:r>
      <w:r>
        <w:rPr>
          <w:color w:val="auto"/>
          <w:highlight w:val="none"/>
        </w:rPr>
      </w:r>
    </w:p>
    <w:p>
      <w:pPr>
        <w:pStyle w:val="875"/>
        <w:spacing w:line="500" w:lineRule="exact"/>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七、采购标的的其他技术、服务等要求：</w:t>
      </w:r>
      <w:r>
        <w:rPr>
          <w:rFonts w:ascii="宋体" w:hAnsi="宋体" w:eastAsia="宋体"/>
          <w:b/>
          <w:color w:val="auto"/>
          <w:sz w:val="28"/>
          <w:szCs w:val="28"/>
          <w:highlight w:val="none"/>
        </w:rPr>
        <w:t xml:space="preserve"> </w:t>
      </w:r>
      <w:r>
        <w:rPr>
          <w:rFonts w:ascii="宋体" w:hAnsi="宋体" w:eastAsia="宋体"/>
          <w:b/>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1.商品包装环保要求：应当按《关于印发〈商品包装政府采购需求标准（试行）〉、〈快递包装政府采购需求标准（试行）〉的通知》（财办库〔2020〕123 号）文件执行。</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（1）商品包装层数不得超过 3 层，空隙率不大于 40%；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（2）商品包装尽可能使用单一材质的包装材料，如因功能需求必需使用不同材质，不同材质间应便于分离； </w:t>
      </w:r>
      <w:r>
        <w:rPr>
          <w:rFonts w:ascii="宋体" w:hAnsi="宋体" w:cs="宋体"/>
          <w:color w:val="auto"/>
          <w:sz w:val="28"/>
          <w:szCs w:val="28"/>
          <w:highlight w:val="none"/>
        </w:rPr>
      </w:r>
      <w:r>
        <w:rPr>
          <w:color w:val="auto"/>
          <w:highlight w:val="none"/>
        </w:rPr>
      </w:r>
    </w:p>
    <w:p>
      <w:pPr>
        <w:pStyle w:val="863"/>
        <w:numPr>
          <w:ilvl w:val="0"/>
          <w:numId w:val="2"/>
        </w:numPr>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商品包装中铅、汞、镉、六价铬的总含量应不大于 100mg/kg；</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（4）商品包装印刷使用的油墨中挥发性有机化合物(VOCs)含量应不大于 5%（以重量计）；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（5）塑料材质商品包装上呈现的印刷颜色不得超过 6 色；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（6）纸质商品包装应使用 75%以上的可再生纤维原料生产；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（7）木质商品包装的原料应来源于可持续性森林。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2.快递包装环保要求：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（1）快递包装中重金属（铅、汞、镉、六价铬）总量应不大于 100mg/kg；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（2）快递包装印刷使用的油墨中不应添加邻苯二甲酸酯，其挥发性有机化合物(VOCs)含量应不大于 5%（以重量计）；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（3）快递包装中使用纸基材的包装材料，纸基材中的有机氯的含量应不大于 150 mg/kg；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（5）快递中使用的塑料包装袋不得使用聚氯乙烯作为原料，且原料应为单一材质制成，生物分解率大于 60%；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（6）快递中使用的充气类填充物不得使用聚氯乙烯作为 原料，且原料为单一材质制成，生物分解率大于 60%；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（7）快递中使用的集装袋应为单一材质制成，其重复使用次数应不小于 80 次；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（8）快递中应使用幅宽不大于 45mm 的生物降解胶带；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（9）快递包装中不得使用溶剂型胶粘剂；</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（11）快递应使用电子面单；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（12）直接使用商品包装作为快递包装的商品，其商品包装满足《商品包装政府采购需求标准（试行）》即可；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（13）快递包装产品质量和封装方式应符合相关国家或行业标准技术指标要求。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3.绿色数据中心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4.低挥发性有机化合物产品：本项目中如有涉及涂料、胶黏剂、油墨、清洗剂等挥发性有机物产品的，属于强制性标准的，供应商应当执行国家和我省 VOCs 含量限制标准。供应商提供符合推荐性标准的涂料、胶黏剂、油墨、清洗剂等挥发性有机物产品的，予以评审优惠。在通用类货物、家具、印刷、公务车辆维修等采购项目中，供应商应优先使用低挥发性原辅材料，将使用低 VOCs 含量的涂料、胶黏剂等纳入合同条款。 </w:t>
      </w:r>
      <w:r>
        <w:rPr>
          <w:rFonts w:ascii="宋体" w:hAnsi="宋体" w:cs="宋体"/>
          <w:color w:val="auto"/>
          <w:sz w:val="28"/>
          <w:szCs w:val="28"/>
          <w:highlight w:val="none"/>
        </w:rPr>
      </w:r>
      <w:r>
        <w:rPr>
          <w:color w:val="auto"/>
          <w:highlight w:val="none"/>
        </w:rPr>
      </w:r>
    </w:p>
    <w:p>
      <w:pPr>
        <w:pStyle w:val="863"/>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t xml:space="preserve">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 </w:t>
      </w:r>
      <w:r>
        <w:rPr>
          <w:rFonts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绿色低碳管理目标和服务要求：在物业、合同能源管理等服务类采购项目需求中，要强化绿色低碳管理目标和服务要求，促进绿色产品和服务推广应用。</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rPr>
      </w:r>
      <w:r>
        <w:rPr>
          <w:color w:val="auto"/>
          <w:highlight w:val="none"/>
        </w:rPr>
      </w:r>
    </w:p>
    <w:p>
      <w:pPr>
        <w:pStyle w:val="863"/>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第四部分  开标和评标</w:t>
      </w:r>
      <w:r>
        <w:rPr>
          <w:rFonts w:hint="eastAsia" w:ascii="宋体" w:hAnsi="宋体" w:cs="宋体"/>
          <w:b/>
          <w:color w:val="auto"/>
          <w:sz w:val="36"/>
          <w:szCs w:val="36"/>
          <w:highlight w:val="none"/>
        </w:rPr>
      </w:r>
      <w:r>
        <w:rPr>
          <w:color w:val="auto"/>
          <w:highlight w:val="none"/>
        </w:rPr>
      </w:r>
    </w:p>
    <w:p>
      <w:pPr>
        <w:pStyle w:val="863"/>
        <w:ind w:firstLine="562"/>
        <w:jc w:val="left"/>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一、开标</w:t>
      </w:r>
      <w:r>
        <w:rPr>
          <w:rFonts w:hint="eastAsia" w:ascii="宋体" w:hAnsi="宋体" w:cs="宋体"/>
          <w:b/>
          <w:color w:val="auto"/>
          <w:sz w:val="28"/>
          <w:szCs w:val="28"/>
          <w:highlight w:val="none"/>
        </w:rPr>
      </w:r>
      <w:r>
        <w:rPr>
          <w:color w:val="auto"/>
          <w:highlight w:val="none"/>
        </w:rPr>
      </w:r>
    </w:p>
    <w:p>
      <w:pPr>
        <w:pStyle w:val="863"/>
        <w:ind w:firstLine="537"/>
        <w:spacing w:line="500" w:lineRule="exact"/>
        <w:tabs>
          <w:tab w:val="left" w:pos="358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不见面远程开标模式：投标人在各自地点通过“苏采云”不见面交易系统参加开标会。</w:t>
      </w:r>
      <w:r>
        <w:rPr>
          <w:rFonts w:hint="eastAsia" w:ascii="宋体" w:hAnsi="宋体" w:cs="宋体"/>
          <w:color w:val="auto"/>
          <w:sz w:val="28"/>
          <w:szCs w:val="28"/>
          <w:highlight w:val="none"/>
        </w:rPr>
      </w:r>
      <w:r>
        <w:rPr>
          <w:color w:val="auto"/>
          <w:highlight w:val="none"/>
        </w:rPr>
      </w:r>
    </w:p>
    <w:p>
      <w:pPr>
        <w:pStyle w:val="863"/>
        <w:ind w:firstLine="562"/>
        <w:jc w:val="left"/>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二、评标流程和评标标准</w:t>
      </w:r>
      <w:r>
        <w:rPr>
          <w:rFonts w:hint="eastAsia" w:ascii="宋体" w:hAnsi="宋体" w:cs="宋体"/>
          <w:b/>
          <w:color w:val="auto"/>
          <w:sz w:val="28"/>
          <w:szCs w:val="28"/>
          <w:highlight w:val="none"/>
        </w:rPr>
      </w:r>
      <w:r>
        <w:rPr>
          <w:color w:val="auto"/>
          <w:highlight w:val="none"/>
        </w:rPr>
      </w:r>
    </w:p>
    <w:p>
      <w:pPr>
        <w:pStyle w:val="863"/>
        <w:ind w:firstLine="555"/>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采用综合评分法。分资格审查、符合性审查、商务技术标、价格标四部分评审，总分值为100分，加分和减分因素除外。</w:t>
      </w:r>
      <w:r>
        <w:rPr>
          <w:rFonts w:hint="eastAsia" w:ascii="宋体" w:hAnsi="宋体" w:cs="宋体"/>
          <w:color w:val="auto"/>
          <w:sz w:val="28"/>
          <w:szCs w:val="28"/>
          <w:highlight w:val="none"/>
        </w:rPr>
      </w:r>
      <w:r>
        <w:rPr>
          <w:color w:val="auto"/>
          <w:highlight w:val="none"/>
        </w:rPr>
      </w:r>
    </w:p>
    <w:p>
      <w:pPr>
        <w:pStyle w:val="863"/>
        <w:ind w:firstLine="555"/>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rPr>
          <w:rFonts w:hint="eastAsia" w:ascii="宋体" w:hAnsi="宋体" w:cs="宋体"/>
          <w:color w:val="auto"/>
          <w:sz w:val="28"/>
          <w:szCs w:val="28"/>
          <w:highlight w:val="none"/>
        </w:rPr>
      </w:r>
      <w:r>
        <w:rPr>
          <w:color w:val="auto"/>
          <w:highlight w:val="none"/>
        </w:rPr>
      </w:r>
    </w:p>
    <w:p>
      <w:pPr>
        <w:pStyle w:val="863"/>
        <w:ind w:firstLine="555"/>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应进行现场报价,价低的排前列。投标文件满足招标文件全部实质性要求，且按照评审因素的量化指标评审得分前三名的投标人为中标候选人。</w:t>
      </w:r>
      <w:r>
        <w:rPr>
          <w:rFonts w:hint="eastAsia" w:ascii="宋体" w:hAnsi="宋体" w:cs="宋体"/>
          <w:color w:val="auto"/>
          <w:sz w:val="28"/>
          <w:szCs w:val="28"/>
          <w:highlight w:val="none"/>
        </w:rPr>
      </w:r>
      <w:r>
        <w:rPr>
          <w:color w:val="auto"/>
          <w:highlight w:val="none"/>
        </w:rPr>
      </w:r>
    </w:p>
    <w:p>
      <w:pPr>
        <w:pStyle w:val="863"/>
        <w:ind w:firstLine="555"/>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rPr>
          <w:rFonts w:hint="eastAsia" w:ascii="宋体" w:hAnsi="宋体" w:cs="宋体"/>
          <w:color w:val="auto"/>
          <w:sz w:val="28"/>
          <w:szCs w:val="28"/>
          <w:highlight w:val="none"/>
        </w:rPr>
      </w:r>
      <w:r>
        <w:rPr>
          <w:color w:val="auto"/>
          <w:highlight w:val="none"/>
        </w:rPr>
      </w:r>
    </w:p>
    <w:p>
      <w:pPr>
        <w:pStyle w:val="863"/>
        <w:ind w:firstLine="413"/>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（一）采购人（代表）对投标人资格进行审查。</w:t>
      </w:r>
      <w:r>
        <w:rPr>
          <w:rFonts w:hint="eastAsia" w:ascii="宋体" w:hAnsi="宋体" w:cs="宋体"/>
          <w:b/>
          <w:color w:val="auto"/>
          <w:sz w:val="28"/>
          <w:szCs w:val="28"/>
          <w:highlight w:val="none"/>
        </w:rPr>
      </w:r>
      <w:r>
        <w:rPr>
          <w:color w:val="auto"/>
          <w:highlight w:val="none"/>
        </w:rPr>
      </w:r>
    </w:p>
    <w:p>
      <w:pPr>
        <w:pStyle w:val="863"/>
        <w:ind w:firstLine="576"/>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投标人资格不合格的，其投标文件判定为无效投标文件。</w:t>
      </w:r>
      <w:r>
        <w:rPr>
          <w:rFonts w:hint="eastAsia" w:ascii="宋体" w:hAnsi="宋体" w:cs="宋体"/>
          <w:color w:val="auto"/>
          <w:sz w:val="28"/>
          <w:szCs w:val="28"/>
          <w:highlight w:val="none"/>
        </w:rPr>
      </w:r>
      <w:r>
        <w:rPr>
          <w:color w:val="auto"/>
          <w:highlight w:val="none"/>
        </w:rPr>
      </w:r>
    </w:p>
    <w:p>
      <w:pPr>
        <w:pStyle w:val="863"/>
        <w:ind w:firstLine="413"/>
        <w:jc w:val="left"/>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（二）评标委员会对符合资格投标人的投标文件进行符合性审查。</w:t>
      </w:r>
      <w:r>
        <w:rPr>
          <w:rFonts w:hint="eastAsia" w:ascii="宋体" w:hAnsi="宋体" w:cs="宋体"/>
          <w:b/>
          <w:color w:val="auto"/>
          <w:sz w:val="28"/>
          <w:szCs w:val="28"/>
          <w:highlight w:val="none"/>
        </w:rPr>
      </w:r>
      <w:r>
        <w:rPr>
          <w:color w:val="auto"/>
          <w:highlight w:val="none"/>
        </w:rPr>
      </w:r>
    </w:p>
    <w:p>
      <w:pPr>
        <w:pStyle w:val="939"/>
        <w:ind w:firstLine="577"/>
        <w:spacing w:line="50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rPr>
          <w:rFonts w:hint="eastAsia" w:ascii="宋体" w:eastAsia="宋体" w:cs="宋体"/>
          <w:color w:val="auto"/>
          <w:sz w:val="28"/>
          <w:highlight w:val="none"/>
        </w:rPr>
      </w:r>
      <w:r>
        <w:rPr>
          <w:color w:val="auto"/>
          <w:highlight w:val="none"/>
        </w:rPr>
      </w:r>
    </w:p>
    <w:p>
      <w:pPr>
        <w:pStyle w:val="863"/>
        <w:ind w:firstLine="413"/>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w:t>
      </w:r>
      <w:r>
        <w:rPr>
          <w:rFonts w:hint="eastAsia" w:ascii="宋体" w:hAnsi="宋体" w:cs="宋体"/>
          <w:b/>
          <w:color w:val="auto"/>
          <w:sz w:val="28"/>
          <w:szCs w:val="28"/>
          <w:highlight w:val="none"/>
          <w:lang w:val="zh-CN"/>
        </w:rPr>
        <w:t xml:space="preserve">商务技术分：</w:t>
      </w:r>
      <w:r>
        <w:rPr>
          <w:rFonts w:ascii="宋体" w:hAnsi="宋体" w:cs="宋体"/>
          <w:b/>
          <w:color w:val="auto"/>
          <w:sz w:val="28"/>
          <w:szCs w:val="28"/>
          <w:highlight w:val="none"/>
        </w:rPr>
        <w:t xml:space="preserve">70</w:t>
      </w:r>
      <w:r>
        <w:rPr>
          <w:rFonts w:hint="eastAsia" w:ascii="宋体" w:hAnsi="宋体" w:cs="宋体"/>
          <w:b/>
          <w:color w:val="auto"/>
          <w:sz w:val="28"/>
          <w:szCs w:val="28"/>
          <w:highlight w:val="none"/>
          <w:lang w:val="zh-CN"/>
        </w:rPr>
        <w:t xml:space="preserve">分</w:t>
      </w:r>
      <w:r>
        <w:rPr>
          <w:rFonts w:hint="eastAsia" w:ascii="宋体" w:hAnsi="宋体" w:cs="宋体"/>
          <w:b/>
          <w:color w:val="auto"/>
          <w:sz w:val="28"/>
          <w:szCs w:val="28"/>
          <w:highlight w:val="none"/>
          <w:lang w:val="zh-CN"/>
        </w:rPr>
      </w:r>
      <w:r>
        <w:rPr>
          <w:color w:val="auto"/>
          <w:highlight w:val="none"/>
        </w:rPr>
      </w:r>
    </w:p>
    <w:tbl>
      <w:tblPr>
        <w:tblW w:w="101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485"/>
        <w:gridCol w:w="705"/>
        <w:gridCol w:w="7249"/>
      </w:tblGrid>
      <w:tr>
        <w:trPr/>
        <w:tc>
          <w:tcPr>
            <w:tcW w:w="728" w:type="dxa"/>
            <w:vAlign w:val="center"/>
            <w:textDirection w:val="lrTb"/>
            <w:noWrap w:val="false"/>
          </w:tcPr>
          <w:p>
            <w:pPr>
              <w:pStyle w:val="863"/>
              <w:jc w:val="center"/>
              <w:spacing w:line="360" w:lineRule="auto"/>
              <w:rPr>
                <w:rFonts w:hint="eastAsia" w:ascii="宋体" w:hAnsi="宋体"/>
                <w:b/>
                <w:bCs/>
                <w:color w:val="auto"/>
                <w:sz w:val="24"/>
                <w:highlight w:val="none"/>
              </w:rPr>
            </w:pPr>
            <w:r>
              <w:rPr>
                <w:rFonts w:hint="eastAsia" w:ascii="宋体" w:hAnsi="宋体"/>
                <w:b/>
                <w:bCs/>
                <w:color w:val="auto"/>
                <w:sz w:val="24"/>
                <w:highlight w:val="none"/>
                <w:lang w:val="zh-CN"/>
              </w:rPr>
              <w:t xml:space="preserve">序号</w:t>
            </w:r>
            <w:r>
              <w:rPr>
                <w:rFonts w:hint="eastAsia" w:ascii="宋体" w:hAnsi="宋体"/>
                <w:b/>
                <w:bCs/>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360" w:lineRule="auto"/>
              <w:rPr>
                <w:rFonts w:hint="eastAsia" w:ascii="宋体" w:hAnsi="宋体"/>
                <w:b/>
                <w:bCs/>
                <w:color w:val="auto"/>
                <w:sz w:val="24"/>
                <w:highlight w:val="none"/>
              </w:rPr>
            </w:pPr>
            <w:r>
              <w:rPr>
                <w:rFonts w:hint="eastAsia" w:ascii="宋体" w:hAnsi="宋体"/>
                <w:b/>
                <w:bCs/>
                <w:color w:val="auto"/>
                <w:sz w:val="24"/>
                <w:highlight w:val="none"/>
                <w:lang w:val="zh-CN"/>
              </w:rPr>
              <w:t xml:space="preserve">评分点名称</w:t>
            </w:r>
            <w:r>
              <w:rPr>
                <w:rFonts w:hint="eastAsia" w:ascii="宋体" w:hAnsi="宋体"/>
                <w:b/>
                <w:bCs/>
                <w:color w:val="auto"/>
                <w:sz w:val="24"/>
                <w:highlight w:val="none"/>
                <w:lang w:val="zh-CN"/>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b/>
                <w:bCs/>
                <w:color w:val="auto"/>
                <w:sz w:val="24"/>
                <w:highlight w:val="none"/>
              </w:rPr>
            </w:pPr>
            <w:r>
              <w:rPr>
                <w:rFonts w:hint="eastAsia" w:ascii="宋体" w:hAnsi="宋体"/>
                <w:b/>
                <w:bCs/>
                <w:color w:val="auto"/>
                <w:sz w:val="24"/>
                <w:highlight w:val="none"/>
                <w:lang w:val="zh-CN"/>
              </w:rPr>
              <w:t xml:space="preserve">分值</w:t>
            </w:r>
            <w:r>
              <w:rPr>
                <w:rFonts w:hint="eastAsia" w:ascii="宋体" w:hAnsi="宋体"/>
                <w:b/>
                <w:bCs/>
                <w:color w:val="auto"/>
                <w:sz w:val="24"/>
                <w:highlight w:val="none"/>
                <w:lang w:val="zh-CN"/>
              </w:rPr>
            </w:r>
            <w:r>
              <w:rPr>
                <w:color w:val="auto"/>
                <w:highlight w:val="none"/>
              </w:rPr>
            </w:r>
          </w:p>
        </w:tc>
        <w:tc>
          <w:tcPr>
            <w:tcW w:w="7249" w:type="dxa"/>
            <w:vAlign w:val="center"/>
            <w:textDirection w:val="lrTb"/>
            <w:noWrap w:val="false"/>
          </w:tcPr>
          <w:p>
            <w:pPr>
              <w:pStyle w:val="863"/>
              <w:ind w:firstLine="487"/>
              <w:jc w:val="center"/>
              <w:spacing w:line="360" w:lineRule="auto"/>
              <w:rPr>
                <w:rFonts w:hint="eastAsia" w:ascii="宋体" w:hAnsi="宋体"/>
                <w:b/>
                <w:bCs/>
                <w:color w:val="auto"/>
                <w:sz w:val="24"/>
                <w:highlight w:val="none"/>
              </w:rPr>
            </w:pPr>
            <w:r>
              <w:rPr>
                <w:rFonts w:hint="eastAsia" w:ascii="宋体" w:hAnsi="宋体"/>
                <w:b/>
                <w:bCs/>
                <w:color w:val="auto"/>
                <w:sz w:val="24"/>
                <w:highlight w:val="none"/>
                <w:lang w:val="zh-CN"/>
              </w:rPr>
              <w:t xml:space="preserve">评审标准</w:t>
            </w:r>
            <w:r>
              <w:rPr>
                <w:rFonts w:hint="eastAsia" w:ascii="宋体" w:hAnsi="宋体"/>
                <w:b/>
                <w:bCs/>
                <w:color w:val="auto"/>
                <w:sz w:val="24"/>
                <w:highlight w:val="none"/>
                <w:lang w:val="zh-CN"/>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ascii="宋体" w:hAnsi="宋体"/>
                <w:color w:val="auto"/>
                <w:sz w:val="24"/>
                <w:highlight w:val="none"/>
              </w:rPr>
            </w:pPr>
            <w:r>
              <w:rPr>
                <w:rFonts w:hint="eastAsia" w:ascii="宋体" w:hAnsi="宋体" w:cs="宋体"/>
                <w:color w:val="auto"/>
                <w:sz w:val="24"/>
                <w:highlight w:val="none"/>
              </w:rPr>
              <w:t xml:space="preserve">企业业绩</w:t>
            </w:r>
            <w:r>
              <w:rPr>
                <w:rFonts w:ascii="宋体" w:hAnsi="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ascii="宋体" w:hAnsi="宋体"/>
                <w:color w:val="auto"/>
                <w:sz w:val="24"/>
                <w:highlight w:val="none"/>
              </w:rPr>
            </w:pPr>
            <w:r>
              <w:rPr>
                <w:rFonts w:ascii="宋体" w:hAnsi="宋体"/>
                <w:color w:val="auto"/>
                <w:sz w:val="24"/>
                <w:highlight w:val="none"/>
              </w:rPr>
              <w:t xml:space="preserve">10</w:t>
            </w:r>
            <w:r>
              <w:rPr>
                <w:rFonts w:ascii="宋体" w:hAnsi="宋体"/>
                <w:color w:val="auto"/>
                <w:sz w:val="24"/>
                <w:highlight w:val="none"/>
              </w:rPr>
            </w:r>
            <w:r>
              <w:rPr>
                <w:color w:val="auto"/>
                <w:highlight w:val="none"/>
              </w:rPr>
            </w:r>
          </w:p>
        </w:tc>
        <w:tc>
          <w:tcPr>
            <w:tcW w:w="7249" w:type="dxa"/>
            <w:vAlign w:val="center"/>
            <w:textDirection w:val="lrTb"/>
            <w:noWrap w:val="false"/>
          </w:tcPr>
          <w:p>
            <w:pPr>
              <w:pStyle w:val="863"/>
              <w:jc w:val="left"/>
              <w:shd w:val="clear" w:color="auto" w:fill="ffffff"/>
              <w:widowControl/>
              <w:rPr>
                <w:rFonts w:hint="eastAsia" w:ascii="宋体" w:hAnsi="宋体"/>
                <w:b/>
                <w:bCs/>
                <w:color w:val="auto"/>
                <w:sz w:val="24"/>
                <w:highlight w:val="none"/>
              </w:rPr>
            </w:pPr>
            <w:r>
              <w:rPr>
                <w:rFonts w:hint="eastAsia" w:ascii="宋体" w:hAnsi="宋体"/>
                <w:color w:val="auto"/>
                <w:sz w:val="24"/>
                <w:highlight w:val="none"/>
              </w:rPr>
              <w:t xml:space="preserve">20</w:t>
            </w:r>
            <w:r>
              <w:rPr>
                <w:rFonts w:ascii="宋体" w:hAnsi="宋体"/>
                <w:color w:val="auto"/>
                <w:sz w:val="24"/>
                <w:highlight w:val="none"/>
              </w:rPr>
              <w:t xml:space="preserve">20</w:t>
            </w:r>
            <w:r>
              <w:rPr>
                <w:rFonts w:hint="eastAsia" w:ascii="宋体" w:hAnsi="宋体"/>
                <w:color w:val="auto"/>
                <w:sz w:val="24"/>
                <w:highlight w:val="none"/>
              </w:rPr>
              <w:t xml:space="preserve">年1月1日以来（以合同签订时间为准）投标供应商承担过类似项目业绩的，有一个得</w:t>
            </w:r>
            <w:r>
              <w:rPr>
                <w:rFonts w:ascii="宋体" w:hAnsi="宋体"/>
                <w:color w:val="auto"/>
                <w:sz w:val="24"/>
                <w:highlight w:val="none"/>
              </w:rPr>
              <w:t xml:space="preserve">2.5</w:t>
            </w:r>
            <w:r>
              <w:rPr>
                <w:rFonts w:hint="eastAsia" w:ascii="宋体" w:hAnsi="宋体"/>
                <w:color w:val="auto"/>
                <w:sz w:val="24"/>
                <w:highlight w:val="none"/>
              </w:rPr>
              <w:t xml:space="preserve">分，最多得</w:t>
            </w:r>
            <w:r>
              <w:rPr>
                <w:rFonts w:ascii="宋体" w:hAnsi="宋体"/>
                <w:color w:val="auto"/>
                <w:sz w:val="24"/>
                <w:highlight w:val="none"/>
              </w:rPr>
              <w:t xml:space="preserve">10</w:t>
            </w:r>
            <w:r>
              <w:rPr>
                <w:rFonts w:hint="eastAsia" w:ascii="宋体" w:hAnsi="宋体"/>
                <w:color w:val="auto"/>
                <w:sz w:val="24"/>
                <w:highlight w:val="none"/>
              </w:rPr>
              <w:t xml:space="preserve">分。</w:t>
            </w:r>
            <w:r>
              <w:rPr>
                <w:rFonts w:hint="eastAsia"/>
                <w:color w:val="auto"/>
                <w:sz w:val="24"/>
                <w:highlight w:val="none"/>
              </w:rPr>
              <w:t xml:space="preserve">提供合同，如合同内容未能体现的，需提供清单项目特征描述等证明材料。</w:t>
            </w:r>
            <w:r>
              <w:rPr>
                <w:rFonts w:hint="eastAsia" w:ascii="宋体" w:hAnsi="宋体"/>
                <w:b/>
                <w:bCs/>
                <w:color w:val="auto"/>
                <w:sz w:val="24"/>
                <w:highlight w:val="none"/>
                <w:lang w:val="zh-CN"/>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企业实力</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ascii="宋体" w:hAnsi="宋体"/>
                <w:color w:val="auto"/>
                <w:sz w:val="24"/>
                <w:highlight w:val="none"/>
              </w:rPr>
            </w:r>
            <w:r>
              <w:rPr>
                <w:color w:val="auto"/>
                <w:highlight w:val="none"/>
              </w:rPr>
            </w:r>
          </w:p>
        </w:tc>
        <w:tc>
          <w:tcPr>
            <w:tcW w:w="7249" w:type="dxa"/>
            <w:vAlign w:val="center"/>
            <w:textDirection w:val="lrTb"/>
            <w:noWrap w:val="false"/>
          </w:tcPr>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1.投标供应商获得过与农业相关的国家级科学技术进步奖的，每有一个得</w:t>
            </w:r>
            <w:r>
              <w:rPr>
                <w:rFonts w:ascii="宋体" w:hAnsi="宋体"/>
                <w:color w:val="auto"/>
                <w:sz w:val="24"/>
                <w:highlight w:val="none"/>
              </w:rPr>
              <w:t xml:space="preserve">3</w:t>
            </w:r>
            <w:r>
              <w:rPr>
                <w:rFonts w:hint="eastAsia" w:ascii="宋体" w:hAnsi="宋体"/>
                <w:color w:val="auto"/>
                <w:sz w:val="24"/>
                <w:highlight w:val="none"/>
              </w:rPr>
              <w:t xml:space="preserve">分；投标供应商获得过与农业相关的省部级奖项的，每有一个得</w:t>
            </w:r>
            <w:r>
              <w:rPr>
                <w:rFonts w:ascii="宋体" w:hAnsi="宋体"/>
                <w:color w:val="auto"/>
                <w:sz w:val="24"/>
                <w:highlight w:val="none"/>
              </w:rPr>
              <w:t xml:space="preserve">2</w:t>
            </w:r>
            <w:r>
              <w:rPr>
                <w:rFonts w:hint="eastAsia" w:ascii="宋体" w:hAnsi="宋体"/>
                <w:color w:val="auto"/>
                <w:sz w:val="24"/>
                <w:highlight w:val="none"/>
              </w:rPr>
              <w:t xml:space="preserve">分；</w:t>
            </w:r>
            <w:r>
              <w:rPr>
                <w:rFonts w:hint="eastAsia" w:ascii="宋体" w:hAnsi="宋体"/>
                <w:color w:val="auto"/>
                <w:sz w:val="24"/>
                <w:highlight w:val="none"/>
              </w:rPr>
              <w:t xml:space="preserve">投标供应商获得过与农业相关的地市级奖项的，每有一个得</w:t>
            </w:r>
            <w:r>
              <w:rPr>
                <w:rFonts w:ascii="宋体" w:hAnsi="宋体"/>
                <w:color w:val="auto"/>
                <w:sz w:val="24"/>
                <w:highlight w:val="none"/>
              </w:rPr>
              <w:t xml:space="preserve">1</w:t>
            </w:r>
            <w:r>
              <w:rPr>
                <w:rFonts w:hint="eastAsia" w:ascii="宋体" w:hAnsi="宋体"/>
                <w:color w:val="auto"/>
                <w:sz w:val="24"/>
                <w:highlight w:val="none"/>
              </w:rPr>
              <w:t xml:space="preserve">分（地市级获奖最高得</w:t>
            </w:r>
            <w:r>
              <w:rPr>
                <w:rFonts w:ascii="宋体" w:hAnsi="宋体"/>
                <w:color w:val="auto"/>
                <w:sz w:val="24"/>
                <w:highlight w:val="none"/>
              </w:rPr>
              <w:t xml:space="preserve">4</w:t>
            </w:r>
            <w:r>
              <w:rPr>
                <w:rFonts w:hint="eastAsia" w:ascii="宋体" w:hAnsi="宋体"/>
                <w:color w:val="auto"/>
                <w:sz w:val="24"/>
                <w:highlight w:val="none"/>
              </w:rPr>
              <w:t xml:space="preserve">分）； </w:t>
            </w:r>
            <w:r>
              <w:rPr>
                <w:rFonts w:hint="eastAsia" w:ascii="宋体" w:hAnsi="宋体"/>
                <w:color w:val="auto"/>
                <w:sz w:val="24"/>
                <w:highlight w:val="none"/>
              </w:rPr>
            </w:r>
            <w:r>
              <w:rPr>
                <w:color w:val="auto"/>
                <w:highlight w:val="none"/>
              </w:rPr>
            </w:r>
          </w:p>
          <w:p>
            <w:pPr>
              <w:pStyle w:val="863"/>
              <w:jc w:val="left"/>
              <w:shd w:val="clear" w:color="auto" w:fill="ffffff"/>
              <w:widowControl/>
              <w:rPr>
                <w:rFonts w:ascii="宋体" w:hAnsi="宋体"/>
                <w:color w:val="auto"/>
                <w:sz w:val="24"/>
                <w:highlight w:val="none"/>
              </w:rPr>
            </w:pPr>
            <w:r>
              <w:rPr>
                <w:rFonts w:hint="eastAsia" w:ascii="宋体" w:hAnsi="宋体"/>
                <w:color w:val="auto"/>
                <w:sz w:val="24"/>
                <w:highlight w:val="none"/>
              </w:rPr>
              <w:t xml:space="preserve">注：同一项目获得不同级别奖项的，按最高获奖得分计取，不重复累计，本项最高得1</w:t>
            </w:r>
            <w:r>
              <w:rPr>
                <w:rFonts w:ascii="宋体" w:hAnsi="宋体"/>
                <w:color w:val="auto"/>
                <w:sz w:val="24"/>
                <w:highlight w:val="none"/>
              </w:rPr>
              <w:t xml:space="preserve">0</w:t>
            </w:r>
            <w:r>
              <w:rPr>
                <w:rFonts w:hint="eastAsia" w:ascii="宋体" w:hAnsi="宋体"/>
                <w:color w:val="auto"/>
                <w:sz w:val="24"/>
                <w:highlight w:val="none"/>
              </w:rPr>
              <w:t xml:space="preserve">分（上述奖项须为政府行政部门颁发，提供获奖证书）</w:t>
            </w:r>
            <w:r>
              <w:rPr>
                <w:rFonts w:ascii="宋体" w:hAnsi="宋体"/>
                <w:color w:val="auto"/>
                <w:sz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2.投标供应商拥有农业设施相关软件著作权的得</w:t>
            </w:r>
            <w:r>
              <w:rPr>
                <w:rFonts w:ascii="宋体" w:hAnsi="宋体" w:eastAsia="宋体"/>
                <w:color w:val="auto"/>
                <w:szCs w:val="24"/>
                <w:highlight w:val="none"/>
              </w:rPr>
              <w:t xml:space="preserve">4</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hint="eastAsia"/>
                <w:color w:val="auto"/>
                <w:highlight w:val="none"/>
              </w:rPr>
            </w:pPr>
            <w:r>
              <w:rPr>
                <w:rFonts w:hint="eastAsia" w:ascii="宋体" w:hAnsi="宋体" w:eastAsia="宋体"/>
                <w:color w:val="auto"/>
                <w:szCs w:val="24"/>
                <w:highlight w:val="none"/>
              </w:rPr>
              <w:t xml:space="preserve">（提供国家版权局颁发的著作权登记证书）</w:t>
            </w:r>
            <w:r>
              <w:rPr>
                <w:rFonts w:hint="eastAsia"/>
                <w:color w:val="auto"/>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3</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技术参数响应性</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rPr>
              <w:t xml:space="preserve">13.5</w:t>
            </w:r>
            <w:r>
              <w:rPr>
                <w:rFonts w:hint="eastAsia" w:ascii="宋体" w:hAnsi="宋体"/>
                <w:color w:val="auto"/>
                <w:sz w:val="24"/>
                <w:highlight w:val="none"/>
              </w:rPr>
            </w:r>
            <w:r>
              <w:rPr>
                <w:color w:val="auto"/>
                <w:highlight w:val="none"/>
              </w:rPr>
            </w:r>
          </w:p>
        </w:tc>
        <w:tc>
          <w:tcPr>
            <w:tcW w:w="7249" w:type="dxa"/>
            <w:vAlign w:val="center"/>
            <w:textDirection w:val="lrTb"/>
            <w:noWrap w:val="false"/>
          </w:tcPr>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投标供应商所投设备技术指标，应完全满足或高于招标文件及清单所示的技术规格参数、配置、功能等要求。投标人所投设备技术规格参数、配置、功能与招标文件及清单要求不一致的应全部在技术偏离表中逐项列出，有负偏离的每项扣0.5分，扣完为止。</w:t>
            </w:r>
            <w:r>
              <w:rPr>
                <w:rFonts w:hint="eastAsia" w:ascii="宋体" w:hAnsi="宋体"/>
                <w:color w:val="auto"/>
                <w:sz w:val="24"/>
                <w:highlight w:val="none"/>
              </w:rPr>
            </w:r>
            <w:r>
              <w:rPr>
                <w:color w:val="auto"/>
                <w:highlight w:val="none"/>
              </w:rPr>
            </w:r>
          </w:p>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投标供应商承诺在设备安装完成时提供由生产厂家出具的合格证或检测报告（相关承诺书格式自拟），若不提供上述承诺书，则本项不得分。</w:t>
            </w:r>
            <w:r>
              <w:rPr>
                <w:rFonts w:hint="eastAsia" w:ascii="宋体" w:hAnsi="宋体"/>
                <w:color w:val="auto"/>
                <w:sz w:val="24"/>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4</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节能环保</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ascii="宋体" w:hAnsi="宋体"/>
                <w:color w:val="auto"/>
                <w:sz w:val="24"/>
                <w:highlight w:val="none"/>
              </w:rPr>
            </w:pPr>
            <w:r>
              <w:rPr>
                <w:rFonts w:hint="eastAsia" w:ascii="宋体" w:hAnsi="宋体"/>
                <w:color w:val="auto"/>
                <w:sz w:val="24"/>
                <w:highlight w:val="none"/>
              </w:rPr>
              <w:t xml:space="preserve">0</w:t>
            </w:r>
            <w:r>
              <w:rPr>
                <w:rFonts w:ascii="宋体" w:hAnsi="宋体"/>
                <w:color w:val="auto"/>
                <w:sz w:val="24"/>
                <w:highlight w:val="none"/>
              </w:rPr>
              <w:t xml:space="preserve">.5</w:t>
            </w:r>
            <w:r>
              <w:rPr>
                <w:rFonts w:ascii="宋体" w:hAnsi="宋体"/>
                <w:color w:val="auto"/>
                <w:sz w:val="24"/>
                <w:highlight w:val="none"/>
              </w:rPr>
            </w:r>
            <w:r>
              <w:rPr>
                <w:color w:val="auto"/>
                <w:highlight w:val="none"/>
              </w:rPr>
            </w:r>
          </w:p>
        </w:tc>
        <w:tc>
          <w:tcPr>
            <w:tcW w:w="7249" w:type="dxa"/>
            <w:vAlign w:val="center"/>
            <w:textDirection w:val="lrTb"/>
            <w:noWrap w:val="false"/>
          </w:tcPr>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1.投标产品属于财政部、国家发改委公布的“节能产品品目清单”范围内的，投标人提供国家确定的认证机构出具的、处于有效期之内的该节能产品认证证书复印件的，有 1 个得 0.</w:t>
            </w:r>
            <w:r>
              <w:rPr>
                <w:rFonts w:ascii="宋体" w:hAnsi="宋体"/>
                <w:color w:val="auto"/>
                <w:sz w:val="24"/>
                <w:highlight w:val="none"/>
              </w:rPr>
              <w:t xml:space="preserve">1</w:t>
            </w:r>
            <w:r>
              <w:rPr>
                <w:rFonts w:hint="eastAsia" w:ascii="宋体" w:hAnsi="宋体"/>
                <w:color w:val="auto"/>
                <w:sz w:val="24"/>
                <w:highlight w:val="none"/>
              </w:rPr>
              <w:t xml:space="preserve"> 分，最多得</w:t>
            </w:r>
            <w:r>
              <w:rPr>
                <w:rFonts w:ascii="宋体" w:hAnsi="宋体"/>
                <w:color w:val="auto"/>
                <w:sz w:val="24"/>
                <w:highlight w:val="none"/>
              </w:rPr>
              <w:t xml:space="preserve">0.2</w:t>
            </w:r>
            <w:r>
              <w:rPr>
                <w:rFonts w:hint="eastAsia" w:ascii="宋体" w:hAnsi="宋体"/>
                <w:color w:val="auto"/>
                <w:sz w:val="24"/>
                <w:highlight w:val="none"/>
              </w:rPr>
              <w:t xml:space="preserve">分。如投标产品均属于政府强制采购节能产品品目清单范围内，本项不得分。 </w:t>
            </w:r>
            <w:r>
              <w:rPr>
                <w:rFonts w:hint="eastAsia" w:ascii="宋体" w:hAnsi="宋体"/>
                <w:color w:val="auto"/>
                <w:sz w:val="24"/>
                <w:highlight w:val="none"/>
              </w:rPr>
            </w:r>
            <w:r>
              <w:rPr>
                <w:color w:val="auto"/>
                <w:highlight w:val="none"/>
              </w:rPr>
            </w:r>
          </w:p>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2.投标产品属于财政部、生态环境部公布的“环境标志产品品目清单”范围内的，投标人提供国家确定的认证机构出具的、处于有效期内的该环保产品认证证书复印件的，有 1 个得 0.</w:t>
            </w:r>
            <w:r>
              <w:rPr>
                <w:rFonts w:ascii="宋体" w:hAnsi="宋体"/>
                <w:color w:val="auto"/>
                <w:sz w:val="24"/>
                <w:highlight w:val="none"/>
              </w:rPr>
              <w:t xml:space="preserve">1</w:t>
            </w:r>
            <w:r>
              <w:rPr>
                <w:rFonts w:hint="eastAsia" w:ascii="宋体" w:hAnsi="宋体"/>
                <w:color w:val="auto"/>
                <w:sz w:val="24"/>
                <w:highlight w:val="none"/>
              </w:rPr>
              <w:t xml:space="preserve"> 分，最多得</w:t>
            </w:r>
            <w:r>
              <w:rPr>
                <w:rFonts w:ascii="宋体" w:hAnsi="宋体"/>
                <w:color w:val="auto"/>
                <w:sz w:val="24"/>
                <w:highlight w:val="none"/>
              </w:rPr>
              <w:t xml:space="preserve">0.2</w:t>
            </w:r>
            <w:r>
              <w:rPr>
                <w:rFonts w:hint="eastAsia" w:ascii="宋体" w:hAnsi="宋体"/>
                <w:color w:val="auto"/>
                <w:sz w:val="24"/>
                <w:highlight w:val="none"/>
              </w:rPr>
              <w:t xml:space="preserve"> 分。 </w:t>
            </w:r>
            <w:r>
              <w:rPr>
                <w:rFonts w:hint="eastAsia" w:ascii="宋体" w:hAnsi="宋体"/>
                <w:color w:val="auto"/>
                <w:sz w:val="24"/>
                <w:highlight w:val="none"/>
              </w:rPr>
            </w:r>
            <w:r>
              <w:rPr>
                <w:color w:val="auto"/>
                <w:highlight w:val="none"/>
              </w:rPr>
            </w:r>
          </w:p>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3.依据《江苏省财政厅关于加强政府绿色采购有关事项的通知》（苏财购〔2023〕65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w:t>
            </w:r>
            <w:r>
              <w:rPr>
                <w:rFonts w:ascii="宋体" w:hAnsi="宋体"/>
                <w:color w:val="auto"/>
                <w:sz w:val="24"/>
                <w:highlight w:val="none"/>
              </w:rPr>
              <w:t xml:space="preserve">0.1</w:t>
            </w:r>
            <w:r>
              <w:rPr>
                <w:rFonts w:hint="eastAsia" w:ascii="宋体" w:hAnsi="宋体"/>
                <w:color w:val="auto"/>
                <w:sz w:val="24"/>
                <w:highlight w:val="none"/>
              </w:rPr>
              <w:t xml:space="preserve"> 分（投标时须提供相应使用低 VOCs 含量的有效证明材料，否则不得分）。</w:t>
            </w:r>
            <w:r>
              <w:rPr>
                <w:rFonts w:hint="eastAsia" w:ascii="宋体" w:hAnsi="宋体"/>
                <w:color w:val="auto"/>
                <w:sz w:val="24"/>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lang w:val="zh-CN"/>
              </w:rPr>
              <w:t xml:space="preserve">5</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总体概述</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r>
            <w:r>
              <w:rPr>
                <w:color w:val="auto"/>
                <w:highlight w:val="none"/>
              </w:rPr>
            </w:r>
          </w:p>
        </w:tc>
        <w:tc>
          <w:tcPr>
            <w:tcW w:w="7249" w:type="dxa"/>
            <w:vAlign w:val="center"/>
            <w:textDirection w:val="lrTb"/>
            <w:noWrap w:val="false"/>
          </w:tcPr>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总体概述（对项目背景、区位优势、综改项目内容等展开阐述）。</w:t>
            </w:r>
            <w:r>
              <w:rPr>
                <w:rFonts w:hint="eastAsia" w:ascii="宋体" w:hAnsi="宋体"/>
                <w:color w:val="auto"/>
                <w:sz w:val="24"/>
                <w:highlight w:val="none"/>
              </w:rPr>
            </w:r>
            <w:r>
              <w:rPr>
                <w:color w:val="auto"/>
                <w:highlight w:val="none"/>
              </w:rPr>
            </w:r>
          </w:p>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（1）投标人对项目背景、区位优势、综改项目内容分析有充分认识和理解，分析科学深入，得</w:t>
            </w:r>
            <w:r>
              <w:rPr>
                <w:rFonts w:ascii="宋体" w:hAnsi="宋体"/>
                <w:color w:val="auto"/>
                <w:sz w:val="24"/>
                <w:highlight w:val="none"/>
              </w:rPr>
              <w:t xml:space="preserve">3</w:t>
            </w:r>
            <w:r>
              <w:rPr>
                <w:rFonts w:hint="eastAsia" w:ascii="宋体" w:hAnsi="宋体"/>
                <w:color w:val="auto"/>
                <w:sz w:val="24"/>
                <w:highlight w:val="none"/>
              </w:rPr>
              <w:t xml:space="preserve">分；</w:t>
            </w:r>
            <w:r>
              <w:rPr>
                <w:rFonts w:hint="eastAsia" w:ascii="宋体" w:hAnsi="宋体"/>
                <w:color w:val="auto"/>
                <w:sz w:val="24"/>
                <w:highlight w:val="none"/>
              </w:rPr>
            </w:r>
            <w:r>
              <w:rPr>
                <w:color w:val="auto"/>
                <w:highlight w:val="none"/>
              </w:rPr>
            </w:r>
          </w:p>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（2）投标人对项目背景、区位优势、综改项目内容分析有完整认识和理解，分析合理，得</w:t>
            </w:r>
            <w:r>
              <w:rPr>
                <w:rFonts w:ascii="宋体" w:hAnsi="宋体"/>
                <w:color w:val="auto"/>
                <w:sz w:val="24"/>
                <w:highlight w:val="none"/>
              </w:rPr>
              <w:t xml:space="preserve">2</w:t>
            </w:r>
            <w:r>
              <w:rPr>
                <w:rFonts w:hint="eastAsia" w:ascii="宋体" w:hAnsi="宋体"/>
                <w:color w:val="auto"/>
                <w:sz w:val="24"/>
                <w:highlight w:val="none"/>
              </w:rPr>
              <w:t xml:space="preserve">分；</w:t>
            </w:r>
            <w:r>
              <w:rPr>
                <w:rFonts w:hint="eastAsia" w:ascii="宋体" w:hAnsi="宋体"/>
                <w:color w:val="auto"/>
                <w:sz w:val="24"/>
                <w:highlight w:val="none"/>
              </w:rPr>
            </w:r>
            <w:r>
              <w:rPr>
                <w:color w:val="auto"/>
                <w:highlight w:val="none"/>
              </w:rPr>
            </w:r>
          </w:p>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（3）投标人对项目背景、区位优势、综改项目内容分析有基本认识和理解，得</w:t>
            </w:r>
            <w:r>
              <w:rPr>
                <w:rFonts w:ascii="宋体" w:hAnsi="宋体"/>
                <w:color w:val="auto"/>
                <w:sz w:val="24"/>
                <w:highlight w:val="none"/>
              </w:rPr>
              <w:t xml:space="preserve">1</w:t>
            </w:r>
            <w:r>
              <w:rPr>
                <w:rFonts w:hint="eastAsia" w:ascii="宋体" w:hAnsi="宋体"/>
                <w:color w:val="auto"/>
                <w:sz w:val="24"/>
                <w:highlight w:val="none"/>
              </w:rPr>
              <w:t xml:space="preserve">分；</w:t>
            </w:r>
            <w:r>
              <w:rPr>
                <w:rFonts w:hint="eastAsia" w:ascii="宋体" w:hAnsi="宋体"/>
                <w:color w:val="auto"/>
                <w:sz w:val="24"/>
                <w:highlight w:val="none"/>
              </w:rPr>
            </w:r>
            <w:r>
              <w:rPr>
                <w:color w:val="auto"/>
                <w:highlight w:val="none"/>
              </w:rPr>
            </w:r>
          </w:p>
          <w:p>
            <w:pPr>
              <w:pStyle w:val="863"/>
              <w:jc w:val="lef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（4）投标人对项目背景、区位优势、综改项目内容分析与项目不符或未提供的，得 0 分。</w:t>
            </w:r>
            <w:r>
              <w:rPr>
                <w:rFonts w:hint="eastAsia" w:ascii="宋体" w:hAnsi="宋体"/>
                <w:color w:val="auto"/>
                <w:sz w:val="24"/>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lang w:val="zh-CN"/>
              </w:rPr>
              <w:t xml:space="preserve">6</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技术解决方案</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r>
            <w:r>
              <w:rPr>
                <w:color w:val="auto"/>
                <w:highlight w:val="none"/>
              </w:rPr>
            </w:r>
          </w:p>
        </w:tc>
        <w:tc>
          <w:tcPr>
            <w:tcW w:w="7249" w:type="dxa"/>
            <w:vAlign w:val="center"/>
            <w:textDirection w:val="lrTb"/>
            <w:noWrap w:val="false"/>
          </w:tcPr>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技术解决方案（对平面布局、功能分区、设备功能等展开阐述）。</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（1）投标人对平面布局、功能分区、设备功能等阐述，方案完整详尽，专业性强，完全满足招标人的需求，得</w:t>
            </w:r>
            <w:r>
              <w:rPr>
                <w:rFonts w:ascii="宋体" w:hAnsi="宋体" w:eastAsia="宋体"/>
                <w:color w:val="auto"/>
                <w:szCs w:val="24"/>
                <w:highlight w:val="none"/>
              </w:rPr>
              <w:t xml:space="preserve">5</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（2）投标人对平面布局、功能分区、设备功能等阐述，方案完整，专业性可行，满足招标人的需求，得</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（3）投标人对平面布局、功能分区、设备功能等阐述，方案基本完整，具有一定专业性，不能完全满足招标人的需求，得</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分；</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（4）投标人对平面布局、功能分区、设备功能等阐述，方案不完整，缺乏专业性，不能满足招标人的需求或未提供的，得</w:t>
            </w:r>
            <w:r>
              <w:rPr>
                <w:rFonts w:ascii="宋体" w:hAnsi="宋体" w:eastAsia="宋体"/>
                <w:color w:val="auto"/>
                <w:szCs w:val="24"/>
                <w:highlight w:val="none"/>
              </w:rPr>
              <w:t xml:space="preserve">0</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lang w:val="zh-CN"/>
              </w:rPr>
              <w:t xml:space="preserve">7</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设备质量保证措施</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r>
            <w:r>
              <w:rPr>
                <w:color w:val="auto"/>
                <w:highlight w:val="none"/>
              </w:rPr>
            </w:r>
          </w:p>
        </w:tc>
        <w:tc>
          <w:tcPr>
            <w:tcW w:w="7249" w:type="dxa"/>
            <w:vAlign w:val="center"/>
            <w:textDirection w:val="lrTb"/>
            <w:noWrap w:val="false"/>
          </w:tcPr>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设备质量保证措施（对拟采购设备来源、安装调试的质量保证措施等展开阐述）。</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（1）投标人对拟采购设备来源、安装调试的质量保证措施完整详尽，专业性强，得</w:t>
            </w:r>
            <w:r>
              <w:rPr>
                <w:rFonts w:ascii="宋体" w:hAnsi="宋体" w:eastAsia="宋体"/>
                <w:color w:val="auto"/>
                <w:szCs w:val="24"/>
                <w:highlight w:val="none"/>
              </w:rPr>
              <w:t xml:space="preserve">5</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（2）投标人对拟采购设备来源、安装调试的质量保证措施完整、专业性可行，得</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 分；</w:t>
            </w:r>
            <w:r>
              <w:rPr>
                <w:rFonts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（3）投标人对拟采购设备来源、安装调试的质量保证措施基本完整、具有一定专业性，得</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分；</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（4）投标人对拟采购设备来源、安装调试的质量保证措施不完整、缺乏专业性或未提供的，得 0 分。</w:t>
            </w:r>
            <w:r>
              <w:rPr>
                <w:rFonts w:hint="eastAsia" w:ascii="宋体" w:hAnsi="宋体" w:eastAsia="宋体"/>
                <w:color w:val="auto"/>
                <w:szCs w:val="24"/>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lang w:val="zh-CN"/>
              </w:rPr>
              <w:t xml:space="preserve">8</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供货及安装进度保证措施</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r>
            <w:r>
              <w:rPr>
                <w:color w:val="auto"/>
                <w:highlight w:val="none"/>
              </w:rPr>
            </w:r>
          </w:p>
        </w:tc>
        <w:tc>
          <w:tcPr>
            <w:tcW w:w="7249" w:type="dxa"/>
            <w:vAlign w:val="center"/>
            <w:textDirection w:val="lrTb"/>
            <w:noWrap w:val="false"/>
          </w:tcPr>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供货及安装进度保证措施（根据项目总体时间进度，对设备供货计划、设备安装计划等展开阐述）。</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（1）投标人的设备供货计划、设备安装计划的进度保证措施完整详尽、专业性强，得</w:t>
            </w:r>
            <w:r>
              <w:rPr>
                <w:rFonts w:ascii="宋体" w:hAnsi="宋体" w:eastAsia="宋体"/>
                <w:color w:val="auto"/>
                <w:szCs w:val="24"/>
                <w:highlight w:val="none"/>
              </w:rPr>
              <w:t xml:space="preserve">5</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（2）投标人的设备供货计划、设备安装计划的进度保证措施完整、专业性可行，得</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（3）投标人的设备供货计划、设备安装计划的进度保证措施基本完整、具有一定专业性，得</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（4）投标人的设备供货计划、设备安装计划的进度保证措施不完整、缺乏专业性或未提供的，得</w:t>
            </w:r>
            <w:r>
              <w:rPr>
                <w:rFonts w:ascii="宋体" w:hAnsi="宋体" w:eastAsia="宋体"/>
                <w:color w:val="auto"/>
                <w:szCs w:val="24"/>
                <w:highlight w:val="none"/>
              </w:rPr>
              <w:t xml:space="preserve">0</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lang w:val="zh-CN"/>
              </w:rPr>
              <w:t xml:space="preserve">9</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运营方案</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r>
            <w:r>
              <w:rPr>
                <w:color w:val="auto"/>
                <w:highlight w:val="none"/>
              </w:rPr>
            </w:r>
          </w:p>
        </w:tc>
        <w:tc>
          <w:tcPr>
            <w:tcW w:w="7249" w:type="dxa"/>
            <w:vAlign w:val="center"/>
            <w:textDirection w:val="lrTb"/>
            <w:noWrap w:val="false"/>
          </w:tcPr>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运营方案（对运营内容、运营管理、人员配备等展开阐述）。</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（1）投标人的运营内容、运营管理、人员配备方案专业性强、运营体系完整详尽、有全方位的保障措施，得</w:t>
            </w:r>
            <w:r>
              <w:rPr>
                <w:rFonts w:ascii="宋体" w:hAnsi="宋体" w:eastAsia="宋体"/>
                <w:color w:val="auto"/>
                <w:szCs w:val="24"/>
                <w:highlight w:val="none"/>
              </w:rPr>
              <w:t xml:space="preserve">5</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（2）投标人的运营内容、运营管理、人员配备方案专业性可行、运营体系完整、有一定的保障措施，得</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分；</w:t>
            </w:r>
            <w:r>
              <w:rPr>
                <w:rFonts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（3）投标人的运营内容、运营管理、人员配备方案具有一定专业性、运营体系及保障措施基本完整，得</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分；</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4</w:t>
            </w:r>
            <w:r>
              <w:rPr>
                <w:rFonts w:hint="eastAsia" w:ascii="宋体" w:hAnsi="宋体" w:eastAsia="宋体"/>
                <w:color w:val="auto"/>
                <w:szCs w:val="24"/>
                <w:highlight w:val="none"/>
              </w:rPr>
              <w:t xml:space="preserve">）投标人的运营内容、运营管理、人员配备方案缺乏专业性、运营体系不完整、缺乏保障措施，或未提供的，得 </w:t>
            </w:r>
            <w:r>
              <w:rPr>
                <w:rFonts w:ascii="宋体" w:hAnsi="宋体" w:eastAsia="宋体"/>
                <w:color w:val="auto"/>
                <w:szCs w:val="24"/>
                <w:highlight w:val="none"/>
              </w:rPr>
              <w:t xml:space="preserve">0</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lang w:val="zh-CN"/>
              </w:rPr>
              <w:t xml:space="preserve">10</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应急方案</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r>
            <w:r>
              <w:rPr>
                <w:color w:val="auto"/>
                <w:highlight w:val="none"/>
              </w:rPr>
            </w:r>
          </w:p>
        </w:tc>
        <w:tc>
          <w:tcPr>
            <w:tcW w:w="7249" w:type="dxa"/>
            <w:vAlign w:val="center"/>
            <w:textDirection w:val="lrTb"/>
            <w:noWrap w:val="false"/>
          </w:tcPr>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应急方案（对发生突发事件和紧急事件时的应急机制和处置措施等展开阐述）。</w:t>
            </w:r>
            <w:r>
              <w:rPr>
                <w:rFonts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（1）投标人对发生突发事件和紧急事件时的应急机制和处置措施完整详尽、专业性强，得</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 分；</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（2）投标人对发生突发事件和紧急事件时的应急机制和处置措施完整、专业性可行，得</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 分；</w:t>
            </w:r>
            <w:r>
              <w:rPr>
                <w:rFonts w:hint="eastAsia"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（3）投标人对发生突发事件和紧急事件时的应急机制和处置措施基本完整、具有一定专业性，得</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（4）投标人对发生突发事件和紧急事件时的应急机制和处置措施不完整、缺乏专业性或未提供的，得 0 分。</w:t>
            </w:r>
            <w:r>
              <w:rPr>
                <w:rFonts w:hint="eastAsia" w:ascii="宋体" w:hAnsi="宋体" w:eastAsia="宋体"/>
                <w:color w:val="auto"/>
                <w:szCs w:val="24"/>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lang w:val="zh-CN"/>
              </w:rPr>
              <w:t xml:space="preserve">11</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培训方案</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r>
            <w:r>
              <w:rPr>
                <w:color w:val="auto"/>
                <w:highlight w:val="none"/>
              </w:rPr>
            </w:r>
          </w:p>
        </w:tc>
        <w:tc>
          <w:tcPr>
            <w:tcW w:w="7249" w:type="dxa"/>
            <w:vAlign w:val="center"/>
            <w:textDirection w:val="lrTb"/>
            <w:noWrap w:val="false"/>
          </w:tcPr>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培训方案（对设备使用的培训计划和培训内容等展开阐述）。</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（1）投标人对设备使用的培训计划针对性强、培训内容完整详尽，得</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（2）投标人对设备使用的培训计划可行、培训内容完整，得</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分；</w:t>
            </w:r>
            <w:r>
              <w:rPr>
                <w:rFonts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（3）投标人对设备使用的培训计划、培训内容基本完整，得</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分；</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4</w:t>
            </w:r>
            <w:r>
              <w:rPr>
                <w:rFonts w:hint="eastAsia" w:ascii="宋体" w:hAnsi="宋体" w:eastAsia="宋体"/>
                <w:color w:val="auto"/>
                <w:szCs w:val="24"/>
                <w:highlight w:val="none"/>
              </w:rPr>
              <w:t xml:space="preserve">）投标人对设备使用的培训计划不可行、培训内容不完整或未提供的，得 </w:t>
            </w:r>
            <w:r>
              <w:rPr>
                <w:rFonts w:ascii="宋体" w:hAnsi="宋体" w:eastAsia="宋体"/>
                <w:color w:val="auto"/>
                <w:szCs w:val="24"/>
                <w:highlight w:val="none"/>
              </w:rPr>
              <w:t xml:space="preserve">0</w:t>
            </w:r>
            <w:r>
              <w:rPr>
                <w:rFonts w:hint="eastAsia" w:ascii="宋体" w:hAnsi="宋体" w:eastAsia="宋体"/>
                <w:color w:val="auto"/>
                <w:szCs w:val="24"/>
                <w:highlight w:val="none"/>
              </w:rPr>
              <w:t xml:space="preserve">分；</w:t>
            </w:r>
            <w:r>
              <w:rPr>
                <w:rFonts w:hint="eastAsia" w:ascii="宋体" w:hAnsi="宋体" w:eastAsia="宋体"/>
                <w:color w:val="auto"/>
                <w:szCs w:val="24"/>
                <w:highlight w:val="none"/>
              </w:rPr>
            </w:r>
            <w:r>
              <w:rPr>
                <w:color w:val="auto"/>
                <w:highlight w:val="none"/>
              </w:rPr>
            </w:r>
          </w:p>
        </w:tc>
      </w:tr>
      <w:tr>
        <w:trPr/>
        <w:tc>
          <w:tcPr>
            <w:tcW w:w="728" w:type="dxa"/>
            <w:vAlign w:val="center"/>
            <w:textDirection w:val="lrTb"/>
            <w:noWrap w:val="false"/>
          </w:tcPr>
          <w:p>
            <w:pPr>
              <w:pStyle w:val="863"/>
              <w:jc w:val="center"/>
              <w:spacing w:line="360" w:lineRule="auto"/>
              <w:rPr>
                <w:rFonts w:hint="eastAsia" w:ascii="宋体" w:hAnsi="宋体"/>
                <w:color w:val="auto"/>
                <w:sz w:val="24"/>
                <w:highlight w:val="none"/>
              </w:rPr>
            </w:pPr>
            <w:r>
              <w:rPr>
                <w:rFonts w:ascii="宋体" w:hAnsi="宋体"/>
                <w:color w:val="auto"/>
                <w:sz w:val="24"/>
                <w:highlight w:val="none"/>
                <w:lang w:val="zh-CN"/>
              </w:rPr>
              <w:t xml:space="preserve">12</w:t>
            </w:r>
            <w:r>
              <w:rPr>
                <w:rFonts w:hint="eastAsia" w:ascii="宋体" w:hAnsi="宋体"/>
                <w:color w:val="auto"/>
                <w:sz w:val="24"/>
                <w:highlight w:val="none"/>
                <w:lang w:val="zh-CN"/>
              </w:rPr>
            </w:r>
            <w:r>
              <w:rPr>
                <w:color w:val="auto"/>
                <w:highlight w:val="none"/>
              </w:rPr>
            </w:r>
          </w:p>
        </w:tc>
        <w:tc>
          <w:tcPr>
            <w:tcW w:w="1485" w:type="dxa"/>
            <w:vAlign w:val="center"/>
            <w:textDirection w:val="lrTb"/>
            <w:noWrap w:val="false"/>
          </w:tcPr>
          <w:p>
            <w:pPr>
              <w:pStyle w:val="863"/>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售后服务</w:t>
            </w:r>
            <w:r>
              <w:rPr>
                <w:rFonts w:hint="eastAsia" w:ascii="宋体" w:hAnsi="宋体" w:cs="宋体"/>
                <w:color w:val="auto"/>
                <w:sz w:val="24"/>
                <w:highlight w:val="none"/>
              </w:rPr>
            </w:r>
            <w:r>
              <w:rPr>
                <w:color w:val="auto"/>
                <w:highlight w:val="none"/>
              </w:rPr>
            </w:r>
          </w:p>
        </w:tc>
        <w:tc>
          <w:tcPr>
            <w:tcW w:w="705" w:type="dxa"/>
            <w:vAlign w:val="center"/>
            <w:textDirection w:val="lrTb"/>
            <w:noWrap w:val="false"/>
          </w:tcPr>
          <w:p>
            <w:pPr>
              <w:pStyle w:val="863"/>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rPr>
            </w:r>
            <w:r>
              <w:rPr>
                <w:color w:val="auto"/>
                <w:highlight w:val="none"/>
              </w:rPr>
            </w:r>
          </w:p>
        </w:tc>
        <w:tc>
          <w:tcPr>
            <w:tcW w:w="7249" w:type="dxa"/>
            <w:vAlign w:val="center"/>
            <w:textDirection w:val="lrTb"/>
            <w:noWrap w:val="false"/>
          </w:tcPr>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售后服务（对售后服务体系、服务标准、备件支持、保修措施等展开阐述）。</w:t>
            </w:r>
            <w:r>
              <w:rPr>
                <w:rFonts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（1）投标人的售后服务体系、服务标准、备件支持、保修措施完整详尽、专业性强，得</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 分；</w:t>
            </w:r>
            <w:r>
              <w:rPr>
                <w:rFonts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（2）投标人的售后服务体系、服务标准、备件支持、保修措施完整、专业性可行，得</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 分；</w:t>
            </w:r>
            <w:r>
              <w:rPr>
                <w:rFonts w:ascii="宋体" w:hAnsi="宋体" w:eastAsia="宋体"/>
                <w:color w:val="auto"/>
                <w:szCs w:val="24"/>
                <w:highlight w:val="none"/>
              </w:rPr>
            </w:r>
            <w:r>
              <w:rPr>
                <w:color w:val="auto"/>
                <w:highlight w:val="none"/>
              </w:rPr>
            </w:r>
          </w:p>
          <w:p>
            <w:pPr>
              <w:pStyle w:val="875"/>
              <w:rPr>
                <w:rFonts w:ascii="宋体" w:hAnsi="宋体" w:eastAsia="宋体"/>
                <w:color w:val="auto"/>
                <w:szCs w:val="24"/>
                <w:highlight w:val="none"/>
              </w:rPr>
            </w:pPr>
            <w:r>
              <w:rPr>
                <w:rFonts w:hint="eastAsia" w:ascii="宋体" w:hAnsi="宋体" w:eastAsia="宋体"/>
                <w:color w:val="auto"/>
                <w:szCs w:val="24"/>
                <w:highlight w:val="none"/>
              </w:rPr>
              <w:t xml:space="preserve">（3）投标人的售后服务体系、服务标准、备件支持、保修措施基本完整、具有一定专业性，得</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分；</w:t>
            </w:r>
            <w:r>
              <w:rPr>
                <w:rFonts w:ascii="宋体" w:hAnsi="宋体" w:eastAsia="宋体"/>
                <w:color w:val="auto"/>
                <w:szCs w:val="24"/>
                <w:highlight w:val="none"/>
              </w:rPr>
            </w:r>
            <w:r>
              <w:rPr>
                <w:color w:val="auto"/>
                <w:highlight w:val="none"/>
              </w:rPr>
            </w:r>
          </w:p>
          <w:p>
            <w:pPr>
              <w:pStyle w:val="875"/>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4</w:t>
            </w:r>
            <w:r>
              <w:rPr>
                <w:rFonts w:hint="eastAsia" w:ascii="宋体" w:hAnsi="宋体" w:eastAsia="宋体"/>
                <w:color w:val="auto"/>
                <w:szCs w:val="24"/>
                <w:highlight w:val="none"/>
              </w:rPr>
              <w:t xml:space="preserve">）投标人的售后服务体系、服务标准、备件支持、保修措施不完整、缺乏专业性或未提供的，得0分；</w:t>
            </w:r>
            <w:r>
              <w:rPr>
                <w:rFonts w:hint="eastAsia" w:ascii="宋体" w:hAnsi="宋体" w:eastAsia="宋体"/>
                <w:color w:val="auto"/>
                <w:szCs w:val="24"/>
                <w:highlight w:val="none"/>
              </w:rPr>
            </w:r>
            <w:r>
              <w:rPr>
                <w:color w:val="auto"/>
                <w:highlight w:val="none"/>
              </w:rPr>
            </w:r>
          </w:p>
        </w:tc>
      </w:tr>
    </w:tbl>
    <w:p>
      <w:pPr>
        <w:pStyle w:val="863"/>
        <w:ind w:firstLine="446"/>
        <w:spacing w:line="360" w:lineRule="auto"/>
        <w:rPr>
          <w:rFonts w:hint="eastAsia" w:ascii="宋体" w:hAnsi="宋体" w:cs="宋体"/>
          <w:b/>
          <w:bCs/>
          <w:color w:val="auto"/>
          <w:sz w:val="22"/>
          <w:szCs w:val="28"/>
          <w:highlight w:val="none"/>
        </w:rPr>
      </w:pPr>
      <w:r>
        <w:rPr>
          <w:rFonts w:hint="eastAsia" w:ascii="宋体" w:hAnsi="宋体" w:cs="宋体"/>
          <w:b/>
          <w:bCs/>
          <w:color w:val="auto"/>
          <w:sz w:val="22"/>
          <w:szCs w:val="28"/>
          <w:highlight w:val="none"/>
          <w:lang w:val="zh-CN"/>
        </w:rPr>
        <w:t xml:space="preserve">注：①响应文件商务技术分得分低于60%时视为未实质性响应采购文件要求，作为无效投标处理。</w:t>
      </w:r>
      <w:r>
        <w:rPr>
          <w:rFonts w:hint="eastAsia" w:ascii="宋体" w:hAnsi="宋体" w:cs="宋体"/>
          <w:b/>
          <w:bCs/>
          <w:color w:val="auto"/>
          <w:sz w:val="22"/>
          <w:szCs w:val="28"/>
          <w:highlight w:val="none"/>
          <w:lang w:val="zh-CN"/>
        </w:rPr>
      </w:r>
      <w:r>
        <w:rPr>
          <w:color w:val="auto"/>
          <w:highlight w:val="none"/>
        </w:rPr>
      </w:r>
    </w:p>
    <w:p>
      <w:pPr>
        <w:pStyle w:val="863"/>
        <w:ind w:firstLine="446"/>
        <w:spacing w:line="360" w:lineRule="auto"/>
        <w:rPr>
          <w:rFonts w:hint="eastAsia" w:ascii="宋体" w:hAnsi="宋体" w:cs="宋体"/>
          <w:b/>
          <w:bCs/>
          <w:color w:val="auto"/>
          <w:sz w:val="22"/>
          <w:szCs w:val="28"/>
          <w:highlight w:val="none"/>
        </w:rPr>
      </w:pPr>
      <w:r>
        <w:rPr>
          <w:rFonts w:hint="eastAsia" w:ascii="宋体" w:hAnsi="宋体" w:cs="宋体"/>
          <w:b/>
          <w:bCs/>
          <w:color w:val="auto"/>
          <w:sz w:val="22"/>
          <w:szCs w:val="28"/>
          <w:highlight w:val="none"/>
          <w:lang w:val="zh-CN"/>
        </w:rPr>
        <w:t xml:space="preserve">②请供应商根据评分标准制作评分索引并放在评审内容的前面，评分索引中应标明每个评分点的页码范围，如投标文件内容顺序混乱，导致评委无法查看，后果自负。 </w:t>
      </w:r>
      <w:r>
        <w:rPr>
          <w:rFonts w:hint="eastAsia" w:ascii="宋体" w:hAnsi="宋体" w:cs="宋体"/>
          <w:b/>
          <w:bCs/>
          <w:color w:val="auto"/>
          <w:sz w:val="22"/>
          <w:szCs w:val="28"/>
          <w:highlight w:val="none"/>
          <w:lang w:val="zh-CN"/>
        </w:rPr>
      </w:r>
      <w:r>
        <w:rPr>
          <w:color w:val="auto"/>
          <w:highlight w:val="none"/>
        </w:rPr>
      </w:r>
    </w:p>
    <w:p>
      <w:pPr>
        <w:pStyle w:val="863"/>
        <w:ind w:firstLine="446"/>
        <w:spacing w:line="360" w:lineRule="auto"/>
        <w:rPr>
          <w:rFonts w:hint="eastAsia" w:ascii="宋体" w:hAnsi="宋体" w:cs="宋体"/>
          <w:b/>
          <w:bCs/>
          <w:color w:val="auto"/>
          <w:sz w:val="22"/>
          <w:szCs w:val="28"/>
          <w:highlight w:val="none"/>
        </w:rPr>
      </w:pPr>
      <w:r>
        <w:rPr>
          <w:rFonts w:hint="eastAsia" w:ascii="宋体" w:hAnsi="宋体" w:cs="宋体"/>
          <w:b/>
          <w:bCs/>
          <w:color w:val="auto"/>
          <w:sz w:val="22"/>
          <w:szCs w:val="28"/>
          <w:highlight w:val="none"/>
          <w:lang w:val="zh-CN"/>
        </w:rPr>
        <w:t xml:space="preserve">③请供应商制作投标文件的时保证图片、文字材料的完整、清晰可辨，任何原因导致评委看不清楚或无法查看，后果由供应商自负。</w:t>
      </w:r>
      <w:r>
        <w:rPr>
          <w:rFonts w:hint="eastAsia" w:ascii="宋体" w:hAnsi="宋体" w:cs="宋体"/>
          <w:b/>
          <w:bCs/>
          <w:color w:val="auto"/>
          <w:sz w:val="22"/>
          <w:szCs w:val="28"/>
          <w:highlight w:val="none"/>
          <w:lang w:val="zh-CN"/>
        </w:rPr>
      </w:r>
      <w:r>
        <w:rPr>
          <w:color w:val="auto"/>
          <w:highlight w:val="none"/>
        </w:rPr>
      </w:r>
    </w:p>
    <w:p>
      <w:pPr>
        <w:pStyle w:val="863"/>
        <w:ind w:firstLine="446"/>
        <w:spacing w:line="360" w:lineRule="auto"/>
        <w:rPr>
          <w:rFonts w:hint="eastAsia" w:ascii="宋体" w:hAnsi="宋体" w:cs="宋体"/>
          <w:b/>
          <w:bCs/>
          <w:color w:val="auto"/>
          <w:sz w:val="22"/>
          <w:szCs w:val="28"/>
          <w:highlight w:val="none"/>
        </w:rPr>
      </w:pPr>
      <w:r>
        <w:rPr>
          <w:rFonts w:hint="eastAsia" w:ascii="宋体" w:hAnsi="宋体" w:cs="宋体"/>
          <w:b/>
          <w:bCs/>
          <w:color w:val="auto"/>
          <w:sz w:val="22"/>
          <w:szCs w:val="28"/>
          <w:highlight w:val="none"/>
          <w:lang w:val="zh-CN"/>
        </w:rPr>
        <w:t xml:space="preserve">④供应商制作投标文件时所用的所有原件材料均须准备好中标公告结束后</w:t>
      </w:r>
      <w:r>
        <w:rPr>
          <w:rFonts w:hint="eastAsia" w:ascii="宋体" w:hAnsi="宋体" w:cs="宋体"/>
          <w:b/>
          <w:bCs/>
          <w:color w:val="auto"/>
          <w:sz w:val="22"/>
          <w:szCs w:val="28"/>
          <w:highlight w:val="none"/>
        </w:rPr>
        <w:t xml:space="preserve">5日内</w:t>
      </w:r>
      <w:r>
        <w:rPr>
          <w:rFonts w:hint="eastAsia" w:ascii="宋体" w:hAnsi="宋体" w:cs="宋体"/>
          <w:b/>
          <w:bCs/>
          <w:color w:val="auto"/>
          <w:sz w:val="22"/>
          <w:szCs w:val="28"/>
          <w:highlight w:val="none"/>
          <w:lang w:val="zh-CN"/>
        </w:rPr>
        <w:t xml:space="preserve">被采购人核查，如核查时供应商不能提供相关原件材料作弄虚作假处理，供应商自行承担相应法律后果。</w:t>
      </w:r>
      <w:r>
        <w:rPr>
          <w:rFonts w:hint="eastAsia" w:ascii="宋体" w:hAnsi="宋体" w:cs="宋体"/>
          <w:b/>
          <w:bCs/>
          <w:color w:val="auto"/>
          <w:sz w:val="22"/>
          <w:szCs w:val="28"/>
          <w:highlight w:val="none"/>
          <w:lang w:val="zh-CN"/>
        </w:rPr>
      </w:r>
      <w:r>
        <w:rPr>
          <w:color w:val="auto"/>
          <w:highlight w:val="none"/>
        </w:rPr>
      </w:r>
    </w:p>
    <w:p>
      <w:pPr>
        <w:pStyle w:val="863"/>
        <w:ind w:firstLine="413"/>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t xml:space="preserve">（四）价格分：</w:t>
      </w:r>
      <w:r>
        <w:rPr>
          <w:rFonts w:ascii="宋体" w:hAnsi="宋体" w:cs="宋体"/>
          <w:b/>
          <w:color w:val="auto"/>
          <w:sz w:val="28"/>
          <w:szCs w:val="28"/>
          <w:highlight w:val="none"/>
        </w:rPr>
        <w:t xml:space="preserve">30</w:t>
      </w:r>
      <w:r>
        <w:rPr>
          <w:rFonts w:hint="eastAsia" w:ascii="宋体" w:hAnsi="宋体" w:cs="宋体"/>
          <w:b/>
          <w:color w:val="auto"/>
          <w:sz w:val="28"/>
          <w:szCs w:val="28"/>
          <w:highlight w:val="none"/>
          <w:lang w:val="zh-CN"/>
        </w:rPr>
        <w:t xml:space="preserve">分</w:t>
      </w:r>
      <w:r>
        <w:rPr>
          <w:rFonts w:hint="eastAsia" w:ascii="宋体" w:hAnsi="宋体" w:cs="宋体"/>
          <w:b/>
          <w:color w:val="auto"/>
          <w:sz w:val="28"/>
          <w:szCs w:val="28"/>
          <w:highlight w:val="none"/>
          <w:lang w:val="zh-CN"/>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cs="宋体"/>
          <w:color w:val="auto"/>
          <w:sz w:val="28"/>
          <w:szCs w:val="28"/>
          <w:highlight w:val="none"/>
        </w:rPr>
      </w:r>
      <w:r>
        <w:rPr>
          <w:color w:val="auto"/>
          <w:highlight w:val="none"/>
        </w:rPr>
      </w:r>
    </w:p>
    <w:p>
      <w:pPr>
        <w:pStyle w:val="863"/>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投标报价得分=（评标基准价/投标报价）×价格权值×100</w:t>
      </w:r>
      <w:r>
        <w:rPr>
          <w:rFonts w:hint="eastAsia" w:ascii="宋体" w:hAnsi="宋体" w:cs="宋体"/>
          <w:color w:val="auto"/>
          <w:sz w:val="28"/>
          <w:szCs w:val="28"/>
          <w:highlight w:val="none"/>
        </w:rPr>
      </w:r>
      <w:r>
        <w:rPr>
          <w:color w:val="auto"/>
          <w:highlight w:val="none"/>
        </w:rPr>
      </w:r>
    </w:p>
    <w:p>
      <w:pPr>
        <w:pStyle w:val="863"/>
        <w:ind w:firstLine="562"/>
        <w:spacing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rPr>
          <w:rFonts w:hint="eastAsia" w:ascii="宋体" w:hAnsi="宋体" w:cs="宋体"/>
          <w:b/>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1.小微型企业价格扣除</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（1）本项目对小型和微型企业产品给予10%的扣除价格，用扣除后的价格参与评审。</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（2）供应商需按照《政府采购促进中小企业发展管理办法》（财库﹝2020﹞46 号）的规定提供相应的《中小企业声明函》。</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（3）企业标准请参照《关于印发中小企业划型标准规定的通知》（工信部联企业[2011]300号）文件规定自行填写。</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2.残疾人福利单位价格扣除</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（1）本项目对残疾人福利性单位，给予10%的价格扣除，用扣除后的价格参与评审。</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（2）残疾人福利单位需按照采购文件的要求提供《残疾人福利性单位声明函》。</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（3）残疾人福利单位标准请参照《关于促进残疾人就业政府采购政策的通知》（财库〔2017〕141号）。</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3.监狱和戒毒企业价格扣除</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（1）本项目对监狱和戒毒企业（简称监狱企业）给予10%的价格扣除，用扣除后的价格参与评审。</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（3）监狱企业标准请参照《关于政府采购支持监狱企业发展有关问题的通知》（财库[2014]68号）。</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4.残疾人福利单位、监狱企业属于小型、微型企业的，不重复享受政策。</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6.联合体各方均为小型、微型企业（残疾人福利单位、监狱企业）的，联合体享受上述同类价格扣除，用扣除后的价格参与评审。</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7.专门面向中小企业采购的项目或者采购包，不再执行价格评审优惠的扶持政策。</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（六）中标人的确定</w:t>
      </w:r>
      <w:r>
        <w:rPr>
          <w:rFonts w:hint="eastAsia" w:ascii="宋体" w:hAnsi="宋体" w:cs="宋体"/>
          <w:bCs/>
          <w:color w:val="auto"/>
          <w:sz w:val="28"/>
          <w:szCs w:val="28"/>
          <w:highlight w:val="none"/>
        </w:rPr>
      </w:r>
      <w:r>
        <w:rPr>
          <w:color w:val="auto"/>
          <w:highlight w:val="none"/>
        </w:rPr>
      </w:r>
    </w:p>
    <w:p>
      <w:pPr>
        <w:pStyle w:val="863"/>
        <w:ind w:firstLine="57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评委会汇总各评委评分后，按照得分从高到低的顺序推荐三名中标候选人，并编写评标报告。</w:t>
      </w:r>
      <w:r>
        <w:rPr>
          <w:rFonts w:hint="eastAsia" w:ascii="宋体" w:hAnsi="宋体" w:cs="宋体"/>
          <w:color w:val="auto"/>
          <w:sz w:val="28"/>
          <w:szCs w:val="28"/>
          <w:highlight w:val="none"/>
        </w:rPr>
      </w:r>
      <w:r>
        <w:rPr>
          <w:color w:val="auto"/>
          <w:highlight w:val="none"/>
        </w:rPr>
      </w:r>
    </w:p>
    <w:p>
      <w:pPr>
        <w:pStyle w:val="863"/>
        <w:ind w:firstLine="57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采购人委托评标委员会直接确定排名第一的中标候选人为中标人。</w:t>
      </w:r>
      <w:r>
        <w:rPr>
          <w:rFonts w:hint="eastAsia" w:ascii="宋体" w:hAnsi="宋体" w:cs="宋体"/>
          <w:color w:val="auto"/>
          <w:sz w:val="28"/>
          <w:szCs w:val="28"/>
          <w:highlight w:val="none"/>
        </w:rPr>
      </w:r>
      <w:r>
        <w:rPr>
          <w:color w:val="auto"/>
          <w:highlight w:val="none"/>
        </w:rPr>
      </w:r>
    </w:p>
    <w:p>
      <w:pPr>
        <w:pStyle w:val="863"/>
        <w:ind w:firstLine="557"/>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（七）采购人代表宣布评标结果。</w:t>
      </w:r>
      <w:r>
        <w:rPr>
          <w:rFonts w:hint="eastAsia" w:ascii="宋体" w:hAnsi="宋体" w:cs="宋体"/>
          <w:b/>
          <w:color w:val="auto"/>
          <w:sz w:val="28"/>
          <w:szCs w:val="28"/>
          <w:highlight w:val="none"/>
        </w:rPr>
      </w:r>
      <w:r>
        <w:rPr>
          <w:color w:val="auto"/>
          <w:highlight w:val="none"/>
        </w:rPr>
      </w:r>
    </w:p>
    <w:p>
      <w:pPr>
        <w:pStyle w:val="863"/>
        <w:ind w:firstLine="562"/>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（八）公告中标结果</w:t>
      </w:r>
      <w:r>
        <w:rPr>
          <w:rFonts w:hint="eastAsia" w:ascii="宋体" w:hAnsi="宋体" w:cs="宋体"/>
          <w:b/>
          <w:color w:val="auto"/>
          <w:sz w:val="28"/>
          <w:szCs w:val="28"/>
          <w:highlight w:val="none"/>
        </w:rPr>
      </w:r>
      <w:r>
        <w:rPr>
          <w:color w:val="auto"/>
          <w:highlight w:val="none"/>
        </w:rPr>
      </w:r>
    </w:p>
    <w:p>
      <w:pPr>
        <w:pStyle w:val="863"/>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公告中标结果，公告期限为1个工作日。</w:t>
      </w:r>
      <w:r>
        <w:rPr>
          <w:rFonts w:ascii="宋体" w:hAnsi="宋体"/>
          <w:color w:val="auto"/>
          <w:sz w:val="28"/>
          <w:szCs w:val="28"/>
          <w:highlight w:val="none"/>
        </w:rPr>
      </w:r>
      <w:r>
        <w:rPr>
          <w:color w:val="auto"/>
          <w:highlight w:val="none"/>
        </w:rPr>
      </w:r>
    </w:p>
    <w:p>
      <w:pPr>
        <w:pStyle w:val="863"/>
        <w:ind w:firstLine="562"/>
        <w:spacing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九</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发放中标通知书</w:t>
      </w:r>
      <w:r>
        <w:rPr>
          <w:rFonts w:hint="eastAsia" w:ascii="宋体" w:hAnsi="宋体" w:cs="宋体"/>
          <w:b/>
          <w:bCs/>
          <w:color w:val="auto"/>
          <w:sz w:val="28"/>
          <w:szCs w:val="28"/>
          <w:highlight w:val="none"/>
        </w:rPr>
      </w:r>
      <w:r>
        <w:rPr>
          <w:color w:val="auto"/>
          <w:highlight w:val="none"/>
        </w:rPr>
      </w:r>
    </w:p>
    <w:p>
      <w:pPr>
        <w:pStyle w:val="863"/>
        <w:ind w:firstLine="560"/>
        <w:spacing w:line="500" w:lineRule="exact"/>
        <w:rPr>
          <w:rFonts w:hint="eastAsia" w:ascii="宋体" w:hAnsi="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rPr>
        <w:t xml:space="preserve">。</w:t>
      </w:r>
      <w:r>
        <w:rPr>
          <w:rFonts w:hint="eastAsia" w:ascii="宋体" w:hAnsi="宋体"/>
          <w:bCs/>
          <w:color w:val="auto"/>
          <w:sz w:val="28"/>
          <w:szCs w:val="28"/>
          <w:highlight w:val="none"/>
        </w:rPr>
      </w:r>
      <w:r>
        <w:rPr>
          <w:color w:val="auto"/>
          <w:highlight w:val="none"/>
        </w:rPr>
      </w:r>
    </w:p>
    <w:p>
      <w:pPr>
        <w:pStyle w:val="863"/>
        <w:ind w:firstLine="57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中标通知书发出后，采购人不得违法改变中标结果，中标供应商无正当理由不得放弃中标。</w:t>
      </w:r>
      <w:r>
        <w:rPr>
          <w:rFonts w:hint="eastAsia" w:ascii="宋体" w:hAnsi="宋体" w:cs="宋体"/>
          <w:color w:val="auto"/>
          <w:sz w:val="28"/>
          <w:szCs w:val="28"/>
          <w:highlight w:val="none"/>
        </w:rPr>
      </w:r>
      <w:r>
        <w:rPr>
          <w:color w:val="auto"/>
          <w:highlight w:val="none"/>
        </w:rPr>
      </w:r>
    </w:p>
    <w:p>
      <w:pPr>
        <w:pStyle w:val="863"/>
        <w:ind w:firstLine="570"/>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rPr>
          <w:rFonts w:hint="eastAsia" w:ascii="宋体" w:hAnsi="宋体" w:cs="宋体"/>
          <w:b/>
          <w:bCs/>
          <w:color w:val="auto"/>
          <w:sz w:val="28"/>
          <w:szCs w:val="28"/>
          <w:highlight w:val="none"/>
        </w:rPr>
      </w:r>
      <w:r>
        <w:rPr>
          <w:color w:val="auto"/>
          <w:highlight w:val="none"/>
        </w:rPr>
      </w:r>
    </w:p>
    <w:p>
      <w:pPr>
        <w:pStyle w:val="863"/>
        <w:jc w:val="center"/>
        <w:spacing w:line="48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第五部分  投标文件组成</w:t>
      </w:r>
      <w:r>
        <w:rPr>
          <w:rFonts w:hint="eastAsia" w:ascii="宋体" w:hAnsi="宋体" w:cs="宋体"/>
          <w:b/>
          <w:color w:val="auto"/>
          <w:sz w:val="36"/>
          <w:szCs w:val="36"/>
          <w:highlight w:val="none"/>
        </w:rPr>
      </w:r>
      <w:r>
        <w:rPr>
          <w:color w:val="auto"/>
          <w:highlight w:val="none"/>
        </w:rPr>
      </w:r>
    </w:p>
    <w:p>
      <w:pPr>
        <w:pStyle w:val="863"/>
        <w:ind w:firstLine="555"/>
        <w:jc w:val="left"/>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投标文件由资格审查证明材料、商务技术标、价格标、三部分组成。</w:t>
      </w:r>
      <w:r>
        <w:rPr>
          <w:rFonts w:hint="eastAsia" w:ascii="宋体" w:hAnsi="宋体" w:cs="宋体"/>
          <w:b/>
          <w:bCs/>
          <w:color w:val="auto"/>
          <w:sz w:val="28"/>
          <w:szCs w:val="28"/>
          <w:highlight w:val="none"/>
          <w:lang w:val="zh-CN"/>
        </w:rPr>
        <w:t xml:space="preserve">请投标人根据本招标文件的要求在以上</w:t>
      </w:r>
      <w:r>
        <w:rPr>
          <w:rFonts w:hint="eastAsia" w:ascii="宋体" w:hAnsi="宋体" w:cs="宋体"/>
          <w:b/>
          <w:color w:val="auto"/>
          <w:sz w:val="28"/>
          <w:szCs w:val="28"/>
          <w:highlight w:val="none"/>
        </w:rPr>
        <w:t xml:space="preserve">三部分中</w:t>
      </w:r>
      <w:r>
        <w:rPr>
          <w:rFonts w:hint="eastAsia" w:ascii="宋体" w:hAnsi="宋体" w:cs="宋体"/>
          <w:b/>
          <w:bCs/>
          <w:color w:val="auto"/>
          <w:sz w:val="28"/>
          <w:szCs w:val="28"/>
          <w:highlight w:val="none"/>
          <w:lang w:val="zh-CN"/>
        </w:rPr>
        <w:t xml:space="preserve">分别上传响应的投标材料。</w:t>
      </w:r>
      <w:r>
        <w:rPr>
          <w:rFonts w:hint="eastAsia" w:ascii="宋体" w:hAnsi="宋体" w:cs="宋体"/>
          <w:b/>
          <w:color w:val="auto"/>
          <w:sz w:val="28"/>
          <w:szCs w:val="28"/>
          <w:highlight w:val="none"/>
        </w:rPr>
      </w:r>
      <w:r>
        <w:rPr>
          <w:color w:val="auto"/>
          <w:highlight w:val="none"/>
        </w:rPr>
      </w:r>
    </w:p>
    <w:p>
      <w:pPr>
        <w:pStyle w:val="863"/>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zh-CN"/>
        </w:rPr>
        <w:t xml:space="preserve">一、资格审查证明材料（不能出现商务技术标、价格标）</w:t>
      </w:r>
      <w:r>
        <w:rPr>
          <w:rFonts w:hint="eastAsia" w:ascii="宋体" w:hAnsi="宋体" w:cs="宋体"/>
          <w:b/>
          <w:bCs/>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投标人符合《政府采购法》第二十二条规定条件的承诺函</w:t>
      </w:r>
      <w:r>
        <w:rPr>
          <w:rFonts w:hint="eastAsia" w:ascii="宋体" w:hAnsi="宋体" w:cs="宋体"/>
          <w:color w:val="auto"/>
          <w:sz w:val="28"/>
          <w:szCs w:val="28"/>
          <w:highlight w:val="none"/>
          <w:lang w:val="zh-CN"/>
        </w:rPr>
        <w:t xml:space="preserve">（格式见附件1）；</w:t>
      </w:r>
      <w:r>
        <w:rPr>
          <w:rFonts w:hint="eastAsia" w:ascii="宋体" w:hAnsi="宋体" w:cs="宋体"/>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2.法定代表人身份证明书（格式见附件2）；</w:t>
      </w:r>
      <w:r>
        <w:rPr>
          <w:rFonts w:hint="eastAsia" w:ascii="宋体" w:hAnsi="宋体" w:cs="宋体"/>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3.法定代表人授权委托书原件，投标代表本人身份证复印件（格式见附件3）；</w:t>
      </w:r>
      <w:r>
        <w:rPr>
          <w:rFonts w:hint="eastAsia" w:ascii="宋体" w:hAnsi="宋体" w:cs="宋体"/>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4.</w:t>
      </w:r>
      <w:r>
        <w:rPr>
          <w:rFonts w:hint="eastAsia" w:ascii="宋体" w:hAnsi="宋体" w:cs="宋体"/>
          <w:color w:val="auto"/>
          <w:sz w:val="28"/>
          <w:szCs w:val="28"/>
          <w:highlight w:val="none"/>
        </w:rPr>
        <w:t xml:space="preserve">招标公告中“二、申请人的资格要求”提供相应的佐证材料（如专门面向中小微企业采购则须提供中小微企业声明函）；</w:t>
      </w:r>
      <w:r>
        <w:rPr>
          <w:rFonts w:hint="eastAsia" w:ascii="宋体" w:hAnsi="宋体" w:cs="宋体"/>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5.其它需要提交的资格审查证明材料。</w:t>
      </w:r>
      <w:r>
        <w:rPr>
          <w:rFonts w:hint="eastAsia" w:ascii="宋体" w:hAnsi="宋体" w:cs="宋体"/>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（招标文件要求提供的</w:t>
      </w:r>
      <w:r>
        <w:rPr>
          <w:rFonts w:hint="eastAsia" w:ascii="宋体" w:hAnsi="宋体" w:cs="宋体"/>
          <w:b/>
          <w:bCs/>
          <w:color w:val="auto"/>
          <w:sz w:val="28"/>
          <w:szCs w:val="28"/>
          <w:highlight w:val="none"/>
          <w:lang w:val="zh-CN"/>
        </w:rPr>
        <w:t xml:space="preserve">资格审查证明材料</w:t>
      </w:r>
      <w:r>
        <w:rPr>
          <w:rFonts w:hint="eastAsia" w:ascii="宋体" w:hAnsi="宋体" w:cs="宋体"/>
          <w:color w:val="auto"/>
          <w:sz w:val="28"/>
          <w:szCs w:val="28"/>
          <w:highlight w:val="none"/>
          <w:lang w:val="zh-CN"/>
        </w:rPr>
        <w:t xml:space="preserve">中没有对应的接口上传的资料，可以在本部分的其他材料的接口中上传）</w:t>
      </w:r>
      <w:r>
        <w:rPr>
          <w:rFonts w:hint="eastAsia" w:ascii="宋体" w:hAnsi="宋体" w:cs="宋体"/>
          <w:color w:val="auto"/>
          <w:sz w:val="28"/>
          <w:szCs w:val="28"/>
          <w:highlight w:val="none"/>
          <w:lang w:val="zh-CN"/>
        </w:rPr>
      </w:r>
      <w:r>
        <w:rPr>
          <w:color w:val="auto"/>
          <w:highlight w:val="none"/>
        </w:rPr>
      </w:r>
    </w:p>
    <w:p>
      <w:pPr>
        <w:pStyle w:val="863"/>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zh-CN"/>
        </w:rPr>
        <w:t xml:space="preserve">二、商务技术标（不能出现价格标）</w:t>
      </w:r>
      <w:r>
        <w:rPr>
          <w:rFonts w:hint="eastAsia" w:ascii="宋体" w:hAnsi="宋体" w:cs="宋体"/>
          <w:b/>
          <w:bCs/>
          <w:color w:val="auto"/>
          <w:sz w:val="28"/>
          <w:szCs w:val="28"/>
          <w:highlight w:val="none"/>
          <w:lang w:val="zh-CN"/>
        </w:rPr>
      </w:r>
      <w:r>
        <w:rPr>
          <w:color w:val="auto"/>
          <w:highlight w:val="none"/>
        </w:rPr>
      </w:r>
    </w:p>
    <w:p>
      <w:pPr>
        <w:pStyle w:val="863"/>
        <w:ind w:firstLine="560"/>
        <w:spacing w:line="480" w:lineRule="exact"/>
        <w:rPr>
          <w:rFonts w:hint="eastAsia" w:ascii="宋体" w:hAnsi="宋体" w:cs="宋体"/>
          <w:bCs/>
          <w:color w:val="auto"/>
          <w:sz w:val="28"/>
          <w:szCs w:val="28"/>
          <w:highlight w:val="none"/>
        </w:rPr>
      </w:pPr>
      <w:r>
        <w:rPr>
          <w:rFonts w:ascii="宋体" w:hAnsi="宋体" w:cs="宋体"/>
          <w:bCs/>
          <w:color w:val="auto"/>
          <w:sz w:val="28"/>
          <w:szCs w:val="28"/>
          <w:highlight w:val="none"/>
          <w:lang w:val="zh-CN"/>
        </w:rPr>
        <w:t xml:space="preserve">1</w:t>
      </w:r>
      <w:r>
        <w:rPr>
          <w:rFonts w:hint="eastAsia" w:ascii="宋体" w:hAnsi="宋体" w:cs="宋体"/>
          <w:bCs/>
          <w:color w:val="auto"/>
          <w:sz w:val="28"/>
          <w:szCs w:val="28"/>
          <w:highlight w:val="none"/>
          <w:lang w:val="zh-CN"/>
        </w:rPr>
        <w:t xml:space="preserve">.商务部分正负偏离表；（格式见附件</w:t>
      </w:r>
      <w:r>
        <w:rPr>
          <w:rFonts w:ascii="宋体" w:hAnsi="宋体" w:cs="宋体"/>
          <w:bCs/>
          <w:color w:val="auto"/>
          <w:sz w:val="28"/>
          <w:szCs w:val="28"/>
          <w:highlight w:val="none"/>
          <w:lang w:val="zh-CN"/>
        </w:rPr>
        <w:t xml:space="preserve">4</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lang w:val="zh-CN"/>
        </w:rPr>
      </w:r>
      <w:r>
        <w:rPr>
          <w:color w:val="auto"/>
          <w:highlight w:val="none"/>
        </w:rPr>
      </w:r>
    </w:p>
    <w:p>
      <w:pPr>
        <w:pStyle w:val="863"/>
        <w:ind w:firstLine="560"/>
        <w:spacing w:line="480" w:lineRule="exact"/>
        <w:rPr>
          <w:rFonts w:hint="eastAsia" w:ascii="宋体" w:hAnsi="宋体" w:cs="宋体"/>
          <w:bCs/>
          <w:color w:val="auto"/>
          <w:sz w:val="28"/>
          <w:szCs w:val="28"/>
          <w:highlight w:val="none"/>
        </w:rPr>
      </w:pPr>
      <w:r>
        <w:rPr>
          <w:rFonts w:ascii="宋体" w:hAnsi="宋体" w:cs="宋体"/>
          <w:bCs/>
          <w:color w:val="auto"/>
          <w:sz w:val="28"/>
          <w:szCs w:val="28"/>
          <w:highlight w:val="none"/>
          <w:lang w:val="zh-CN"/>
        </w:rPr>
        <w:t xml:space="preserve">2</w:t>
      </w:r>
      <w:r>
        <w:rPr>
          <w:rFonts w:hint="eastAsia" w:ascii="宋体" w:hAnsi="宋体" w:cs="宋体"/>
          <w:bCs/>
          <w:color w:val="auto"/>
          <w:sz w:val="28"/>
          <w:szCs w:val="28"/>
          <w:highlight w:val="none"/>
          <w:lang w:val="zh-CN"/>
        </w:rPr>
        <w:t xml:space="preserve">.技术部分正负偏离表；（格式见附件</w:t>
      </w:r>
      <w:r>
        <w:rPr>
          <w:rFonts w:ascii="宋体" w:hAnsi="宋体" w:cs="宋体"/>
          <w:bCs/>
          <w:color w:val="auto"/>
          <w:sz w:val="28"/>
          <w:szCs w:val="28"/>
          <w:highlight w:val="none"/>
          <w:lang w:val="zh-CN"/>
        </w:rPr>
        <w:t xml:space="preserve">5</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lang w:val="zh-CN"/>
        </w:rPr>
      </w:r>
      <w:r>
        <w:rPr>
          <w:color w:val="auto"/>
          <w:highlight w:val="none"/>
        </w:rPr>
      </w:r>
    </w:p>
    <w:p>
      <w:pPr>
        <w:pStyle w:val="863"/>
        <w:ind w:firstLine="560"/>
        <w:spacing w:line="480" w:lineRule="exact"/>
        <w:rPr>
          <w:rFonts w:hint="eastAsia" w:ascii="宋体" w:hAnsi="宋体" w:cs="宋体"/>
          <w:bCs/>
          <w:color w:val="auto"/>
          <w:sz w:val="28"/>
          <w:szCs w:val="28"/>
          <w:highlight w:val="none"/>
        </w:rPr>
      </w:pPr>
      <w:r>
        <w:rPr>
          <w:rFonts w:ascii="宋体" w:hAnsi="宋体" w:cs="宋体"/>
          <w:bCs/>
          <w:color w:val="auto"/>
          <w:sz w:val="28"/>
          <w:szCs w:val="28"/>
          <w:highlight w:val="none"/>
          <w:lang w:val="zh-CN"/>
        </w:rPr>
        <w:t xml:space="preserve">3</w:t>
      </w:r>
      <w:r>
        <w:rPr>
          <w:rFonts w:hint="eastAsia" w:ascii="宋体" w:hAnsi="宋体" w:cs="宋体"/>
          <w:bCs/>
          <w:color w:val="auto"/>
          <w:sz w:val="28"/>
          <w:szCs w:val="28"/>
          <w:highlight w:val="none"/>
          <w:lang w:val="zh-CN"/>
        </w:rPr>
        <w:t xml:space="preserve">.投标方案、货物（服务）清单。具有项目、数量、品牌、型号、配置性能等；</w:t>
      </w:r>
      <w:r>
        <w:rPr>
          <w:rFonts w:hint="eastAsia" w:ascii="宋体" w:hAnsi="宋体" w:cs="宋体"/>
          <w:bCs/>
          <w:color w:val="auto"/>
          <w:sz w:val="28"/>
          <w:szCs w:val="28"/>
          <w:highlight w:val="none"/>
          <w:lang w:val="zh-CN"/>
        </w:rPr>
      </w:r>
      <w:r>
        <w:rPr>
          <w:color w:val="auto"/>
          <w:highlight w:val="none"/>
        </w:rPr>
      </w:r>
    </w:p>
    <w:p>
      <w:pPr>
        <w:pStyle w:val="863"/>
        <w:ind w:firstLine="560"/>
        <w:spacing w:line="480" w:lineRule="exact"/>
        <w:rPr>
          <w:rFonts w:hint="eastAsia" w:ascii="宋体" w:hAnsi="宋体" w:cs="宋体"/>
          <w:bCs/>
          <w:color w:val="auto"/>
          <w:sz w:val="28"/>
          <w:szCs w:val="28"/>
          <w:highlight w:val="none"/>
        </w:rPr>
      </w:pPr>
      <w:r>
        <w:rPr>
          <w:rFonts w:ascii="宋体" w:hAnsi="宋体" w:cs="宋体"/>
          <w:bCs/>
          <w:color w:val="auto"/>
          <w:sz w:val="28"/>
          <w:szCs w:val="28"/>
          <w:highlight w:val="none"/>
          <w:lang w:val="zh-CN"/>
        </w:rPr>
        <w:t xml:space="preserve">4</w:t>
      </w:r>
      <w:r>
        <w:rPr>
          <w:rFonts w:hint="eastAsia" w:ascii="宋体" w:hAnsi="宋体" w:cs="宋体"/>
          <w:bCs/>
          <w:color w:val="auto"/>
          <w:sz w:val="28"/>
          <w:szCs w:val="28"/>
          <w:highlight w:val="none"/>
          <w:lang w:val="zh-CN"/>
        </w:rPr>
        <w:t xml:space="preserve">.商务技术评分标准中须提供的相关得分佐证材料；</w:t>
      </w:r>
      <w:r>
        <w:rPr>
          <w:rFonts w:hint="eastAsia" w:ascii="宋体" w:hAnsi="宋体" w:cs="宋体"/>
          <w:bCs/>
          <w:color w:val="auto"/>
          <w:sz w:val="28"/>
          <w:szCs w:val="28"/>
          <w:highlight w:val="none"/>
          <w:lang w:val="zh-CN"/>
        </w:rPr>
      </w:r>
      <w:r>
        <w:rPr>
          <w:color w:val="auto"/>
          <w:highlight w:val="none"/>
        </w:rPr>
      </w:r>
    </w:p>
    <w:p>
      <w:pPr>
        <w:pStyle w:val="863"/>
        <w:ind w:firstLine="560"/>
        <w:spacing w:line="480" w:lineRule="exact"/>
        <w:rPr>
          <w:rFonts w:hint="eastAsia" w:ascii="宋体" w:hAnsi="宋体" w:cs="宋体"/>
          <w:bCs/>
          <w:color w:val="auto"/>
          <w:sz w:val="28"/>
          <w:szCs w:val="28"/>
          <w:highlight w:val="none"/>
        </w:rPr>
      </w:pPr>
      <w:r>
        <w:rPr>
          <w:rFonts w:ascii="宋体" w:hAnsi="宋体" w:cs="宋体"/>
          <w:bCs/>
          <w:color w:val="auto"/>
          <w:sz w:val="28"/>
          <w:szCs w:val="28"/>
          <w:highlight w:val="none"/>
          <w:lang w:val="zh-CN"/>
        </w:rPr>
        <w:t xml:space="preserve">5</w:t>
      </w:r>
      <w:r>
        <w:rPr>
          <w:rFonts w:hint="eastAsia" w:ascii="宋体" w:hAnsi="宋体" w:cs="宋体"/>
          <w:bCs/>
          <w:color w:val="auto"/>
          <w:sz w:val="28"/>
          <w:szCs w:val="28"/>
          <w:highlight w:val="none"/>
          <w:lang w:val="zh-CN"/>
        </w:rPr>
        <w:t xml:space="preserve">.投标人认为需要提交的其他商务技术材料。</w:t>
      </w:r>
      <w:r>
        <w:rPr>
          <w:rFonts w:hint="eastAsia" w:ascii="宋体" w:hAnsi="宋体" w:cs="宋体"/>
          <w:bCs/>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（招标文件要求提供的</w:t>
      </w:r>
      <w:r>
        <w:rPr>
          <w:rFonts w:hint="eastAsia" w:ascii="宋体" w:hAnsi="宋体" w:cs="宋体"/>
          <w:b/>
          <w:bCs/>
          <w:color w:val="auto"/>
          <w:sz w:val="28"/>
          <w:szCs w:val="28"/>
          <w:highlight w:val="none"/>
          <w:lang w:val="zh-CN"/>
        </w:rPr>
        <w:t xml:space="preserve">商务技术标材料</w:t>
      </w:r>
      <w:r>
        <w:rPr>
          <w:rFonts w:hint="eastAsia" w:ascii="宋体" w:hAnsi="宋体" w:cs="宋体"/>
          <w:color w:val="auto"/>
          <w:sz w:val="28"/>
          <w:szCs w:val="28"/>
          <w:highlight w:val="none"/>
          <w:lang w:val="zh-CN"/>
        </w:rPr>
        <w:t xml:space="preserve">中没有对应的接口上传的资料，可以在本部分的其他材料的接口中上传）</w:t>
      </w:r>
      <w:r>
        <w:rPr>
          <w:rFonts w:hint="eastAsia" w:ascii="宋体" w:hAnsi="宋体" w:cs="宋体"/>
          <w:color w:val="auto"/>
          <w:sz w:val="28"/>
          <w:szCs w:val="28"/>
          <w:highlight w:val="none"/>
          <w:lang w:val="zh-CN"/>
        </w:rPr>
      </w:r>
      <w:r>
        <w:rPr>
          <w:color w:val="auto"/>
          <w:highlight w:val="none"/>
        </w:rPr>
      </w:r>
    </w:p>
    <w:p>
      <w:pPr>
        <w:pStyle w:val="863"/>
        <w:spacing w:line="4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zh-CN"/>
        </w:rPr>
        <w:t xml:space="preserve">三、价格标</w:t>
      </w:r>
      <w:r>
        <w:rPr>
          <w:rFonts w:hint="eastAsia" w:ascii="宋体" w:hAnsi="宋体" w:cs="宋体"/>
          <w:b/>
          <w:bCs/>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1.开标一览表（格式见附件</w:t>
      </w:r>
      <w:r>
        <w:rPr>
          <w:rFonts w:ascii="宋体" w:hAnsi="宋体" w:cs="宋体"/>
          <w:color w:val="auto"/>
          <w:sz w:val="28"/>
          <w:szCs w:val="28"/>
          <w:highlight w:val="none"/>
          <w:lang w:val="zh-CN"/>
        </w:rPr>
        <w:t xml:space="preserve">6</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2.分项报价明细表（格式见附件</w:t>
      </w:r>
      <w:r>
        <w:rPr>
          <w:rFonts w:ascii="宋体" w:hAnsi="宋体" w:cs="宋体"/>
          <w:color w:val="auto"/>
          <w:sz w:val="28"/>
          <w:szCs w:val="28"/>
          <w:highlight w:val="none"/>
          <w:lang w:val="zh-CN"/>
        </w:rPr>
        <w:t xml:space="preserve">7</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3.</w:t>
      </w:r>
      <w:r>
        <w:rPr>
          <w:rFonts w:hint="eastAsia" w:ascii="宋体" w:hAnsi="宋体" w:cs="宋体"/>
          <w:color w:val="auto"/>
          <w:sz w:val="28"/>
          <w:szCs w:val="28"/>
          <w:highlight w:val="none"/>
        </w:rPr>
        <w:t xml:space="preserve">小型、微型企业声明函（格式见附件</w:t>
      </w:r>
      <w:r>
        <w:rPr>
          <w:rFonts w:ascii="宋体" w:hAnsi="宋体" w:cs="宋体"/>
          <w:color w:val="auto"/>
          <w:sz w:val="28"/>
          <w:szCs w:val="28"/>
          <w:highlight w:val="none"/>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4.</w:t>
      </w:r>
      <w:r>
        <w:rPr>
          <w:rFonts w:hint="eastAsia" w:ascii="宋体" w:hAnsi="宋体" w:cs="宋体"/>
          <w:color w:val="auto"/>
          <w:sz w:val="28"/>
          <w:szCs w:val="28"/>
          <w:highlight w:val="none"/>
        </w:rPr>
        <w:t xml:space="preserve">残疾人福利性单位声明函（格式见附件</w:t>
      </w:r>
      <w:r>
        <w:rPr>
          <w:rFonts w:ascii="宋体" w:hAnsi="宋体" w:cs="宋体"/>
          <w:color w:val="auto"/>
          <w:sz w:val="28"/>
          <w:szCs w:val="28"/>
          <w:highlight w:val="none"/>
        </w:rPr>
        <w:t xml:space="preserve">9</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r>
      <w:r>
        <w:rPr>
          <w:color w:val="auto"/>
          <w:highlight w:val="none"/>
        </w:rPr>
      </w:r>
    </w:p>
    <w:p>
      <w:pPr>
        <w:pStyle w:val="863"/>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bCs/>
          <w:color w:val="auto"/>
          <w:sz w:val="28"/>
          <w:szCs w:val="28"/>
          <w:highlight w:val="none"/>
        </w:rPr>
        <w:t xml:space="preserve">监狱和戒毒企业证明材料（格式见附件1</w:t>
      </w:r>
      <w:r>
        <w:rPr>
          <w:rFonts w:ascii="宋体" w:hAnsi="宋体" w:cs="宋体"/>
          <w:bCs/>
          <w:color w:val="auto"/>
          <w:sz w:val="28"/>
          <w:szCs w:val="28"/>
          <w:highlight w:val="none"/>
        </w:rPr>
        <w:t xml:space="preserve">0</w:t>
      </w:r>
      <w:r>
        <w:rPr>
          <w:rFonts w:hint="eastAsia" w:ascii="宋体" w:hAnsi="宋体" w:cs="宋体"/>
          <w:bCs/>
          <w:color w:val="auto"/>
          <w:sz w:val="28"/>
          <w:szCs w:val="28"/>
          <w:highlight w:val="none"/>
        </w:rPr>
        <w:t xml:space="preserve">）</w:t>
      </w:r>
      <w:r>
        <w:rPr>
          <w:rFonts w:hint="eastAsia" w:ascii="宋体" w:hAnsi="宋体" w:cs="宋体"/>
          <w:color w:val="auto"/>
          <w:sz w:val="28"/>
          <w:szCs w:val="28"/>
          <w:highlight w:val="none"/>
          <w:lang w:val="zh-CN"/>
        </w:rPr>
      </w:r>
      <w:r>
        <w:rPr>
          <w:color w:val="auto"/>
          <w:highlight w:val="none"/>
        </w:rPr>
      </w:r>
    </w:p>
    <w:p>
      <w:pPr>
        <w:pStyle w:val="863"/>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（如招标文件要求提供的</w:t>
      </w:r>
      <w:r>
        <w:rPr>
          <w:rFonts w:hint="eastAsia" w:ascii="宋体" w:hAnsi="宋体" w:cs="宋体"/>
          <w:b/>
          <w:bCs/>
          <w:color w:val="auto"/>
          <w:sz w:val="28"/>
          <w:szCs w:val="28"/>
          <w:highlight w:val="none"/>
          <w:lang w:val="zh-CN"/>
        </w:rPr>
        <w:t xml:space="preserve">价格标资料</w:t>
      </w:r>
      <w:r>
        <w:rPr>
          <w:rFonts w:hint="eastAsia" w:ascii="宋体" w:hAnsi="宋体" w:cs="宋体"/>
          <w:color w:val="auto"/>
          <w:sz w:val="28"/>
          <w:szCs w:val="28"/>
          <w:highlight w:val="none"/>
          <w:lang w:val="zh-CN"/>
        </w:rPr>
        <w:t xml:space="preserve">中没有对应的接口上传的资料可以在本部分的其他材料的接口中上传）</w:t>
      </w:r>
      <w:r>
        <w:rPr>
          <w:rFonts w:ascii="宋体" w:hAnsi="宋体" w:cs="宋体"/>
          <w:color w:val="auto"/>
          <w:sz w:val="28"/>
          <w:szCs w:val="28"/>
          <w:highlight w:val="none"/>
          <w:lang w:val="zh-CN"/>
        </w:rPr>
      </w:r>
      <w:r>
        <w:rPr>
          <w:color w:val="auto"/>
          <w:highlight w:val="none"/>
        </w:rPr>
      </w:r>
    </w:p>
    <w:p>
      <w:pPr>
        <w:pStyle w:val="875"/>
        <w:rPr>
          <w:rFonts w:hint="eastAsia"/>
          <w:color w:val="auto"/>
          <w:highlight w:val="none"/>
        </w:rPr>
      </w:pPr>
      <w:r>
        <w:rPr>
          <w:rFonts w:hint="eastAsia"/>
          <w:color w:val="auto"/>
          <w:highlight w:val="none"/>
          <w:lang w:val="zh-CN"/>
        </w:rPr>
      </w:r>
      <w:r>
        <w:rPr>
          <w:color w:val="auto"/>
          <w:highlight w:val="none"/>
        </w:rPr>
      </w:r>
    </w:p>
    <w:p>
      <w:pPr>
        <w:pStyle w:val="863"/>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lang w:val="zh-CN"/>
        </w:rPr>
        <w:t xml:space="preserve">附件1</w:t>
      </w:r>
      <w:r>
        <w:rPr>
          <w:rFonts w:hint="eastAsia" w:ascii="宋体" w:hAnsi="宋体" w:cs="宋体"/>
          <w:color w:val="auto"/>
          <w:sz w:val="32"/>
          <w:szCs w:val="32"/>
          <w:highlight w:val="none"/>
          <w:lang w:val="zh-CN"/>
        </w:rPr>
      </w:r>
      <w:r>
        <w:rPr>
          <w:color w:val="auto"/>
          <w:highlight w:val="none"/>
        </w:rPr>
      </w:r>
    </w:p>
    <w:p>
      <w:pPr>
        <w:pStyle w:val="863"/>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投标人符合《政府采购法》第二十二条规定条件的声明函</w:t>
      </w:r>
      <w:r>
        <w:rPr>
          <w:rFonts w:hint="eastAsia" w:ascii="宋体" w:hAnsi="宋体" w:cs="宋体"/>
          <w:b/>
          <w:color w:val="auto"/>
          <w:sz w:val="30"/>
          <w:szCs w:val="30"/>
          <w:highlight w:val="none"/>
        </w:rPr>
      </w:r>
      <w:r>
        <w:rPr>
          <w:color w:val="auto"/>
          <w:highlight w:val="none"/>
        </w:rPr>
      </w:r>
    </w:p>
    <w:p>
      <w:pPr>
        <w:pStyle w:val="863"/>
        <w:spacing w:line="460" w:lineRule="exact"/>
        <w:rPr>
          <w:rFonts w:hint="eastAsia"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r>
        <w:rPr>
          <w:rFonts w:hint="eastAsia" w:ascii="宋体" w:hAnsi="宋体" w:cs="宋体"/>
          <w:b/>
          <w:bCs/>
          <w:color w:val="auto"/>
          <w:sz w:val="44"/>
          <w:szCs w:val="44"/>
          <w:highlight w:val="none"/>
        </w:rPr>
      </w:r>
      <w:r>
        <w:rPr>
          <w:color w:val="auto"/>
          <w:highlight w:val="none"/>
        </w:rPr>
      </w:r>
    </w:p>
    <w:p>
      <w:pPr>
        <w:pStyle w:val="863"/>
        <w:ind w:firstLine="480"/>
        <w:spacing w:line="52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我单位参加</w:t>
      </w:r>
      <w:r>
        <w:rPr>
          <w:rFonts w:hint="eastAsia" w:ascii="宋体" w:hAnsi="宋体" w:cs="宋体"/>
          <w:bCs/>
          <w:color w:val="auto"/>
          <w:sz w:val="24"/>
          <w:szCs w:val="21"/>
          <w:highlight w:val="none"/>
          <w:u w:val="single"/>
        </w:rPr>
        <w:t xml:space="preserve">________________ _</w:t>
      </w:r>
      <w:r>
        <w:rPr>
          <w:rFonts w:hint="eastAsia" w:ascii="宋体" w:hAnsi="宋体" w:cs="宋体"/>
          <w:bCs/>
          <w:color w:val="auto"/>
          <w:sz w:val="24"/>
          <w:szCs w:val="21"/>
          <w:highlight w:val="none"/>
        </w:rPr>
        <w:t xml:space="preserve">（项目名称），</w:t>
      </w:r>
      <w:r>
        <w:rPr>
          <w:rFonts w:hint="eastAsia" w:ascii="宋体" w:hAnsi="宋体" w:cs="宋体"/>
          <w:bCs/>
          <w:color w:val="auto"/>
          <w:sz w:val="24"/>
          <w:szCs w:val="21"/>
          <w:highlight w:val="none"/>
          <w:u w:val="single"/>
        </w:rPr>
        <w:t xml:space="preserve">_______ __________</w:t>
      </w:r>
      <w:r>
        <w:rPr>
          <w:rFonts w:hint="eastAsia" w:ascii="宋体" w:hAnsi="宋体" w:cs="宋体"/>
          <w:bCs/>
          <w:color w:val="auto"/>
          <w:sz w:val="24"/>
          <w:szCs w:val="21"/>
          <w:highlight w:val="none"/>
        </w:rPr>
        <w:t xml:space="preserve">（项目编号）投标活动。针对《中华人民共和国政府采购法》第二十二条规定做出如下声明：</w:t>
      </w:r>
      <w:r>
        <w:rPr>
          <w:rFonts w:hint="eastAsia" w:ascii="宋体" w:hAnsi="宋体" w:cs="宋体"/>
          <w:b/>
          <w:bCs/>
          <w:color w:val="auto"/>
          <w:sz w:val="24"/>
          <w:highlight w:val="none"/>
        </w:rPr>
      </w:r>
      <w:r>
        <w:rPr>
          <w:color w:val="auto"/>
          <w:highlight w:val="none"/>
        </w:rPr>
      </w:r>
    </w:p>
    <w:p>
      <w:pPr>
        <w:pStyle w:val="863"/>
        <w:ind w:firstLine="482"/>
        <w:spacing w:line="520" w:lineRule="exact"/>
        <w:rPr>
          <w:rFonts w:hint="eastAsia" w:ascii="宋体" w:hAnsi="宋体" w:cs="宋体"/>
          <w:color w:val="auto"/>
          <w:sz w:val="24"/>
          <w:highlight w:val="none"/>
        </w:rPr>
      </w:pPr>
      <w:r>
        <w:rPr>
          <w:rFonts w:hint="eastAsia" w:ascii="宋体" w:hAnsi="宋体" w:cs="宋体"/>
          <w:bCs/>
          <w:color w:val="auto"/>
          <w:sz w:val="24"/>
          <w:szCs w:val="21"/>
          <w:highlight w:val="none"/>
        </w:rPr>
        <w:t xml:space="preserve">1.我单位具有独立承担民事责任的能力；</w:t>
      </w:r>
      <w:r>
        <w:rPr>
          <w:rFonts w:hint="eastAsia" w:ascii="宋体" w:hAnsi="宋体" w:cs="宋体"/>
          <w:color w:val="auto"/>
          <w:sz w:val="24"/>
          <w:highlight w:val="none"/>
        </w:rPr>
      </w:r>
      <w:r>
        <w:rPr>
          <w:color w:val="auto"/>
          <w:highlight w:val="none"/>
        </w:rPr>
      </w:r>
    </w:p>
    <w:p>
      <w:pPr>
        <w:pStyle w:val="863"/>
        <w:ind w:firstLine="482"/>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2.我单位具有良好的商业信誉和健全的财务会计制度；</w:t>
      </w:r>
      <w:r>
        <w:rPr>
          <w:rFonts w:hint="eastAsia" w:ascii="宋体" w:hAnsi="宋体" w:cs="宋体"/>
          <w:color w:val="auto"/>
          <w:sz w:val="24"/>
          <w:highlight w:val="none"/>
        </w:rPr>
      </w:r>
      <w:r>
        <w:rPr>
          <w:color w:val="auto"/>
          <w:highlight w:val="none"/>
        </w:rPr>
      </w:r>
    </w:p>
    <w:p>
      <w:pPr>
        <w:pStyle w:val="863"/>
        <w:ind w:firstLine="482"/>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3.我单位具有履行合同所必需的设备和专业技术能力；</w:t>
      </w:r>
      <w:r>
        <w:rPr>
          <w:rFonts w:hint="eastAsia" w:ascii="宋体" w:hAnsi="宋体" w:cs="宋体"/>
          <w:color w:val="auto"/>
          <w:sz w:val="24"/>
          <w:highlight w:val="none"/>
        </w:rPr>
      </w:r>
      <w:r>
        <w:rPr>
          <w:color w:val="auto"/>
          <w:highlight w:val="none"/>
        </w:rPr>
      </w:r>
    </w:p>
    <w:p>
      <w:pPr>
        <w:pStyle w:val="863"/>
        <w:ind w:firstLine="482"/>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4.我单位有依法缴纳税收和社会保障资金的良好记录；</w:t>
      </w:r>
      <w:r>
        <w:rPr>
          <w:rFonts w:hint="eastAsia" w:ascii="宋体" w:hAnsi="宋体" w:cs="宋体"/>
          <w:color w:val="auto"/>
          <w:sz w:val="24"/>
          <w:highlight w:val="none"/>
        </w:rPr>
      </w:r>
      <w:r>
        <w:rPr>
          <w:color w:val="auto"/>
          <w:highlight w:val="none"/>
        </w:rPr>
      </w:r>
    </w:p>
    <w:p>
      <w:pPr>
        <w:pStyle w:val="863"/>
        <w:ind w:firstLine="482"/>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rPr>
      </w:r>
      <w:r>
        <w:rPr>
          <w:color w:val="auto"/>
          <w:highlight w:val="none"/>
        </w:rPr>
      </w:r>
    </w:p>
    <w:p>
      <w:pPr>
        <w:pStyle w:val="863"/>
        <w:ind w:firstLine="482"/>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6.我单位满足法律、行政法规规定的其他条件。</w:t>
      </w:r>
      <w:r>
        <w:rPr>
          <w:rFonts w:hint="eastAsia" w:ascii="宋体" w:hAnsi="宋体" w:cs="宋体"/>
          <w:color w:val="auto"/>
          <w:sz w:val="24"/>
          <w:highlight w:val="none"/>
        </w:rPr>
      </w:r>
      <w:r>
        <w:rPr>
          <w:color w:val="auto"/>
          <w:highlight w:val="none"/>
        </w:rPr>
      </w:r>
    </w:p>
    <w:p>
      <w:pPr>
        <w:pStyle w:val="863"/>
        <w:ind w:firstLine="482"/>
        <w:spacing w:line="5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863"/>
        <w:spacing w:line="5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863"/>
        <w:spacing w:line="50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863"/>
        <w:spacing w:line="50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863"/>
        <w:spacing w:line="50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863"/>
        <w:jc w:val="cente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承诺人名称（公章）：</w:t>
      </w:r>
      <w:r>
        <w:rPr>
          <w:rFonts w:hint="eastAsia" w:ascii="宋体" w:hAnsi="宋体" w:cs="宋体"/>
          <w:bCs/>
          <w:color w:val="auto"/>
          <w:sz w:val="24"/>
          <w:szCs w:val="21"/>
          <w:highlight w:val="none"/>
        </w:rPr>
      </w:r>
      <w:r>
        <w:rPr>
          <w:color w:val="auto"/>
          <w:highlight w:val="none"/>
        </w:rPr>
      </w:r>
    </w:p>
    <w:p>
      <w:pPr>
        <w:pStyle w:val="863"/>
        <w:jc w:val="right"/>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r>
      <w:r>
        <w:rPr>
          <w:color w:val="auto"/>
          <w:highlight w:val="none"/>
        </w:rPr>
      </w:r>
    </w:p>
    <w:p>
      <w:pPr>
        <w:pStyle w:val="863"/>
        <w:jc w:val="right"/>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rPr>
        <w:t xml:space="preserve">______</w:t>
      </w:r>
      <w:r>
        <w:rPr>
          <w:rFonts w:hint="eastAsia" w:ascii="宋体" w:hAnsi="宋体" w:cs="宋体"/>
          <w:bCs/>
          <w:color w:val="auto"/>
          <w:sz w:val="24"/>
          <w:szCs w:val="21"/>
          <w:highlight w:val="none"/>
        </w:rPr>
        <w:t xml:space="preserve">年</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月</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日</w:t>
      </w:r>
      <w:r>
        <w:rPr>
          <w:rFonts w:hint="eastAsia" w:ascii="宋体" w:hAnsi="宋体" w:cs="宋体"/>
          <w:bCs/>
          <w:color w:val="auto"/>
          <w:sz w:val="24"/>
          <w:szCs w:val="21"/>
          <w:highlight w:val="none"/>
        </w:rPr>
      </w:r>
      <w:r>
        <w:rPr>
          <w:color w:val="auto"/>
          <w:highlight w:val="none"/>
        </w:rPr>
      </w:r>
    </w:p>
    <w:p>
      <w:pPr>
        <w:pStyle w:val="877"/>
        <w:rPr>
          <w:rFonts w:hint="eastAsia"/>
          <w:color w:val="auto"/>
          <w:highlight w:val="none"/>
        </w:rPr>
      </w:pPr>
      <w:r>
        <w:rPr>
          <w:rFonts w:hint="eastAsia"/>
          <w:color w:val="auto"/>
          <w:highlight w:val="none"/>
        </w:rPr>
      </w:r>
      <w:r>
        <w:rPr>
          <w:color w:val="auto"/>
          <w:highlight w:val="none"/>
        </w:rPr>
      </w:r>
    </w:p>
    <w:p>
      <w:pPr>
        <w:pStyle w:val="863"/>
        <w:contextualSpacing/>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75"/>
        <w:rPr>
          <w:rFonts w:hint="eastAsia"/>
          <w:color w:val="auto"/>
          <w:highlight w:val="none"/>
        </w:rPr>
      </w:pPr>
      <w:r>
        <w:rPr>
          <w:rFonts w:hint="eastAsia"/>
          <w:color w:val="auto"/>
          <w:highlight w:val="none"/>
          <w:lang w:val="zh-CN"/>
        </w:rPr>
      </w:r>
      <w:r>
        <w:rPr>
          <w:color w:val="auto"/>
          <w:highlight w:val="none"/>
        </w:rPr>
      </w:r>
    </w:p>
    <w:p>
      <w:pPr>
        <w:pStyle w:val="877"/>
        <w:rPr>
          <w:color w:val="auto"/>
          <w:highlight w:val="none"/>
        </w:rPr>
      </w:pPr>
      <w:r>
        <w:rPr>
          <w:color w:val="auto"/>
          <w:highlight w:val="none"/>
          <w:lang w:val="zh-CN"/>
        </w:rPr>
      </w:r>
      <w:r>
        <w:rPr>
          <w:color w:val="auto"/>
          <w:highlight w:val="none"/>
        </w:rPr>
      </w:r>
    </w:p>
    <w:p>
      <w:pPr>
        <w:pStyle w:val="878"/>
        <w:rPr>
          <w:rFonts w:hint="eastAsia"/>
          <w:color w:val="auto"/>
          <w:highlight w:val="none"/>
        </w:rPr>
      </w:pPr>
      <w:r>
        <w:rPr>
          <w:rFonts w:hint="eastAsia"/>
          <w:color w:val="auto"/>
          <w:highlight w:val="none"/>
          <w:lang w:val="zh-CN"/>
        </w:rPr>
      </w:r>
      <w:r>
        <w:rPr>
          <w:color w:val="auto"/>
          <w:highlight w:val="none"/>
        </w:rPr>
      </w:r>
    </w:p>
    <w:p>
      <w:pPr>
        <w:pStyle w:val="863"/>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lang w:val="zh-CN"/>
        </w:rPr>
        <w:t xml:space="preserve">附件2</w:t>
      </w:r>
      <w:r>
        <w:rPr>
          <w:rFonts w:hint="eastAsia" w:ascii="宋体" w:hAnsi="宋体" w:cs="宋体"/>
          <w:color w:val="auto"/>
          <w:sz w:val="32"/>
          <w:szCs w:val="32"/>
          <w:highlight w:val="none"/>
          <w:lang w:val="zh-CN"/>
        </w:rPr>
      </w:r>
      <w:r>
        <w:rPr>
          <w:color w:val="auto"/>
          <w:highlight w:val="none"/>
        </w:rPr>
      </w:r>
    </w:p>
    <w:p>
      <w:pPr>
        <w:pStyle w:val="980"/>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法定代表人身份证明</w:t>
      </w:r>
      <w:r>
        <w:rPr>
          <w:rFonts w:hint="eastAsia" w:ascii="宋体" w:hAnsi="宋体" w:cs="宋体"/>
          <w:b/>
          <w:bCs/>
          <w:color w:val="auto"/>
          <w:sz w:val="32"/>
          <w:szCs w:val="32"/>
          <w:highlight w:val="none"/>
        </w:rPr>
      </w:r>
      <w:r>
        <w:rPr>
          <w:color w:val="auto"/>
          <w:highlight w:val="none"/>
        </w:rPr>
      </w:r>
    </w:p>
    <w:p>
      <w:pPr>
        <w:pStyle w:val="863"/>
        <w:spacing w:line="4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863"/>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职务，为法定代表人，特此证明。</w:t>
      </w:r>
      <w:r>
        <w:rPr>
          <w:rFonts w:hint="eastAsia" w:ascii="宋体" w:hAnsi="宋体" w:cs="宋体"/>
          <w:color w:val="auto"/>
          <w:sz w:val="28"/>
          <w:szCs w:val="28"/>
          <w:highlight w:val="none"/>
        </w:rPr>
      </w:r>
      <w:r>
        <w:rPr>
          <w:color w:val="auto"/>
          <w:highlight w:val="none"/>
        </w:rPr>
      </w:r>
    </w:p>
    <w:p>
      <w:pPr>
        <w:pStyle w:val="863"/>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rPr>
      </w:r>
      <w:r>
        <w:rPr>
          <w:color w:val="auto"/>
          <w:highlight w:val="none"/>
        </w:rPr>
      </w:r>
    </w:p>
    <w:p>
      <w:pPr>
        <w:pStyle w:val="863"/>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rPr>
      </w:r>
      <w:r>
        <w:rPr>
          <w:color w:val="auto"/>
          <w:highlight w:val="none"/>
        </w:rPr>
      </w:r>
    </w:p>
    <w:p>
      <w:pPr>
        <w:pStyle w:val="979"/>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注：提供法定代表人的身份证复印件盖公章。</w:t>
      </w:r>
      <w:r>
        <w:rPr>
          <w:rFonts w:hint="eastAsia" w:ascii="宋体" w:hAnsi="宋体" w:cs="宋体"/>
          <w:b/>
          <w:color w:val="auto"/>
          <w:sz w:val="24"/>
          <w:highlight w:val="none"/>
        </w:rPr>
      </w:r>
      <w:r>
        <w:rPr>
          <w:color w:val="auto"/>
          <w:highlight w:val="none"/>
        </w:rPr>
      </w:r>
    </w:p>
    <w:p>
      <w:pPr>
        <w:pStyle w:val="863"/>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863"/>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75"/>
        <w:rPr>
          <w:rFonts w:hint="eastAsia"/>
          <w:color w:val="auto"/>
          <w:highlight w:val="none"/>
        </w:rPr>
      </w:pPr>
      <w:r>
        <w:rPr>
          <w:rFonts w:hint="eastAsia"/>
          <w:color w:val="auto"/>
          <w:highlight w:val="none"/>
          <w:lang w:val="zh-CN"/>
        </w:rPr>
      </w:r>
      <w:r>
        <w:rPr>
          <w:color w:val="auto"/>
          <w:highlight w:val="none"/>
        </w:rPr>
      </w:r>
    </w:p>
    <w:p>
      <w:pPr>
        <w:pStyle w:val="863"/>
        <w:contextualSpacing/>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color w:val="auto"/>
          <w:highlight w:val="none"/>
        </w:rPr>
      </w:r>
    </w:p>
    <w:p>
      <w:pPr>
        <w:pStyle w:val="863"/>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lang w:val="zh-CN"/>
        </w:rPr>
        <w:t xml:space="preserve">附件3</w:t>
      </w:r>
      <w:r>
        <w:rPr>
          <w:rFonts w:hint="eastAsia" w:ascii="宋体" w:hAnsi="宋体" w:cs="宋体"/>
          <w:color w:val="auto"/>
          <w:sz w:val="32"/>
          <w:szCs w:val="32"/>
          <w:highlight w:val="none"/>
          <w:lang w:val="zh-CN"/>
        </w:rPr>
      </w:r>
      <w:r>
        <w:rPr>
          <w:color w:val="auto"/>
          <w:highlight w:val="none"/>
        </w:rPr>
      </w:r>
    </w:p>
    <w:p>
      <w:pPr>
        <w:pStyle w:val="863"/>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（授权单位名称）的法定代表人，现委托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（姓名）（身份证号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）为我方代理人，以我方名义全权处理与本次采购项目（编号：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）有关的一切事务，其法律后果由我方承担。</w:t>
      </w:r>
      <w:r>
        <w:rPr>
          <w:rFonts w:hint="eastAsia" w:ascii="宋体" w:hAnsi="宋体" w:cs="宋体"/>
          <w:color w:val="auto"/>
          <w:sz w:val="28"/>
          <w:szCs w:val="28"/>
          <w:highlight w:val="none"/>
        </w:rPr>
      </w:r>
      <w:r>
        <w:rPr>
          <w:color w:val="auto"/>
          <w:highlight w:val="none"/>
        </w:rPr>
      </w:r>
    </w:p>
    <w:p>
      <w:pPr>
        <w:pStyle w:val="863"/>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日起生效。代理人无转委托权。</w:t>
      </w:r>
      <w:r>
        <w:rPr>
          <w:rFonts w:hint="eastAsia" w:ascii="宋体" w:hAnsi="宋体" w:cs="宋体"/>
          <w:color w:val="auto"/>
          <w:sz w:val="28"/>
          <w:szCs w:val="28"/>
          <w:highlight w:val="none"/>
        </w:rPr>
      </w:r>
      <w:r>
        <w:rPr>
          <w:color w:val="auto"/>
          <w:highlight w:val="none"/>
        </w:rPr>
      </w:r>
    </w:p>
    <w:p>
      <w:pPr>
        <w:pStyle w:val="863"/>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代理人(被授权人):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rPr>
      </w:r>
      <w:r>
        <w:rPr>
          <w:color w:val="auto"/>
          <w:highlight w:val="none"/>
        </w:rPr>
      </w:r>
    </w:p>
    <w:p>
      <w:pPr>
        <w:pStyle w:val="863"/>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r>
      <w:r>
        <w:rPr>
          <w:color w:val="auto"/>
          <w:highlight w:val="none"/>
        </w:rPr>
      </w:r>
    </w:p>
    <w:p>
      <w:pPr>
        <w:pStyle w:val="863"/>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r>
      <w:r>
        <w:rPr>
          <w:color w:val="auto"/>
          <w:highlight w:val="none"/>
        </w:rPr>
      </w:r>
    </w:p>
    <w:p>
      <w:pPr>
        <w:pStyle w:val="863"/>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p>
    <w:p>
      <w:pPr>
        <w:pStyle w:val="863"/>
        <w:jc w:val="right"/>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注：提供投标代表本人身份证复印件盖公章。</w:t>
      </w: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rPr>
          <w:color w:val="auto"/>
          <w:highlight w:val="none"/>
        </w:rPr>
      </w:r>
    </w:p>
    <w:p>
      <w:pPr>
        <w:pStyle w:val="875"/>
        <w:rPr>
          <w:color w:val="auto"/>
          <w:highlight w:val="none"/>
        </w:rPr>
      </w:pPr>
      <w:r>
        <w:rPr>
          <w:color w:val="auto"/>
          <w:highlight w:val="none"/>
        </w:rPr>
      </w:r>
      <w:r>
        <w:rPr>
          <w:color w:val="auto"/>
          <w:highlight w:val="none"/>
        </w:rPr>
      </w:r>
    </w:p>
    <w:p>
      <w:pPr>
        <w:pStyle w:val="877"/>
        <w:rPr>
          <w:color w:val="auto"/>
          <w:highlight w:val="none"/>
        </w:rPr>
      </w:pPr>
      <w:r>
        <w:rPr>
          <w:color w:val="auto"/>
          <w:highlight w:val="none"/>
        </w:rPr>
      </w:r>
      <w:r>
        <w:rPr>
          <w:color w:val="auto"/>
          <w:highlight w:val="none"/>
        </w:rPr>
      </w:r>
    </w:p>
    <w:p>
      <w:pPr>
        <w:pStyle w:val="878"/>
        <w:rPr>
          <w:rFonts w:hint="eastAsia"/>
          <w:color w:val="auto"/>
          <w:highlight w:val="none"/>
        </w:rPr>
      </w:pPr>
      <w:r>
        <w:rPr>
          <w:rFonts w:hint="eastAsia"/>
          <w:color w:val="auto"/>
          <w:highlight w:val="none"/>
        </w:rPr>
      </w:r>
      <w:r>
        <w:rPr>
          <w:color w:val="auto"/>
          <w:highlight w:val="none"/>
        </w:rPr>
      </w:r>
    </w:p>
    <w:p>
      <w:pPr>
        <w:pStyle w:val="875"/>
        <w:rPr>
          <w:rFonts w:hint="eastAsia"/>
          <w:color w:val="auto"/>
          <w:highlight w:val="none"/>
        </w:rPr>
      </w:pPr>
      <w:r>
        <w:rPr>
          <w:rFonts w:hint="eastAsia"/>
          <w:color w:val="auto"/>
          <w:highlight w:val="none"/>
        </w:rPr>
      </w:r>
      <w:r>
        <w:rPr>
          <w:color w:val="auto"/>
          <w:highlight w:val="none"/>
        </w:rPr>
      </w:r>
    </w:p>
    <w:p>
      <w:pPr>
        <w:pStyle w:val="863"/>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w:t>
      </w:r>
      <w:r>
        <w:rPr>
          <w:rFonts w:ascii="宋体" w:hAnsi="宋体" w:cs="宋体"/>
          <w:color w:val="auto"/>
          <w:sz w:val="32"/>
          <w:szCs w:val="32"/>
          <w:highlight w:val="none"/>
        </w:rPr>
        <w:t xml:space="preserve">4</w:t>
      </w:r>
      <w:r>
        <w:rPr>
          <w:rFonts w:hint="eastAsia" w:ascii="宋体" w:hAnsi="宋体" w:cs="宋体"/>
          <w:color w:val="auto"/>
          <w:sz w:val="32"/>
          <w:szCs w:val="32"/>
          <w:highlight w:val="none"/>
        </w:rPr>
      </w:r>
      <w:r>
        <w:rPr>
          <w:color w:val="auto"/>
          <w:highlight w:val="none"/>
        </w:rPr>
      </w:r>
    </w:p>
    <w:p>
      <w:pPr>
        <w:pStyle w:val="863"/>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商务部分正负偏离表</w:t>
      </w:r>
      <w:r>
        <w:rPr>
          <w:rFonts w:hint="eastAsia" w:ascii="宋体" w:hAnsi="宋体" w:cs="宋体"/>
          <w:b/>
          <w:color w:val="auto"/>
          <w:sz w:val="32"/>
          <w:szCs w:val="32"/>
          <w:highlight w:val="none"/>
        </w:rPr>
      </w:r>
      <w:r>
        <w:rPr>
          <w:color w:val="auto"/>
          <w:highlight w:val="none"/>
        </w:rPr>
      </w:r>
    </w:p>
    <w:p>
      <w:pPr>
        <w:pStyle w:val="863"/>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（由投标人据实填写，表格不够自行添加）</w:t>
      </w:r>
      <w:r>
        <w:rPr>
          <w:rFonts w:hint="eastAsia" w:ascii="宋体" w:hAnsi="宋体" w:cs="宋体"/>
          <w:color w:val="auto"/>
          <w:sz w:val="28"/>
          <w:szCs w:val="28"/>
          <w:highlight w:val="none"/>
        </w:rPr>
      </w:r>
      <w:r>
        <w:rPr>
          <w:color w:val="auto"/>
          <w:highlight w:val="none"/>
        </w:rP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500"/>
        <w:gridCol w:w="2183"/>
        <w:gridCol w:w="2817"/>
        <w:gridCol w:w="1551"/>
      </w:tblGrid>
      <w:tr>
        <w:trPr>
          <w:trHeight w:val="994"/>
        </w:trPr>
        <w:tc>
          <w:tcPr>
            <w:tcW w:w="460" w:type="dxa"/>
            <w:vAlign w:val="center"/>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货物或服务名称</w:t>
            </w: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招标文件要求的商务条款</w:t>
            </w: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投标文件响应情况</w:t>
            </w: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rPr>
                <w:rFonts w:hint="eastAsia" w:ascii="宋体" w:hAnsi="宋体" w:cs="宋体"/>
                <w:color w:val="auto"/>
                <w:sz w:val="24"/>
                <w:highlight w:val="none"/>
              </w:rPr>
            </w:r>
            <w:r>
              <w:rPr>
                <w:color w:val="auto"/>
                <w:highlight w:val="none"/>
              </w:rPr>
            </w:r>
          </w:p>
        </w:tc>
      </w:tr>
      <w:tr>
        <w:trPr>
          <w:trHeight w:val="414"/>
        </w:trPr>
        <w:tc>
          <w:tcPr>
            <w:tcW w:w="460"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r>
      <w:tr>
        <w:trPr>
          <w:trHeight w:val="548"/>
        </w:trPr>
        <w:tc>
          <w:tcPr>
            <w:tcW w:w="460"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r>
      <w:tr>
        <w:trPr>
          <w:trHeight w:val="400"/>
        </w:trPr>
        <w:tc>
          <w:tcPr>
            <w:tcW w:w="460"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r>
      <w:tr>
        <w:trPr>
          <w:trHeight w:val="419"/>
        </w:trPr>
        <w:tc>
          <w:tcPr>
            <w:tcW w:w="460"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r>
    </w:tbl>
    <w:p>
      <w:pPr>
        <w:pStyle w:val="863"/>
        <w:contextualSpacing/>
        <w:spacing w:line="300" w:lineRule="auto"/>
        <w:rPr>
          <w:rFonts w:hint="eastAsia" w:ascii="宋体" w:hAnsi="宋体"/>
          <w:b/>
          <w:color w:val="auto"/>
          <w:sz w:val="24"/>
          <w:highlight w:val="none"/>
        </w:rPr>
      </w:pPr>
      <w:r>
        <w:rPr>
          <w:rFonts w:hint="eastAsia" w:ascii="宋体" w:hAnsi="宋体"/>
          <w:b/>
          <w:color w:val="auto"/>
          <w:sz w:val="24"/>
          <w:highlight w:val="none"/>
        </w:rPr>
        <w:t xml:space="preserve">注：</w:t>
      </w:r>
      <w:r>
        <w:rPr>
          <w:rFonts w:hint="eastAsia" w:ascii="宋体" w:hAnsi="宋体"/>
          <w:b/>
          <w:color w:val="auto"/>
          <w:sz w:val="24"/>
          <w:highlight w:val="none"/>
        </w:rPr>
      </w:r>
      <w:r>
        <w:rPr>
          <w:color w:val="auto"/>
          <w:highlight w:val="none"/>
        </w:rPr>
      </w:r>
    </w:p>
    <w:p>
      <w:pPr>
        <w:pStyle w:val="863"/>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1.投标人提交的投标文件中与招标文件第三部分“项目需求”中的商务部分的要求，应逐条填列在偏离表中。</w:t>
      </w:r>
      <w:r>
        <w:rPr>
          <w:rFonts w:hint="eastAsia" w:ascii="宋体" w:hAnsi="宋体"/>
          <w:color w:val="auto"/>
          <w:sz w:val="24"/>
          <w:highlight w:val="none"/>
        </w:rPr>
      </w:r>
      <w:r>
        <w:rPr>
          <w:color w:val="auto"/>
          <w:highlight w:val="none"/>
        </w:rPr>
      </w:r>
    </w:p>
    <w:p>
      <w:pPr>
        <w:pStyle w:val="863"/>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2.“偏离说明”一栏选择“正偏离”、“无偏离”、“负偏离”进行填写。正偏离、无偏离的确认和负偏离的是否响应招标文件，由评委认定。</w:t>
      </w:r>
      <w:r>
        <w:rPr>
          <w:rFonts w:hint="eastAsia" w:ascii="宋体" w:hAnsi="宋体"/>
          <w:color w:val="auto"/>
          <w:sz w:val="24"/>
          <w:highlight w:val="none"/>
        </w:rPr>
      </w:r>
      <w:r>
        <w:rPr>
          <w:color w:val="auto"/>
          <w:highlight w:val="none"/>
        </w:rPr>
      </w:r>
    </w:p>
    <w:p>
      <w:pPr>
        <w:pStyle w:val="863"/>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3.投标人如果虚假响应，将被暂停参加南通市海门区公共资源交易中心组织的政府采购活动。</w:t>
      </w:r>
      <w:r>
        <w:rPr>
          <w:rFonts w:hint="eastAsia" w:ascii="宋体" w:hAnsi="宋体"/>
          <w:color w:val="auto"/>
          <w:sz w:val="24"/>
          <w:highlight w:val="none"/>
        </w:rPr>
      </w:r>
      <w:r>
        <w:rPr>
          <w:color w:val="auto"/>
          <w:highlight w:val="none"/>
        </w:rPr>
      </w:r>
    </w:p>
    <w:p>
      <w:pPr>
        <w:pStyle w:val="863"/>
        <w:contextualSpacing/>
        <w:ind w:firstLine="480"/>
        <w:spacing w:line="300" w:lineRule="auto"/>
        <w:rPr>
          <w:rFonts w:hint="eastAsia" w:ascii="宋体" w:hAnsi="宋体"/>
          <w:bCs/>
          <w:color w:val="auto"/>
          <w:sz w:val="24"/>
          <w:highlight w:val="none"/>
        </w:rPr>
      </w:pPr>
      <w:r>
        <w:rPr>
          <w:rFonts w:hint="eastAsia" w:ascii="宋体" w:hAnsi="宋体"/>
          <w:bCs/>
          <w:color w:val="auto"/>
          <w:sz w:val="24"/>
          <w:highlight w:val="none"/>
        </w:rPr>
        <w:t xml:space="preserve">4.供应商若提供其他增值服务，可以在表中自行据实填写。</w:t>
      </w:r>
      <w:r>
        <w:rPr>
          <w:rFonts w:hint="eastAsia" w:ascii="宋体" w:hAnsi="宋体"/>
          <w:bCs/>
          <w:color w:val="auto"/>
          <w:sz w:val="24"/>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附件</w:t>
      </w:r>
      <w:r>
        <w:rPr>
          <w:rFonts w:ascii="宋体" w:hAnsi="宋体" w:cs="宋体"/>
          <w:color w:val="auto"/>
          <w:sz w:val="32"/>
          <w:szCs w:val="32"/>
          <w:highlight w:val="none"/>
        </w:rPr>
        <w:t xml:space="preserve">5</w:t>
      </w:r>
      <w:r>
        <w:rPr>
          <w:rFonts w:hint="eastAsia" w:ascii="宋体" w:hAnsi="宋体" w:cs="宋体"/>
          <w:color w:val="auto"/>
          <w:sz w:val="32"/>
          <w:szCs w:val="32"/>
          <w:highlight w:val="none"/>
        </w:rPr>
      </w:r>
      <w:r>
        <w:rPr>
          <w:color w:val="auto"/>
          <w:highlight w:val="none"/>
        </w:rPr>
      </w:r>
    </w:p>
    <w:p>
      <w:pPr>
        <w:pStyle w:val="863"/>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技术部分正负偏离表</w:t>
      </w:r>
      <w:r>
        <w:rPr>
          <w:rFonts w:hint="eastAsia" w:ascii="宋体" w:hAnsi="宋体" w:cs="宋体"/>
          <w:b/>
          <w:color w:val="auto"/>
          <w:sz w:val="32"/>
          <w:szCs w:val="32"/>
          <w:highlight w:val="none"/>
        </w:rPr>
      </w:r>
      <w:r>
        <w:rPr>
          <w:color w:val="auto"/>
          <w:highlight w:val="none"/>
        </w:rPr>
      </w:r>
    </w:p>
    <w:p>
      <w:pPr>
        <w:pStyle w:val="863"/>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（由投标人据实填写，表格不够自行添加）</w:t>
      </w:r>
      <w:r>
        <w:rPr>
          <w:rFonts w:hint="eastAsia" w:ascii="宋体" w:hAnsi="宋体" w:cs="宋体"/>
          <w:color w:val="auto"/>
          <w:sz w:val="28"/>
          <w:szCs w:val="28"/>
          <w:highlight w:val="none"/>
        </w:rPr>
      </w:r>
      <w:r>
        <w:rPr>
          <w:color w:val="auto"/>
          <w:highlight w:val="none"/>
        </w:rP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500"/>
        <w:gridCol w:w="2183"/>
        <w:gridCol w:w="2817"/>
        <w:gridCol w:w="1551"/>
      </w:tblGrid>
      <w:tr>
        <w:trPr>
          <w:trHeight w:val="994"/>
        </w:trPr>
        <w:tc>
          <w:tcPr>
            <w:tcW w:w="460" w:type="dxa"/>
            <w:vAlign w:val="center"/>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货物或服务名称</w:t>
            </w: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招标文件要求的技术要求</w:t>
            </w: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投标文件响应情况</w:t>
            </w: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rPr>
                <w:rFonts w:hint="eastAsia" w:ascii="宋体" w:hAnsi="宋体" w:cs="宋体"/>
                <w:color w:val="auto"/>
                <w:sz w:val="24"/>
                <w:highlight w:val="none"/>
              </w:rPr>
            </w:r>
            <w:r>
              <w:rPr>
                <w:color w:val="auto"/>
                <w:highlight w:val="none"/>
              </w:rPr>
            </w:r>
          </w:p>
        </w:tc>
      </w:tr>
      <w:tr>
        <w:trPr>
          <w:trHeight w:val="414"/>
        </w:trPr>
        <w:tc>
          <w:tcPr>
            <w:tcW w:w="460"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r>
      <w:tr>
        <w:trPr>
          <w:trHeight w:val="548"/>
        </w:trPr>
        <w:tc>
          <w:tcPr>
            <w:tcW w:w="460"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r>
      <w:tr>
        <w:trPr>
          <w:trHeight w:val="400"/>
        </w:trPr>
        <w:tc>
          <w:tcPr>
            <w:tcW w:w="460"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r>
      <w:tr>
        <w:trPr>
          <w:trHeight w:val="419"/>
        </w:trPr>
        <w:tc>
          <w:tcPr>
            <w:tcW w:w="460" w:type="dxa"/>
            <w:vAlign w:val="top"/>
            <w:textDirection w:val="lrTb"/>
            <w:noWrap w:val="false"/>
          </w:tcPr>
          <w:p>
            <w:pPr>
              <w:pStyle w:val="863"/>
              <w:jc w:val="center"/>
              <w:spacing w:line="3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r>
            <w:r>
              <w:rPr>
                <w:color w:val="auto"/>
                <w:highlight w:val="none"/>
              </w:rPr>
            </w:r>
          </w:p>
        </w:tc>
        <w:tc>
          <w:tcPr>
            <w:tcW w:w="1254"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095"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1413" w:type="dxa"/>
            <w:vAlign w:val="center"/>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c>
          <w:tcPr>
            <w:tcW w:w="778" w:type="dxa"/>
            <w:vAlign w:val="top"/>
            <w:textDirection w:val="lrTb"/>
            <w:noWrap w:val="false"/>
          </w:tcPr>
          <w:p>
            <w:pPr>
              <w:pStyle w:val="863"/>
              <w:jc w:val="left"/>
              <w:spacing w:line="34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tc>
      </w:tr>
    </w:tbl>
    <w:p>
      <w:pPr>
        <w:pStyle w:val="863"/>
        <w:contextualSpacing/>
        <w:spacing w:line="30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rPr>
      </w:r>
      <w:r>
        <w:rPr>
          <w:color w:val="auto"/>
          <w:highlight w:val="none"/>
        </w:rPr>
      </w:r>
    </w:p>
    <w:p>
      <w:pPr>
        <w:pStyle w:val="863"/>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1.投标人提交的投标文件中与招标文件第三部分“项目需求”中的技术部分的要求，应逐条填列在偏离表中。</w:t>
      </w:r>
      <w:r>
        <w:rPr>
          <w:rFonts w:hint="eastAsia" w:ascii="宋体" w:hAnsi="宋体"/>
          <w:color w:val="auto"/>
          <w:sz w:val="24"/>
          <w:highlight w:val="none"/>
        </w:rPr>
      </w:r>
      <w:r>
        <w:rPr>
          <w:color w:val="auto"/>
          <w:highlight w:val="none"/>
        </w:rPr>
      </w:r>
    </w:p>
    <w:p>
      <w:pPr>
        <w:pStyle w:val="863"/>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2. “偏离说明”一栏选择“正偏离”、“无偏离”、“负偏离”进行填写。正偏离、无偏离的确认和负偏离的是否响应招标文件，由评委认定。</w:t>
      </w:r>
      <w:r>
        <w:rPr>
          <w:rFonts w:hint="eastAsia" w:ascii="宋体" w:hAnsi="宋体"/>
          <w:color w:val="auto"/>
          <w:sz w:val="24"/>
          <w:highlight w:val="none"/>
        </w:rPr>
      </w:r>
      <w:r>
        <w:rPr>
          <w:color w:val="auto"/>
          <w:highlight w:val="none"/>
        </w:rPr>
      </w:r>
    </w:p>
    <w:p>
      <w:pPr>
        <w:pStyle w:val="863"/>
        <w:contextualSpacing/>
        <w:ind w:firstLine="480"/>
        <w:spacing w:line="300" w:lineRule="auto"/>
        <w:rPr>
          <w:rFonts w:hint="eastAsia" w:ascii="宋体" w:hAnsi="宋体"/>
          <w:color w:val="auto"/>
          <w:sz w:val="24"/>
          <w:highlight w:val="none"/>
        </w:rPr>
      </w:pPr>
      <w:r>
        <w:rPr>
          <w:rFonts w:hint="eastAsia" w:ascii="宋体" w:hAnsi="宋体"/>
          <w:color w:val="auto"/>
          <w:sz w:val="24"/>
          <w:highlight w:val="none"/>
        </w:rPr>
        <w:t xml:space="preserve">3.投标人如果虚假响应，将被暂停参加南通市海门区公共资源交易中心组织的政府采购活动。</w:t>
      </w:r>
      <w:r>
        <w:rPr>
          <w:rFonts w:hint="eastAsia" w:ascii="宋体" w:hAnsi="宋体"/>
          <w:color w:val="auto"/>
          <w:sz w:val="24"/>
          <w:highlight w:val="none"/>
        </w:rPr>
      </w:r>
      <w:r>
        <w:rPr>
          <w:color w:val="auto"/>
          <w:highlight w:val="none"/>
        </w:rPr>
      </w:r>
    </w:p>
    <w:p>
      <w:pPr>
        <w:pStyle w:val="863"/>
        <w:contextualSpacing/>
        <w:ind w:firstLine="480"/>
        <w:spacing w:line="300" w:lineRule="auto"/>
        <w:rPr>
          <w:rFonts w:hint="eastAsia" w:ascii="宋体" w:hAnsi="宋体"/>
          <w:bCs/>
          <w:color w:val="auto"/>
          <w:sz w:val="24"/>
          <w:highlight w:val="none"/>
        </w:rPr>
      </w:pPr>
      <w:r>
        <w:rPr>
          <w:rFonts w:hint="eastAsia" w:ascii="宋体" w:hAnsi="宋体"/>
          <w:bCs/>
          <w:color w:val="auto"/>
          <w:sz w:val="24"/>
          <w:highlight w:val="none"/>
        </w:rPr>
        <w:t xml:space="preserve">4.供应商若提供其他增值服务，可以在表中自行据实填写。</w:t>
      </w:r>
      <w:r>
        <w:rPr>
          <w:rFonts w:hint="eastAsia" w:ascii="宋体" w:hAnsi="宋体"/>
          <w:bCs/>
          <w:color w:val="auto"/>
          <w:sz w:val="24"/>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附件</w:t>
      </w:r>
      <w:r>
        <w:rPr>
          <w:rFonts w:ascii="宋体" w:hAnsi="宋体" w:cs="宋体"/>
          <w:color w:val="auto"/>
          <w:sz w:val="32"/>
          <w:szCs w:val="32"/>
          <w:highlight w:val="none"/>
        </w:rPr>
        <w:t xml:space="preserve">6</w:t>
      </w:r>
      <w:r>
        <w:rPr>
          <w:rFonts w:hint="eastAsia" w:ascii="宋体" w:hAnsi="宋体" w:cs="宋体"/>
          <w:color w:val="auto"/>
          <w:sz w:val="32"/>
          <w:szCs w:val="32"/>
          <w:highlight w:val="none"/>
        </w:rPr>
      </w:r>
      <w:r>
        <w:rPr>
          <w:color w:val="auto"/>
          <w:highlight w:val="none"/>
        </w:rPr>
      </w:r>
    </w:p>
    <w:p>
      <w:pPr>
        <w:pStyle w:val="864"/>
        <w:jc w:val="center"/>
        <w:keepLines w:val="0"/>
        <w:keepNext w:val="0"/>
        <w:widowControl/>
        <w:rPr>
          <w:color w:val="auto"/>
          <w:highlight w:val="none"/>
        </w:rPr>
      </w:pPr>
      <w:r>
        <w:rPr>
          <w:rStyle w:val="918"/>
          <w:bCs w:val="0"/>
          <w:color w:val="auto"/>
          <w:highlight w:val="none"/>
        </w:rPr>
        <w:t xml:space="preserve">开标一览表</w:t>
      </w:r>
      <w:r>
        <w:rPr>
          <w:color w:val="auto"/>
          <w:highlight w:val="none"/>
        </w:rPr>
      </w:r>
    </w:p>
    <w:p>
      <w:pPr>
        <w:pStyle w:val="914"/>
        <w:rPr>
          <w:color w:val="auto"/>
          <w:highlight w:val="none"/>
        </w:rPr>
      </w:pPr>
      <w:r>
        <w:rPr>
          <w:color w:val="auto"/>
          <w:highlight w:val="none"/>
        </w:rPr>
        <w:t xml:space="preserve">项目编号：</w:t>
      </w:r>
      <w:r>
        <w:rPr>
          <w:color w:val="auto"/>
          <w:highlight w:val="none"/>
        </w:rPr>
      </w:r>
    </w:p>
    <w:p>
      <w:pPr>
        <w:pStyle w:val="914"/>
        <w:rPr>
          <w:color w:val="auto"/>
          <w:highlight w:val="none"/>
        </w:rPr>
      </w:pPr>
      <w:r>
        <w:rPr>
          <w:color w:val="auto"/>
          <w:highlight w:val="none"/>
        </w:rPr>
      </w:r>
      <w:r>
        <w:rPr>
          <w:color w:val="auto"/>
          <w:highlight w:val="none"/>
        </w:rPr>
      </w:r>
    </w:p>
    <w:p>
      <w:pPr>
        <w:pStyle w:val="914"/>
        <w:rPr>
          <w:color w:val="auto"/>
          <w:highlight w:val="none"/>
        </w:rPr>
      </w:pPr>
      <w:r>
        <w:rPr>
          <w:color w:val="auto"/>
          <w:highlight w:val="none"/>
        </w:rPr>
        <w:t xml:space="preserve">投标人名称：</w:t>
      </w:r>
      <w:r>
        <w:rPr>
          <w:rFonts w:hint="eastAsia"/>
          <w:color w:val="auto"/>
          <w:highlight w:val="none"/>
        </w:rPr>
        <w:t xml:space="preserve">                                            </w:t>
      </w:r>
      <w:r>
        <w:rPr>
          <w:color w:val="auto"/>
          <w:highlight w:val="none"/>
        </w:rPr>
        <w:t xml:space="preserve">货币单位：人民币元</w:t>
      </w:r>
      <w:r>
        <w:rPr>
          <w:color w:val="auto"/>
          <w:highlight w:val="none"/>
        </w:rPr>
      </w:r>
    </w:p>
    <w:p>
      <w:pPr>
        <w:pStyle w:val="863"/>
        <w:rPr>
          <w:color w:val="auto"/>
          <w:highlight w:val="none"/>
        </w:rPr>
      </w:pPr>
      <w:r>
        <w:rPr>
          <w:color w:val="auto"/>
          <w:highlight w:val="none"/>
        </w:rPr>
      </w:r>
      <w:r>
        <w:rPr>
          <w:color w:val="auto"/>
          <w:highlight w:val="none"/>
        </w:rP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914"/>
              <w:rPr>
                <w:color w:val="auto"/>
                <w:highlight w:val="none"/>
              </w:rPr>
            </w:pPr>
            <w:r>
              <w:rPr>
                <w:color w:val="auto"/>
                <w:highlight w:val="none"/>
              </w:rPr>
              <w:t xml:space="preserve">项目名称</w:t>
            </w:r>
            <w:r>
              <w:rPr>
                <w:color w:val="auto"/>
                <w:highlight w:val="none"/>
              </w:rPr>
            </w:r>
          </w:p>
        </w:tc>
        <w:tc>
          <w:tcPr>
            <w:tcW w:w="2700" w:type="dxa"/>
            <w:vAlign w:val="center"/>
            <w:textDirection w:val="lrTb"/>
            <w:noWrap w:val="false"/>
          </w:tcPr>
          <w:p>
            <w:pPr>
              <w:pStyle w:val="914"/>
              <w:rPr>
                <w:color w:val="auto"/>
                <w:highlight w:val="none"/>
              </w:rPr>
            </w:pPr>
            <w:r>
              <w:rPr>
                <w:color w:val="auto"/>
                <w:highlight w:val="none"/>
              </w:rPr>
              <w:t xml:space="preserve">项目内容</w:t>
            </w:r>
            <w:r>
              <w:rPr>
                <w:color w:val="auto"/>
                <w:highlight w:val="none"/>
              </w:rPr>
            </w:r>
          </w:p>
        </w:tc>
        <w:tc>
          <w:tcPr>
            <w:tcW w:w="3408" w:type="dxa"/>
            <w:vAlign w:val="center"/>
            <w:textDirection w:val="lrTb"/>
            <w:noWrap w:val="false"/>
          </w:tcPr>
          <w:p>
            <w:pPr>
              <w:pStyle w:val="914"/>
              <w:rPr>
                <w:color w:val="auto"/>
                <w:highlight w:val="none"/>
              </w:rPr>
            </w:pPr>
            <w:r>
              <w:rPr>
                <w:color w:val="auto"/>
                <w:highlight w:val="none"/>
              </w:rPr>
              <w:t xml:space="preserve">总价（小写）</w:t>
            </w:r>
            <w:r>
              <w:rPr>
                <w:color w:val="auto"/>
                <w:highlight w:val="none"/>
              </w:rPr>
            </w:r>
          </w:p>
        </w:tc>
      </w:tr>
      <w:tr>
        <w:trPr>
          <w:tblCellSpacing w:w="15" w:type="dxa"/>
        </w:trPr>
        <w:tc>
          <w:tcPr>
            <w:tcW w:w="2892" w:type="dxa"/>
            <w:vAlign w:val="center"/>
            <w:textDirection w:val="lrTb"/>
            <w:noWrap w:val="false"/>
          </w:tcPr>
          <w:p>
            <w:pPr>
              <w:pStyle w:val="914"/>
              <w:rPr>
                <w:color w:val="auto"/>
                <w:highlight w:val="none"/>
              </w:rPr>
            </w:pPr>
            <w:r>
              <w:rPr>
                <w:color w:val="auto"/>
                <w:highlight w:val="none"/>
              </w:rPr>
              <w:t xml:space="preserve">项目名称</w:t>
            </w:r>
            <w:r>
              <w:rPr>
                <w:color w:val="auto"/>
                <w:highlight w:val="none"/>
              </w:rPr>
            </w:r>
          </w:p>
        </w:tc>
        <w:tc>
          <w:tcPr>
            <w:tcW w:w="2700" w:type="dxa"/>
            <w:vAlign w:val="center"/>
            <w:textDirection w:val="lrTb"/>
            <w:noWrap w:val="false"/>
          </w:tcPr>
          <w:p>
            <w:pPr>
              <w:pStyle w:val="914"/>
              <w:rPr>
                <w:color w:val="auto"/>
                <w:highlight w:val="none"/>
              </w:rPr>
            </w:pPr>
            <w:r>
              <w:rPr>
                <w:color w:val="auto"/>
                <w:highlight w:val="none"/>
              </w:rPr>
              <w:t xml:space="preserve">详见投标文件</w:t>
            </w:r>
            <w:r>
              <w:rPr>
                <w:color w:val="auto"/>
                <w:highlight w:val="none"/>
              </w:rPr>
            </w:r>
          </w:p>
        </w:tc>
        <w:tc>
          <w:tcPr>
            <w:tcW w:w="3408" w:type="dxa"/>
            <w:vAlign w:val="center"/>
            <w:textDirection w:val="lrTb"/>
            <w:noWrap w:val="false"/>
          </w:tcPr>
          <w:p>
            <w:pPr>
              <w:pStyle w:val="914"/>
              <w:rPr>
                <w:color w:val="auto"/>
                <w:highlight w:val="none"/>
              </w:rPr>
            </w:pPr>
            <w:r>
              <w:rPr>
                <w:color w:val="auto"/>
                <w:highlight w:val="none"/>
              </w:rPr>
              <w:fldChar w:fldCharType="begin"/>
            </w:r>
            <w:r>
              <w:rPr>
                <w:color w:val="auto"/>
                <w:highlight w:val="none"/>
              </w:rPr>
              <w:instrText xml:space="preserve"> CONTROL Forms.HTML:Text.1 \s </w:instrText>
            </w:r>
            <w:r>
              <w:rPr>
                <w:color w:val="auto"/>
                <w:highlight w:val="none"/>
              </w:rPr>
              <w:fldChar w:fldCharType="separate"/>
            </w:r>
            <w:r>
              <w:rPr>
                <w:color w:val="auto"/>
                <w:highlight w:val="none"/>
              </w:rPr>
              <mc:AlternateContent>
                <mc:Choice Requires="wpg">
                  <w:drawing>
                    <wp:inline xmlns:wp="http://schemas.openxmlformats.org/drawingml/2006/wordprocessingDrawing" distT="0" distB="0" distL="0" distR="0">
                      <wp:extent cx="6858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18.0pt;mso-wrap-distance-left:0.0pt;mso-wrap-distance-top:0.0pt;mso-wrap-distance-right:0.0pt;mso-wrap-distance-bottom:0.0pt;" stroked="f">
                      <v:path textboxrect="0,0,0,0"/>
                      <v:imagedata r:id="rId12" o:title=""/>
                    </v:shape>
                  </w:pict>
                </mc:Fallback>
              </mc:AlternateContent>
            </w:r>
            <w:r>
              <w:rPr>
                <w:color w:val="auto"/>
                <w:highlight w:val="none"/>
              </w:rPr>
              <w:fldChar w:fldCharType="end"/>
            </w:r>
            <w:r>
              <w:rPr>
                <w:color w:val="auto"/>
                <w:highlight w:val="none"/>
              </w:rPr>
              <w:t xml:space="preserve">元</w:t>
            </w:r>
            <w:r>
              <w:rPr>
                <w:color w:val="auto"/>
                <w:highlight w:val="none"/>
              </w:rPr>
            </w:r>
          </w:p>
        </w:tc>
      </w:tr>
      <w:tr>
        <w:trPr>
          <w:tblCellSpacing w:w="15" w:type="dxa"/>
        </w:trPr>
        <w:tc>
          <w:tcPr>
            <w:tcW w:w="2892" w:type="dxa"/>
            <w:vAlign w:val="center"/>
            <w:textDirection w:val="lrTb"/>
            <w:noWrap w:val="false"/>
          </w:tcPr>
          <w:p>
            <w:pPr>
              <w:pStyle w:val="914"/>
              <w:rPr>
                <w:color w:val="auto"/>
                <w:highlight w:val="none"/>
              </w:rPr>
            </w:pPr>
            <w:r>
              <w:rPr>
                <w:color w:val="auto"/>
                <w:highlight w:val="none"/>
              </w:rPr>
              <w:t xml:space="preserve">总价（大写）：</w:t>
            </w:r>
            <w:r>
              <w:rPr>
                <w:color w:val="auto"/>
                <w:highlight w:val="none"/>
              </w:rPr>
            </w:r>
          </w:p>
        </w:tc>
        <w:tc>
          <w:tcPr>
            <w:gridSpan w:val="2"/>
            <w:tcW w:w="6183" w:type="dxa"/>
            <w:vAlign w:val="center"/>
            <w:textDirection w:val="lrTb"/>
            <w:noWrap w:val="false"/>
          </w:tcPr>
          <w:p>
            <w:pPr>
              <w:pStyle w:val="914"/>
              <w:rPr>
                <w:color w:val="auto"/>
                <w:highlight w:val="none"/>
              </w:rPr>
            </w:pPr>
            <w:r>
              <w:rPr>
                <w:color w:val="auto"/>
                <w:highlight w:val="none"/>
              </w:rPr>
              <w:t xml:space="preserve">金额大写</w:t>
            </w:r>
            <w:r>
              <w:rPr>
                <w:color w:val="auto"/>
                <w:highlight w:val="none"/>
              </w:rPr>
            </w:r>
          </w:p>
        </w:tc>
      </w:tr>
    </w:tbl>
    <w:p>
      <w:pPr>
        <w:pStyle w:val="914"/>
        <w:rPr>
          <w:color w:val="auto"/>
          <w:highlight w:val="none"/>
        </w:rPr>
      </w:pPr>
      <w:r>
        <w:rPr>
          <w:color w:val="auto"/>
          <w:highlight w:val="none"/>
        </w:rPr>
      </w:r>
      <w:r>
        <w:rPr>
          <w:color w:val="auto"/>
          <w:highlight w:val="none"/>
        </w:rPr>
      </w:r>
    </w:p>
    <w:p>
      <w:pPr>
        <w:pStyle w:val="914"/>
        <w:rPr>
          <w:color w:val="auto"/>
          <w:highlight w:val="none"/>
        </w:rPr>
      </w:pPr>
      <w:r>
        <w:rPr>
          <w:color w:val="auto"/>
          <w:highlight w:val="none"/>
        </w:rPr>
        <w:t xml:space="preserve">盖章（公章）：</w:t>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p>
    <w:p>
      <w:pPr>
        <w:pStyle w:val="863"/>
        <w:contextualSpacing/>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rPr>
          <w:color w:val="auto"/>
          <w:highlight w:val="none"/>
        </w:rPr>
      </w:r>
    </w:p>
    <w:p>
      <w:pPr>
        <w:pStyle w:val="875"/>
        <w:rPr>
          <w:color w:val="auto"/>
          <w:highlight w:val="none"/>
        </w:rPr>
      </w:pPr>
      <w:r>
        <w:rPr>
          <w:color w:val="auto"/>
          <w:highlight w:val="none"/>
        </w:rPr>
      </w:r>
      <w:r>
        <w:rPr>
          <w:color w:val="auto"/>
          <w:highlight w:val="none"/>
        </w:rPr>
      </w:r>
    </w:p>
    <w:p>
      <w:pPr>
        <w:pStyle w:val="877"/>
        <w:rPr>
          <w:color w:val="auto"/>
          <w:highlight w:val="none"/>
        </w:rPr>
      </w:pPr>
      <w:r>
        <w:rPr>
          <w:color w:val="auto"/>
          <w:highlight w:val="none"/>
        </w:rPr>
      </w:r>
      <w:r>
        <w:rPr>
          <w:color w:val="auto"/>
          <w:highlight w:val="none"/>
        </w:rPr>
      </w:r>
    </w:p>
    <w:p>
      <w:pPr>
        <w:pStyle w:val="878"/>
        <w:rPr>
          <w:color w:val="auto"/>
          <w:highlight w:val="none"/>
        </w:rPr>
      </w:pPr>
      <w:r>
        <w:rPr>
          <w:color w:val="auto"/>
          <w:highlight w:val="none"/>
        </w:rPr>
      </w:r>
      <w:r>
        <w:rPr>
          <w:color w:val="auto"/>
          <w:highlight w:val="none"/>
        </w:rPr>
      </w:r>
    </w:p>
    <w:p>
      <w:pPr>
        <w:pStyle w:val="863"/>
        <w:rPr>
          <w:color w:val="auto"/>
          <w:highlight w:val="none"/>
        </w:rPr>
      </w:pPr>
      <w:r>
        <w:rPr>
          <w:color w:val="auto"/>
          <w:highlight w:val="none"/>
        </w:rPr>
      </w:r>
      <w:r>
        <w:rPr>
          <w:color w:val="auto"/>
          <w:highlight w:val="none"/>
        </w:rPr>
      </w:r>
    </w:p>
    <w:p>
      <w:pPr>
        <w:pStyle w:val="875"/>
        <w:rPr>
          <w:color w:val="auto"/>
          <w:highlight w:val="none"/>
        </w:rPr>
      </w:pPr>
      <w:r>
        <w:rPr>
          <w:color w:val="auto"/>
          <w:highlight w:val="none"/>
        </w:rPr>
      </w:r>
      <w:r>
        <w:rPr>
          <w:color w:val="auto"/>
          <w:highlight w:val="none"/>
        </w:rPr>
      </w:r>
    </w:p>
    <w:p>
      <w:pPr>
        <w:pStyle w:val="877"/>
        <w:rPr>
          <w:color w:val="auto"/>
          <w:highlight w:val="none"/>
        </w:rPr>
      </w:pPr>
      <w:r>
        <w:rPr>
          <w:color w:val="auto"/>
          <w:highlight w:val="none"/>
        </w:rPr>
      </w:r>
      <w:r>
        <w:rPr>
          <w:color w:val="auto"/>
          <w:highlight w:val="none"/>
        </w:rPr>
      </w:r>
    </w:p>
    <w:p>
      <w:pPr>
        <w:pStyle w:val="878"/>
        <w:rPr>
          <w:color w:val="auto"/>
          <w:highlight w:val="none"/>
        </w:rPr>
      </w:pPr>
      <w:r>
        <w:rPr>
          <w:color w:val="auto"/>
          <w:highlight w:val="none"/>
        </w:rPr>
      </w:r>
      <w:r>
        <w:rPr>
          <w:color w:val="auto"/>
          <w:highlight w:val="none"/>
        </w:rPr>
      </w:r>
    </w:p>
    <w:p>
      <w:pPr>
        <w:pStyle w:val="863"/>
        <w:rPr>
          <w:color w:val="auto"/>
          <w:highlight w:val="none"/>
        </w:rPr>
      </w:pPr>
      <w:r>
        <w:rPr>
          <w:color w:val="auto"/>
          <w:highlight w:val="none"/>
        </w:rPr>
      </w:r>
      <w:r>
        <w:rPr>
          <w:color w:val="auto"/>
          <w:highlight w:val="none"/>
        </w:rPr>
      </w:r>
    </w:p>
    <w:p>
      <w:pPr>
        <w:pStyle w:val="875"/>
        <w:rPr>
          <w:color w:val="auto"/>
          <w:highlight w:val="none"/>
        </w:rPr>
      </w:pPr>
      <w:r>
        <w:rPr>
          <w:color w:val="auto"/>
          <w:highlight w:val="none"/>
        </w:rPr>
      </w:r>
      <w:r>
        <w:rPr>
          <w:color w:val="auto"/>
          <w:highlight w:val="none"/>
        </w:rPr>
      </w:r>
    </w:p>
    <w:p>
      <w:pPr>
        <w:pStyle w:val="877"/>
        <w:rPr>
          <w:rFonts w:hint="eastAsia"/>
          <w:color w:val="auto"/>
          <w:highlight w:val="none"/>
        </w:rPr>
      </w:pPr>
      <w:r>
        <w:rPr>
          <w:rFonts w:hint="eastAsia"/>
          <w:color w:val="auto"/>
          <w:highlight w:val="none"/>
        </w:rPr>
      </w:r>
      <w:r>
        <w:rPr>
          <w:color w:val="auto"/>
          <w:highlight w:val="none"/>
        </w:rPr>
      </w:r>
    </w:p>
    <w:p>
      <w:pPr>
        <w:pStyle w:val="877"/>
        <w:rPr>
          <w:rFonts w:hAnsi="宋体" w:cs="宋体"/>
          <w:color w:val="auto"/>
          <w:sz w:val="32"/>
          <w:szCs w:val="32"/>
          <w:highlight w:val="none"/>
        </w:rPr>
      </w:pPr>
      <w:r>
        <w:rPr>
          <w:rFonts w:hint="eastAsia" w:hAnsi="宋体" w:cs="宋体"/>
          <w:color w:val="auto"/>
          <w:sz w:val="32"/>
          <w:szCs w:val="32"/>
          <w:highlight w:val="none"/>
        </w:rPr>
        <w:t xml:space="preserve">附件</w:t>
      </w:r>
      <w:r>
        <w:rPr>
          <w:rFonts w:hAnsi="宋体" w:cs="宋体"/>
          <w:color w:val="auto"/>
          <w:sz w:val="32"/>
          <w:szCs w:val="32"/>
          <w:highlight w:val="none"/>
        </w:rPr>
        <w:t xml:space="preserve">7</w:t>
      </w:r>
      <w:r>
        <w:rPr>
          <w:rFonts w:hAnsi="宋体" w:cs="宋体"/>
          <w:color w:val="auto"/>
          <w:sz w:val="32"/>
          <w:szCs w:val="32"/>
          <w:highlight w:val="none"/>
        </w:rPr>
      </w:r>
      <w:r>
        <w:rPr>
          <w:color w:val="auto"/>
          <w:highlight w:val="none"/>
        </w:rPr>
      </w:r>
    </w:p>
    <w:p>
      <w:pPr>
        <w:pStyle w:val="878"/>
        <w:jc w:val="center"/>
        <w:rPr>
          <w:rFonts w:hint="eastAsia"/>
          <w:b/>
          <w:color w:val="auto"/>
          <w:sz w:val="30"/>
          <w:szCs w:val="30"/>
          <w:highlight w:val="none"/>
        </w:rPr>
      </w:pPr>
      <w:r>
        <w:rPr>
          <w:rFonts w:hint="eastAsia"/>
          <w:b/>
          <w:color w:val="auto"/>
          <w:sz w:val="30"/>
          <w:szCs w:val="30"/>
          <w:highlight w:val="none"/>
        </w:rPr>
        <w:t xml:space="preserve">南通市海门区常乐镇人民政府采购常乐镇农业科技产业园核心区一期</w:t>
      </w:r>
      <w:r>
        <w:rPr>
          <w:rFonts w:hint="eastAsia"/>
          <w:b/>
          <w:color w:val="auto"/>
          <w:sz w:val="30"/>
          <w:szCs w:val="30"/>
          <w:highlight w:val="none"/>
        </w:rPr>
      </w:r>
      <w:r>
        <w:rPr>
          <w:color w:val="auto"/>
          <w:highlight w:val="none"/>
        </w:rPr>
      </w:r>
    </w:p>
    <w:p>
      <w:pPr>
        <w:pStyle w:val="878"/>
        <w:jc w:val="center"/>
        <w:rPr>
          <w:rFonts w:hint="eastAsia"/>
          <w:b/>
          <w:color w:val="auto"/>
          <w:sz w:val="30"/>
          <w:szCs w:val="30"/>
          <w:highlight w:val="none"/>
        </w:rPr>
      </w:pPr>
      <w:r>
        <w:rPr>
          <w:rFonts w:hint="eastAsia"/>
          <w:b/>
          <w:color w:val="auto"/>
          <w:sz w:val="30"/>
          <w:szCs w:val="30"/>
          <w:highlight w:val="none"/>
        </w:rPr>
        <w:t xml:space="preserve">智能温室设备、安装及配套项目（第三次）设备清单</w:t>
      </w:r>
      <w:r>
        <w:rPr>
          <w:rFonts w:hint="eastAsia"/>
          <w:b/>
          <w:color w:val="auto"/>
          <w:sz w:val="30"/>
          <w:szCs w:val="30"/>
          <w:highlight w:val="none"/>
        </w:rPr>
      </w:r>
      <w:r>
        <w:rPr>
          <w:color w:val="auto"/>
          <w:highlight w:val="none"/>
        </w:rPr>
      </w:r>
    </w:p>
    <w:tbl>
      <w:tblPr>
        <w:tblW w:w="1047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16"/>
        <w:gridCol w:w="1313"/>
        <w:gridCol w:w="5001"/>
        <w:gridCol w:w="529"/>
        <w:gridCol w:w="999"/>
        <w:gridCol w:w="756"/>
        <w:gridCol w:w="756"/>
      </w:tblGrid>
      <w:tr>
        <w:trPr>
          <w:trHeight w:val="570"/>
        </w:trPr>
        <w:tc>
          <w:tcPr>
            <w:shd w:val="clear" w:color="auto" w:fill="b8cce4"/>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pStyle w:val="863"/>
              <w:jc w:val="center"/>
              <w:widowControl/>
              <w:rPr>
                <w:rFonts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序号</w:t>
            </w:r>
            <w:r>
              <w:rPr>
                <w:rFonts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设备名称</w:t>
            </w: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技术要求/规格参数</w:t>
            </w: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单位</w:t>
            </w: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数量</w:t>
            </w: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单价（元）</w:t>
            </w: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合价（元）</w:t>
            </w:r>
            <w:r>
              <w:rPr>
                <w:rFonts w:hint="eastAsia" w:ascii="微软雅黑" w:hAnsi="微软雅黑" w:eastAsia="微软雅黑" w:cs="微软雅黑"/>
                <w:b/>
                <w:bCs/>
                <w:color w:val="auto"/>
                <w:sz w:val="18"/>
                <w:szCs w:val="18"/>
                <w:highlight w:val="none"/>
              </w:rPr>
            </w:r>
            <w:r>
              <w:rPr>
                <w:color w:val="auto"/>
                <w:highlight w:val="none"/>
              </w:rPr>
            </w:r>
          </w:p>
        </w:tc>
      </w:tr>
      <w:tr>
        <w:trPr>
          <w:trHeight w:val="570"/>
        </w:trPr>
        <w:tc>
          <w:tcPr>
            <w:shd w:val="clear" w:color="ffffff" w:fill="b8cce4"/>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一</w:t>
            </w:r>
            <w:r>
              <w:rPr>
                <w:rFonts w:hint="eastAsia" w:ascii="微软雅黑" w:hAnsi="微软雅黑" w:eastAsia="微软雅黑" w:cs="微软雅黑"/>
                <w:b/>
                <w:bCs/>
                <w:color w:val="auto"/>
                <w:sz w:val="18"/>
                <w:szCs w:val="18"/>
                <w:highlight w:val="none"/>
              </w:rPr>
            </w:r>
            <w:r>
              <w:rPr>
                <w:color w:val="auto"/>
                <w:highlight w:val="none"/>
              </w:rPr>
            </w:r>
          </w:p>
        </w:tc>
        <w:tc>
          <w:tcPr>
            <w:shd w:val="clear" w:color="ffffff" w:fill="b8cce4"/>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产业融合研发及展示项目</w:t>
            </w: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r>
      <w:tr>
        <w:trPr>
          <w:trHeight w:val="57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农产品储转中心设备</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冷库， 立体货架</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1620</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智能冷库库体</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库体顶板、墙板采用：双面0.5mm厚度彩钢板，100mm聚氨酯,容重42kg/m³，B1级别阻燃等级，导热系数0.024W/M.K，符合《JBT 6527-2006 组合冷库用隔热夹芯板》国家标准。保温地面采用高密度100mm挤塑板（含2层防潮塑料布）。辅材墙角包板、墙底固定、吊装加固螺丝/铆钉/填缝剂/密封胶等调试安装工作。</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1、保鲜库：5面保温，面积约448㎡，温度-2~8℃。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448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冷库门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库体门为平移门，采用：双面0.5mm厚度彩钢板，100mm聚氨酯,容重42kg/m³，B1级别阻燃等级，导热系数0.024W/M.K，符合《JBT 6527-2006 组合冷库用隔热夹芯板》国家标准。门洞尺寸为：1800x2400mm。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冷库机组设备及照明</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制冷机组：15HP双温机组，3套。单侧出风冷风机：1.0风幕机，3套。风幕机：1.0风幕机，4台。</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连接铜管：机组内外机连接铜管，30米。辅材：机组安装辅材配件，3套，含线槽/线管/水管/焊接材料等。照明灯：60W LED冷库专用照明灯，专用开关。电线、安装辅材线槽、线管、水管、焊接材料等及安装调试工作。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装卸平台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固定式登车桥升降电动液压货台,载重5吨,可根据货车车厢不同高度调节，方便叉车驶入车厢</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提升门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提升门 ：3x3米，电动弯轨滑升工业门专用软启动电机，含扭簧防断，钢丝绳防断.内外白，每套门配两个视窗。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门封</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机械式门封：铝合金骨架 3.4x3.4米 聚氨酯涂层耐磨基布封边，前侧为3mm厚内部纤维网橡胶帘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立体货架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货架规格：W1400/2700(内)*D900*H4300;2层横梁3层货物；</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2、托盘规格：W1200(进叉)*D1000*H1000;500KG/托盘；</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3、托盘数量：360个托盘位；</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4、主要用材：立柱：80*60*1.8;</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横梁：DK100*50*1.5；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农产品储转中心装卸平台配套</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装卸平台</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1620</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装卸平台土建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装卸平台坡道：坡长25m，坡宽7m，装卸平台坡道做法1、200厚C30混凝土面层，配筋二级钢筋12双向@150钢筋网，分仓跳格捣制,每块尺寸(4~6)mX6m，随打随抹平。2、30厚C20细石混凝土找平层。3、300厚级配砂石，分两步碾实。4、100厚碎石碾压。5、路基碾压，压实系数&gt;0.93。</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2、装卸平台坡道挡墙：长25m，宽0.25m，高2.0m-0.6m钢筋混凝土挡墙。</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3、装卸平台坡道不锈钢护栏，总长50m高0.9m。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4、装卸平台坡道钢筋混凝土排水沟，沟长7m，沟宽0.3m，壁厚0.2m，铸铁篦子。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智能温室设备</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温室壳体及水电暖，且包含6区的内部设施</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17448.75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741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智能屋面墙面系统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智能屋面墙面系统的各个子系统之间进行一体化联动，可以实时根据室外气候变化，自动调节温度、湿度、二氧化碳、光照等环境因子，在温室内形成最适宜植物生长的小气候。</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系统由钢构件系统、天沟系统，屋面系统，开窗系统，顶部玻璃，折叠式防虫网系统，开窗驱动系统，内网系统，外网系统，墙面系统，隔断墙系统，墙体玻璃，侧卷网系统，湿帘墙及上下水,负压风机，温室壳体门，内循环风机组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1，结合海门当地气候特点，配置有专利设计的外遮阳系统。</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2，结合海门当地气候特点，配置有湿帘风机系统，湿帘走廊顶部采用双侧连续开窗，保证了湿帘的进风量又隔绝了病害虫的进入，增强了温室的保温性能。</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2，采用专业温室结构软件设计计算，全面考虑作物荷载，外遮阳系统荷载以及实际中会发生的各种荷载组合工况。保证结构20年使用寿命，安全可靠。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3，钢构件热镀锌+钝化工艺，既保证了防腐效果，且洁净美观。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4，为了不破坏材料表面的镀层避免锈蚀，钢构件全部现场栓接不用焊接方式，全部工厂预制现场螺栓连接，加工精度高，保证了工艺系统的安装质量和运行效果。</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5，铝合金天沟、屋面、开窗系统，防虫网及均应用了多项先进设计及一系列专利技术，包括多功能高强中空铝合金天沟技术，43°交错顶开窗技术，双侧连续开窗技术，边部缩进的折叠式防虫网。</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6，内网系统采用钢索拉幕独特设计，保证内网系统收放动作平滑且保温密封效果好。</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7，侧卷网系统采用管式电机在湿帘墙体内侧与立柱之间的狭小空间安装，加强了湿帘墙的保温性同时也不影响其他工艺管线的安装。</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17448.75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705"/>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钢管柱</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山墙立柱、隔断山墙立柱采用200x120x4国标管，钢材材质Q235B,加工后整体热镀锌、钝化处理，锌层厚度均不低于国标，满足国标标准《GB/T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1，立柱既受到轴力又受到剪力，属于实腹式偏心受力杆件。所有立柱都通过了Casta对强度、整体稳定性及刚度的验算，保证结构20年使用寿命，安全可靠。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立柱预制有温室特有的通风传动轴的椭圆孔，以及温室墙面檩条安装板，同时预制有安装内网系统安装板。其加工精度及现场安装精度比较高，能够满足通风传动系统、内网传动系统等工艺的安装精度，保证了工艺系统的安装质量和运行效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188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70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5区内部立柱采用140x60x4国标管，钢材材质Q235B,加工后整体热镀锌、钝化处理，锌层厚度均不低于国标，满足国标标准《GB/T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1，立柱既受到轴力又受到剪力，属于实腹式偏心受力杆件。所有立柱都通过了Casta对强度、整体稳定性及刚度的验算，保证结构20年使用寿命，安全可靠。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立柱预制有温室特有的通风传动轴的椭圆孔，以及温室墙面檩条安装板，同时预制有安装内网系统安装板。其加工精度及现场安装精度比较高，能够满足通风传动系统、内网传动系统等工艺的安装精度，保证了工艺系统的安装质量和运行效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70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1、2、3、4区内部立柱采用140x140x4国标管，钢材材质Q235B,加工后整体热镀锌、钝化处理，锌层厚度均不低于国标，满足国标标准《GB/T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1，立柱既受到轴力又受到剪力，属于实腹式偏心受力杆件。所有立柱都通过了Casta对强度、整体稳定性及刚度的验算，保证结构20年使用寿命，安全可靠。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立柱预制有温室特有的通风传动轴的椭圆孔，以及温室墙面檩条安装板，同时预制有安装内网系统安装板。其加工精度及现场安装精度比较高，能够满足通风传动系统、内网传动系统等工艺的安装精度，保证了工艺系统的安装质量和运行效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70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侧墙轴线立柱采用140x60x4国标管，钢材材质Q235B,加工后整体热镀锌、钝化处理，锌层厚度均不低于国标，满足国标标准《GB/T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1，立柱既受到轴力又受到剪力，属于实腹式偏心受力杆件。所有立柱都通过了Casta对强度、整体稳定性及刚度的验算，保证结构20年使用寿命，安全可靠。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立柱预制有温室特有的通风传动轴的椭圆孔，以及温室墙面檩条安装板，同时预制有安装内网系统安装板。其加工精度及现场安装精度比较高，能够满足通风传动系统、内网传动系统等工艺的安装精度，保证了工艺系统的安装质量和运行效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70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隔断侧墙立柱采用140x60x4国标管，钢材材质Q235B,加工后整体热镀锌、钝化处理，锌层厚度均不低于国标，满足国标标准《GB/T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1，立柱既受到轴力又受到剪力，属于实腹式偏心受力杆件。所有立柱都通过了Casta对强度、整体稳定性及刚度的验算，保证结构20年使用寿命，安全可靠。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立柱预制有温室特有的通风传动轴的椭圆孔，以及温室墙面檩条安装板，同时预制有安装内网系统安装板。其加工精度及现场安装精度比较高，能够满足通风传动系统、内网传动系统等工艺的安装精度，保证了工艺系统的安装质量和运行效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70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侧墙中立柱采用140x60x4国标管，钢材材质Q235B,加工后整体热镀锌、钝化处理，锌层厚度均不低于国标，满足国标标准《GB/T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1，立柱既受到轴力又受到剪力，属于实腹式偏心受力杆件。所有立柱都通过了Casta对强度、整体稳定性及刚度的验算，保证结构20年使用寿命，安全可靠。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立柱预制有温室特有的通风传动轴的椭圆孔，以及温室墙面檩条安装板，同时预制有安装内网系统安装板。其加工精度及现场安装精度比较高，能够满足通风传动系统、内网传动系统等工艺的安装精度，保证了工艺系统的安装质量和运行效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门斗立柱采用120x60x3国标管，钢材材质Q235B,加工后整体热镀锌、钝化处理，锌层厚度均不低于国标，满足国标标准《GB/T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456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桁架梁</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室内部桁架上、下弦采用60x30x3国标管，桁架腹杆采用30x30x2国标管，桁架立撑采用60x30x3国标管，桁架堵头采用60x16国标铁板，钢材材质Q235B,加工后整体热镀锌、钝化处理，锌层厚度均不低于国标，满足国标标准《GB/T 13912-2020》的要求。桁架长度为8.0米.所有结构紧固件均采用国标8.8级高强螺栓，紧固件表面做达克罗处理，达克罗要满足三涂三烘的工艺要求，且满足人造气氛腐蚀试验《GB/T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桁架梁采用平行弦桁架人字式腹杆的形式，最为经济且受力合理分布，上弦杆受压，而下弦杆受拉。均采用闭口截面，腹杆和弦管的夹角约为46°，桁架高度510mm。所有桁架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桁架梁的小立柱上预制有安装通风传动轴的椭圆孔，桁架梁下弦预制有悬挂栽培槽的吊挂安装板。保证了现场安装的误差。桁架中间顶点比桁架两连接点高10mm，这样整体安装后减少由于桁架自重下垂带来轴压、剪力和弯矩。</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99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走廊桁架上下弦采用60x50x3国标管，桁架腹杆采用30x30x2国标管，桁架立撑采用60x50x3国标管，桁架堵头采用60x10国标铁板，钢材材质Q235B,加工后整理热镀锌、钝化处理，锌层厚度均不低于国标，满足国标标准《GB/T 13912-2020》的要求。桁架长度为4.5米.所有结构紧固件均采用国标8.8级高强螺栓，紧固件表面做达克罗处理，达克罗要满足三涂三烘的工艺要求，且满足人造气氛腐蚀试验《GB/T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桁架梁采用平行弦桁架人字式腹杆的形式，最为经济且受力合理分布，上弦杆受压，而下弦杆受拉。均采用闭口截面，腹杆和弦管的夹角约为38°，桁架高度450mm。所有桁架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2，桁架中间顶点比桁架两连接点高5mm，这样整体安装后减少由于桁架自重下垂带来轴压、剪力和弯矩。</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456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3、4区布置有纵桁架上、下弦采用100x80x3国标管，桁架腹杆采用50x50x3国标管，桁架立撑采用140x60x4国标管，桁架堵头采用100x16国标铁板，钢材材质Q235B,加工后整体热镀锌、钝化处理，锌层厚度均不低于国标，满足国标标准《GB/T 13912-2020》的要求。桁架长度为9.0米.所有结构紧固件均采用国标8.8级高强螺栓，紧固件表面做达克罗处理，达克罗要满足三涂三烘的工艺要求，且满足人造气氛腐蚀试验《GB/T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桁架梁采用平行弦桁架人字式腹杆的形式，最为经济且受力合理分布，上弦杆受压，而下弦杆受拉。均采用闭口截面，腹杆和弦管的夹角约为46°，桁架高度650mm。所有桁架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桁架梁的小立柱上预制有安装通风传动轴的椭圆孔，桁架梁下弦预制有悬挂栽培槽的吊挂安装板。保证了现场安装的误差。桁架中间顶点比桁架两连接点高12mm，这样整体安装后减少由于桁架自重下垂带来轴压、剪力和弯矩。</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456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3、4区布置有纵桁架上、下弦采用100x80x3国标管，桁架腹杆采用50x50x3国标管，桁架立撑采用140x60x4国标管，桁架堵头采用100x16国标铁板，钢材材质Q235B,加工后整体热镀锌、钝化处理，锌层厚度均不低于国标，满足国标标准《GB/T 13912-2020》的要求。桁架长度为4.5米.所有结构紧固件均采用国标8.8级高强螺栓，紧固件表面做达克罗处理，达克罗要满足三涂三烘的工艺要求，且满足人造气氛腐蚀试验《GB/T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桁架梁采用平行弦桁架人字式腹杆的形式，最为经济且受力合理分布，上弦杆受压，而下弦杆受拉。均采用闭口截面，腹杆和弦管的夹角约为46°，桁架高度650mm。所有桁架都通过了Casta对强度、整体稳定性及刚度的验算，保证结构20年使用寿命，安全可靠。</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桁架梁的小立柱上预制有安装通风传动轴的椭圆孔，桁架梁下弦预制有悬挂栽培槽的吊挂安装板。保证了现场安装的误差。桁架中间顶点比桁架两连接点高6mm，这样整体安装后减少由于桁架自重下垂带来轴压、剪力和弯矩。</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桁架短柱</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桁架短柱采用100x60x3国标管，钢材材质Q235B,加工后整体热镀锌、钝化处理，锌层厚度均不低于国标，满足国标标准《GB/T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10125-2021》的要求。为保证8.0米桁架之间的天沟支撑，在8.0米桁架上弦管中间位置安装一件短柱。</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湿帘走廊通道上，桁架短柱采用120x60x3国标管，钢材材质Q235B,加工后整体热镀锌、钝化处理，锌层厚度均不低于国标，满足国标标准《GB/T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柱间支撑、水平支撑</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横向水平支撑与纵向水平支撑结合起来可以形成整体体系，屋面将作为一个整体传递纵向荷载。在安装过程中，在安装两榀桁架后，就要将天沟、立柱与桁架固定在一起，增强自身的整体稳定性，其他桁架再通过天沟与桁架相连，就可以保证屋面系统不偏离设计位置，不产生过大的水平位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内部柱间支撑采用双xx形式，采用Ø12圆钢，钢材材质Q235B,加工后整理热镀锌、钝化处理，锌层厚度均不低于国标，满足国标标准《GB/T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13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内部柱间支撑连接立柱，上横梁采用50x50x2国标管，中横撑采用50x50x3国标管，下横撑采用120x50x3国标管，钢材材质Q235B,加工后整理热镀锌、钝化处理，锌层厚度均不低于国标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柱间支撑是连接在柱子之间的支撑，一般设置在有横向水平支撑的跨内，是支撑体系中重要的组成部分，采用柱间支撑后结构的抗侧移刚度较单柱平面外的刚度提高超过10倍，所以设置柱间支撑有效提高温室结构纵向刚度。</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13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横向水平支撑与纵向水平支撑结合起来可以形成整体体系，屋面将作为一个整体传递纵向荷载。在安装过程中，在安装两榀桁架后，就要将天沟、立柱与桁架固定在一起，增强自身的整体稳定性，其他桁架再通过天沟与桁架相连，就可以保证屋面系统不偏离设计位置，不产生过大的水平位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山、侧墙柱间支撑均采用x形式，采用Ø12圆钢，钢材材质Q235B,加工后整理热镀锌、钝化处理，锌层厚度以及喷涂厚度均不低于国标，满足国标标准《GB/T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28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为保证温室的横向稳定性，以及水平载荷在南北山墙之间的传递，降低山墙上载荷的作用，在温室内部设置水平斜支撑，保证屋面系统不产生过大的水平位移。屋面水平支撑采用x形式的Ø10圆钢，钢材材质Q235B,加工后整理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436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在温室两侧沿侧墙方向布置有加密水平支撑，采用x形式的Ø10圆钢，并配置有压力梁，采用50x50x2国标管，钢材材质Q235B,加工后整体热镀锌、钝化处理，锌层厚度以及喷涂厚度均不低于国标，满足国标标准《GB/T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山墙檩条</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山墙檩条采用80x40x4 C型钢，长度为8.0米，钢材材质Q235B,加工后整体热镀锌、钝化处理，锌层厚度均不低于国标，满足国标标准《GB/T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侧墙檩条</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侧墙檩条采用80x40x2 C型钢，长度为4.5米，钢材材质Q235B,加工后整体热镀锌、钝化处理，锌层厚度均不低于国标，满足国标标准《GB/T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拉幕梁</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幕梁采用120x50x3国标管，钢材材质Q235B,加工后整体热镀锌、钝化处理，锌层厚度均不低于国标，满足国标标准《GB/T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10125-2021》的要求。在每区域山墙、隔断山墙立柱之间的焊件安装板上，安装拉幕方管。托幕线和压幕线通过不锈钢钩子被固定在拉幕方管上。</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296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风机立柱</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在每台风机四周安装风机横梁及竖撑。风机立柱采用120x60x3国标管，风机横梁采用80x40x3 C型钢。钢材材质Q235B,加工后整体热镀锌、钝化处理，锌层厚度均不低于国标，满足国标标准《GB/T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142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通道横梁</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湿帘走廊通道横梁采用120x60x3国标管，双侧连续开窗支撑短柱采用120x60x3国标管，钢材材质Q235B,加工后整体热镀锌、钝化处理，锌层厚度均不低于国标，满足国标标准《GB/T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10125-2021》的要求。在湿帘通道每个小屋面下方位置安装，用于支撑湿帘走廊屋面开窗系统。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湿帘上下托架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湿帘上托架采用角铁折弯件，下托架采用60x60x3国标管，钢材材质Q235B,加工后整体热镀锌、钝化处理，锌层厚度均不低于国标，满足国标标准《GB/T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湿帘上地基方管</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湿帘上地基方管采用100x50x3国标管，钢材材质Q235B,加工后整体热镀锌、钝化处理，锌层厚度均不低于国标，满足国标标准《GB/T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门立柱及门楣</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山墙门立柱及门楣采用200x120x4国标管，侧墙门立柱及门楣采用140x60x4国标管，钢材材质Q235B,加工后整体热镀锌、钝化处理，锌层厚度均不低于国标，满足国标标准《GB/T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作物拉线系统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在每个分区四角安装加固方管，采用50x50x3国标管，拉线弓采用Ø12螺纹钢，钢材材质Q235B,,加工后整体热镀锌、钝化处理，锌层厚度均不低于国标，满足国标标准《GB/T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10125-2021》的要求。作物拉线系统包含T型钢连接件、U型抱柱件、等辅材。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92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4mm天沟系统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天沟系统主要为中空天沟及其配件，天沟的腔体内部自带冷凝水排水槽。天沟上预制了玻璃桁条安装定位孔，和冷凝水排水孔。铝合金天沟，6063T5材质。结露天沟、雨水天沟及清洗机导轨合三为一。抗拉强度≥175N/mm²，非比例延长应力≥130N/mm²，包含天沟托架、天沟压条、漏斗、天沟接头等连接辅件以及天沟下落水管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4494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4mm屋面系统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4mm屋面的铝合金屋脊，6063 T5材质。主要由铝合金屋脊、屋脊斜拉撑、屋脊胶条、连接辅件等组成，顶部密封全部采用抗老化、抗UV PVC共挤扣条，密封严密。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1，使用文洛式铝合金屋面技术，其主要特点是屋面为单层玻璃分隔，屋面无需钢制檩条，为了增加保温型和透光率，屋面型材多采用特制的空腔结构。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为了能够最大化采光并排水，小屋顶坡度设计为21.6°，这个坡度能够带来最佳的光线照射充分利用自然光照以减少能耗，并且能够保证及时排走屋面的积雪和雨水和并保证屋面玻璃的冷凝水能够顺着玻璃收集的天沟里。</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由于玻璃直接插到铝合金玻璃桁条内，玻璃和铝合金玻璃桁条之间要留有一定的安装间隙，但是间隙会带影响保温性和密封性。建筑结构上一般会在玻璃上打密封胶来解决。但是打胶成本高且治标不治本。本项目屋面桁条使用专利技术的柔性设计PVC卡条代替打胶。在玻璃条的安装槽内穿了一个特制的PVC卡条，此PVC卡条使安装槽口带有一定的柔性，密封和隔热性更好，可行对玻璃形成多点密封，而且便于玻璃的安装。</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4，屋面中央区域玻璃分隔为1.125m，屋面靠近周墙范围内为和四个角落部分存在风荷载叠加，该区域的玻璃分隔为0.562m。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3669.3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4mm屋面的铝合金桁条，6063 T5材质。主要由铝合金屋顶玻璃桁条、铝合金末端边条、连接辅件、4mm钢化玻璃等组成，顶部密封全部采用抗老化、抗UV PVC共挤扣条，密封严密。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1，使用文洛式铝合金屋面技术，其主要特点是屋面为单层玻璃分隔，屋面无需钢制檩条，为了增加保温型和透光率，屋面型材多采用特制的空腔结构。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为了能够最大化采光并排水，小屋顶坡度设计为21.6°，这个坡度能够带来最佳的光线照射充分利用自然光照以减少能耗，并且能够保证及时排走屋面的积雪和雨水和并保证屋面玻璃的冷凝水能够顺着玻璃收集的天沟里。</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由于玻璃直接插到铝合金玻璃桁条内，玻璃和铝合金玻璃桁条之间要留有一定的安装间隙，但是间隙会带影响保温性和密封性。建筑结构上一般会在玻璃上打密封胶来解决。但是打胶成本高且治标不治本。本项目屋面桁条使用专利技术的柔性设计PVC卡条代替打胶。在玻璃条的安装槽内穿了一个特制的PVC卡条，此PVC卡条使安装槽口带有一定的柔性，密封和隔热性更好，可行对玻璃形成多点密封，而且便于玻璃的安装。</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4，屋面中央区域玻璃分隔为1.125m，屋面靠近周墙范围内为和四个角落部分存在风荷载叠加，该区域的玻璃分隔为0.562m。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8162</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铝合金交错开窗，开窗尺寸为3.375mx1.2m，包含开窗上下框、边框、角码中庭等铝合金配件。开窗系统中还包含开窗下檩条、防虫网护板、防虫网卡槽、4mm钢化玻璃等组件。6063 T5材质。</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1，本项目温室开间是 4.5m，每个开间玻璃分隔由4块 1.125m宽的玻璃组成。玻璃越大透光性越好，因为支撑材料造成的阴影就越少。因此本项目温室开窗选用由3块1.125m玻璃组成的顶开窗，保证玻璃不会因荷载过大而变形破碎。</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2，可实现沿屋脊开启角度43°，所有开窗的侧边框、下边框都带有用于安装防虫网槽口并设计有收拢折叠式防虫网的空间。</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776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99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每一扇天窗都带有折叠式防虫网，本系统是一种完全封闭的防止昆虫进出的系统。</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此系统可以直接安装到顶开窗窗框上，并可以保证顶窗户关闭时，结构遮挡最小。</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此系统由可折叠的网子组成，形状稳定，防虫网边缘配有橡胶条，可以轻松扣到顶开窗的窗框上。</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防虫网配有特制拐角缝纫方式。这样可以减少顶开窗屋脊开防虫网的摩擦。避免了由于安装防虫网带来玻璃破损或开窗闭合不严的问题，同时可以带来更好的通风效果。</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防虫网参数：抗UV的材料，网子拉线由聚酯纤维制成，1150 klangley UV的稳定材料。</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防虫网从22折逐渐递减到屋脊处的2层。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防虫网宽度约70mm，防虫网孔径采用0.4x0.7mm。包含折叠式防虫网、防虫网钩子、网子绑绳等。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776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16mm墙面系统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16mm墙面系统主要由铝合金墙面玻璃桁条、铝合金玻璃槽、铝合金末端边条、16mm中空钢化玻璃组成。外墙采用5+6A+5mm中空钢化玻璃，兼具透光和保温性能，密封全部采用抗老化、抗UV PVC共挤扣条，密封严密，桁条型材6063T5材质，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2563.15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4mm墙面系统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4mm墙面系统主要由铝合金墙面玻璃桁条、铝合金玻璃槽、铝合金末端边条、4mm钢化玻璃组成。隔断墙采用4mm单层钢化玻璃，玻璃透光率≥89%，桁条型材6063T5材质，密封全部采用抗老化、抗UV PVC共挤扣条，密封严密。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2151.2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40mm屋面系统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屋面采用保温板屋面系统，该系统主要由40mm聚氨酯保温板、保温板上扣型材、下压型材、胶条组成。保温板脊部安装有三角支撑型材。3区屋顶局部设置采光窗带，由铝合金型材和4mm钢化玻璃组成。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2916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40mm墙面系统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40mm墙面系统主要由40mm聚氨酯保温板、通风窗、保温板密封件等组成。40 mm厚聚氨酯保温板容重约40Kg/m³，外板:钢板，表面平滑，0.6 mm厚，白银灰，内板:钢板，表面平滑，0.5 mm厚，白色，随保温板配套设计有密封件，用于密封保温板末端。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892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温室壳体门、窗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电动分节提升门材质为聚氨酯夹芯板，防火等级B1级，保温等级B1，设观察窗，门洞尺寸为3000mmx3000mm。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铝合金电动单侧推拉门门板采用双层铝合金扣板，视窗采用双层亚克力板，门扇和门板及地面全部用三元乙丙橡胶胶条及PVC胶条密封，隔热防风，门洞尺寸为1800mmx2400mm。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自动感应门，钢化玻璃，边框铝合金材质。门扇和门板及地面全部用三元乙丙橡胶胶条及PVC胶条密封，隔热防风，门洞尺寸为4900mmx2400mm。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手动铝合金全玻对开门，采用双层中空钢化玻璃，三元乙丙橡胶胶条及PVC胶条密封，隔热防风，门洞尺寸为2000x2400。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手动铝合金对开门采用双层中空钢化玻璃，三元乙丙橡胶胶条及PVC胶条密封，隔热防风，门洞尺寸为1500x2400。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手动铝合金对开门采用双层中空钢化玻璃，三元乙丙橡胶胶条及PVC胶条密封，隔热防风，门洞尺寸为1500x2100。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采用铝合金双层中空钢化玻璃窗，三元乙丙橡胶胶条及PVC胶条密封，隔热防风，门洞尺寸为800x900。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采用铝合金双层中空钢化玻璃窗，三元乙丙橡胶胶条及PVC胶条密封，隔热防风，门洞尺寸为900x1800。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采用铝合金双层中空钢化玻璃窗，三元乙丙橡胶胶条及PVC胶条密封，隔热防风，门洞尺寸为1800x1800。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13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开窗驱动系统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种植气候分区采用桁架轨道式交错开窗通风系统，以电机带动齿轮盒和齿条，使推杆受力，再驱动开窗支杆来实现窗户的开合，这</w:t>
            </w:r>
            <w:r>
              <w:rPr>
                <w:rFonts w:hint="eastAsia" w:ascii="微软雅黑" w:hAnsi="微软雅黑" w:eastAsia="微软雅黑" w:cs="微软雅黑"/>
                <w:color w:val="auto"/>
                <w:sz w:val="18"/>
                <w:szCs w:val="18"/>
                <w:highlight w:val="none"/>
                <w:lang w:bidi="ar"/>
              </w:rPr>
              <w:t xml:space="preserve">种开窗方式是一种非直接方式。推杆在桁架上弦管的轨道支架上滑动，每排桁架只推动开窗朝一个方向开启，与之相邻的另一排桁架则推动开窗朝另外一个方向开启，从而实现交错开窗的效果。开窗电机，齿轮盒，推杆都是安装在桁架管上的，此种设计最大化的减少温室内部阴影面积，充分利用自然光照。系统包括：开窗驱动电机及交错/双侧连续齿轮盒齿条，还包含驱动轴、推杆、单层/双层通风托架、铝合金开窗支杆、φ32热镀锌推杆、铝合金开窗支杆连接卡及组装卡等；湿帘走廊气候分区与连廊气候控制区采用桁架轨道式双侧连续通风系统，保证湿帘走廊的进风量。</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2区和5区为4个控制区，8台通风专用电机。扭矩：400N.m,转速：3.0r/min，功率：0.37kw。</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1，不同方向的开窗是独自电机驱动，可以分别进行控制。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2，推拉杆行程满足最大开启角度43°的要求。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3，根据分区配置角度信号反馈器，物联网可以随时根据天气条件调整开启角度。</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13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种植气候分区采用桁架轨道式交错开窗通风系统，以电机带动齿轮盒和齿条，使推杆受力，再驱动开窗支杆来实现窗户的开合，这</w:t>
            </w:r>
            <w:r>
              <w:rPr>
                <w:rFonts w:hint="eastAsia" w:ascii="微软雅黑" w:hAnsi="微软雅黑" w:eastAsia="微软雅黑" w:cs="微软雅黑"/>
                <w:color w:val="auto"/>
                <w:sz w:val="18"/>
                <w:szCs w:val="18"/>
                <w:highlight w:val="none"/>
                <w:lang w:bidi="ar"/>
              </w:rPr>
              <w:t xml:space="preserve">种开窗方式是一种非直接方式。推杆在桁架上弦管的轨道支架上滑动，每排桁架只推动开窗朝一个方向开启，与之相邻的另一排桁架则推动开窗朝另外一个方向开启，从而实现交错开窗的效果。开窗电机，齿轮盒，推杆都是安装在桁架管上的，此种设计最大化的减少温室内部阴影面积，充分利用自然光照。系统包括：开窗驱动电机及交错/双侧连续齿轮盒齿条，还包含驱动轴、推杆、单层/双层通风托架、铝合金开窗支杆、φ32热镀锌推杆、铝合金开窗支杆连接卡及组装卡等；湿帘走廊气候分区与连廊气候控制区采用桁架轨道式双侧连续通风系统，保证湿帘走廊的进风量。</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1区分为1个控制区，2台通风专用电机。扭矩：240N.m,转速：3.0r/min，功率：0.25kw。</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1，不同方向的开窗是独自电机驱动，可以分别进行控制。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2，推拉杆行程满足最大开启角度43°的要求。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3，根据分区配置角度信号反馈器，物联网可以随时根据天气条件调整开启角度。</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456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种植气候分区采用桁架轨道式交错开窗通风系统，以电机带动齿轮盒和齿条，使推杆受力，再驱动开窗支杆来实现窗户的开合，这</w:t>
            </w:r>
            <w:r>
              <w:rPr>
                <w:rFonts w:hint="eastAsia" w:ascii="微软雅黑" w:hAnsi="微软雅黑" w:eastAsia="微软雅黑" w:cs="微软雅黑"/>
                <w:color w:val="auto"/>
                <w:sz w:val="18"/>
                <w:szCs w:val="18"/>
                <w:highlight w:val="none"/>
                <w:lang w:bidi="ar"/>
              </w:rPr>
              <w:t xml:space="preserve">种开窗方式是一种非直接方式。推杆在桁架上弦管的轨道支架上滑动，每排桁架只推动开窗朝一个方向开启，与之相邻的另一排桁架则推动开窗朝另外一个方向开启，从而实现交错开窗的效果。开窗电机，齿轮盒，推杆都是安装在桁架管上的，此种设计最大化的减少温室内部阴影面积，充分利用自然光照。系统包括：开窗驱动电机及交错/双侧连续齿轮盒齿条，还包含驱动轴、推杆、单层/双层通风托架、铝合金开窗支杆、φ32热镀锌推杆、铝合金开窗支杆连接卡及组装卡等；湿帘走廊气候分区与连廊气候控制区采用桁架轨道式双侧连续通风系统，保证湿帘走廊的进风量。</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5区中湿帘走廊区共分为3个控制区，6台通风专用电机。扭矩：240N.m,转速：3.0r/min，功率：0.25kw。</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区别于普通温室技术特点汇总：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1，不同方向的开窗是独自电机驱动，可以分别进行控制。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2，推拉杆行程满足最大开启角度43°的要求。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内网驱动系统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内网系统采用优质内网专用驱动电机及链齿轮配件，铝合金驱动则采用独特设计的滑索系统，可使遮阳网系统收拢在15cm以内，可以大大减少温室内阴影面积。</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2和5区共为4个控制区，8台拉幕专用电机，扭矩：800N.m,转速：2.6r/min，功率：0.75kw。包含驱动轴、紧线套筒、钢丝绳、延时驱动卡、铝合金驱动边、托压幕线等。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内网系统采用优质内网专用驱动电机及链齿轮配件，铝合金驱动则采用独特设计的滑索系统，可使遮阳网系统收拢在15cm以内，可以大大减少温室内阴影面积。</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1区共为1控制区，2台拉幕专用电机，扭矩：400N.m，转速：2.6r/min，功率：0.37kw。包含驱动轴、紧线套筒、钢丝绳、延时驱动卡、铝合金驱动边、托压幕线等。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内网系统采用优质内网专用驱动电机及链齿轮配件，铝合金驱动则采用独特设计的滑索系统，可使遮阳网系统收拢在15cm以内，可以大大减少温室内阴影面积。</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6区湿帘走廊共为2控制区，2台拉幕专用电机，扭矩：400N.m，转速：2.6r/min，功率：0.37kw。包含驱动轴、紧线套筒、钢丝绳、延时驱动卡、铝合金驱动边、托压幕线等。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内网幕布系统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区采用双层网系统，湿帘通道采用单层网系统。为了加强系统密封，内网系统还设计使用封边网，封边网悬挂在装有钢丝绳的PVC管上，封边网与立柱交叉安装，采用倒T型两道网独有设计，当内网展开时，封边网、侧卷网和内遮阳形成一个密闭的整体。</w:t>
            </w:r>
            <w:r>
              <w:rPr>
                <w:rFonts w:hint="eastAsia" w:ascii="微软雅黑" w:hAnsi="微软雅黑" w:eastAsia="微软雅黑" w:cs="微软雅黑"/>
                <w:color w:val="auto"/>
                <w:sz w:val="18"/>
                <w:szCs w:val="18"/>
                <w:highlight w:val="none"/>
                <w:lang w:bidi="ar"/>
              </w:rPr>
            </w:r>
            <w:r>
              <w:rPr>
                <w:color w:val="auto"/>
                <w:highlight w:val="none"/>
              </w:rPr>
            </w:r>
          </w:p>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面积为轴线面积。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14472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侧卷网系统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侧卷网系统主要安装在湿帘墙的内侧种植区内，采用管式电机的卷轴式保温卷帘，主要包含管式电机、铝合金爬升轨道、铝合金管轴、爬升器、侧卷网、檩条网卡子等组成，管式电机及配件，卷轴管采用6063T5型材，长度约296米。</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外网驱动系统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驱动系统则采用温室专用齿轮、齿条驱动机构，5、6区共计分为3个控制分区，总共由3台拉幕专用电机及配套的驱动轴、轴承座、齿轮、齿条、推杆、支撑滚轮等组成。外接的电控箱控制遮阳网的展开与收拢，通过行程限位开关实现自动开闭，也可手动开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驱动系统则采用温室专用齿轮、齿条驱动机构，1和2区共计分为2个控制分区，总共由2台拉幕专用电机及配套的驱动轴、轴承座、齿轮、齿条、推杆、支撑滚轮等组成。外接的电控箱控制遮阳网的展开与收拢，通过行程限位开关实现自动开闭，也可手动开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外网驱动系统结构件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外网系统专有的纵横结构设计；钢材材质Q235B,加工后整体热镀锌、钝化处理，锌层厚度均不低于国标，满足国标标准《GB/T 13912-2020》的要求。所有结构紧固件均采用国标8.8级高强螺栓，紧固件表面做达克罗处理，达克罗要满足三涂三烘的工艺要求，且满足人造气氛腐蚀试验《GB/T 10125-2021》的要求。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14472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外网幕布系统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幕布的开孔结构有效反射日光和降低室内温度，因而降低植物温度。</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14472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湿帘墙</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墙规格：约1500mm高X150mm厚。湿帘上下水材料，湿帘采用新材料与空间交联技术，高吸水、高耐水、抗霉变、耐腐蚀、使用寿命长，蒸发比表面大，降温效率高，含表面活性剂，自然吸水，扩散速度快，效能持久，不含使人过敏的物质，绿色、环保、安全、节能、实用；湿帘约：296延米，包含湿帘托架、湿帘堵头、水循环系统套件、湿帘上下框、湿帘纸芯、疏水帘、连接板、弯头、三通、紧固螺栓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296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湿帘墙上下水</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循环水泵流量25-40m³/h，扬程：12-15m，每套上下水管路负责48-64米湿帘，包含水泵出水阀门、单向阀、水池低液位保护开关、自动补水开关、水泵至湿帘的上水管路、手动阀/过滤器等，包含安装及调试。不含地埋管道。</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28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3.1.30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负压风机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风机参数：风量：38000m3/h（0Pa的情况下），1.1KW；外框采用优质镀锌板，外框厚度1+0.9mm,锌层275g、锌层均匀有质感，有扣手，强度好，抗腐性强，不变形；六片不锈钢430扇叶采用受力学曲面设计，不锈钢厚度1.2mm，美观耐用，通过动静平衡测试，风量大，噪音低，不变形，不断裂；皮带轮：5mm厚钢板+高强度铝镁合金，重量轻，强度高；采用先进的自动带涨紧器保证工作效率和良好的性能。风机数量：71套，包含风机护罩紧固螺栓等；包含风机吊挂件、电缆、分线盒等辅材，以及安装和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3.1.31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内循环风机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循环风机：220Vac，50Hz，风量约为5000m³/h（静压0Pa时），包含风机吊挂件、电缆、分线盒等辅材，以及安装和调试。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3.1.32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内循环风机安装辅材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包含风机吊挂件、电缆、分线盒等。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灌溉给排水系统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包含果菜植灌溉管路、首部及分支管线，供液管路、回液管路、清水/RO水管路、控制阀门组、屋面排水系统等。（不含地埋管道）</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9108</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灌溉施肥机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流量：20m³/h。</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出口压力3bar，进水口双蝶阀1套，2套EC传感器，2套PH传感器，4个吸肥通道（带可视流量计），1个酸碱通道，施肥机包含1套系统泵，电磁流量计1套，吸肥通道带电磁阀，施肥机自带控制箱，控制施肥机水泵/阀门，施肥机根据回液消毒后水罐/RO水管液自动调整进水比例，设备安装在施肥机框架上，果菜施肥机可以配2个配方肥料溶液，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灌溉施肥机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流量：40m³/h。</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出口压力3bar，进水口双蝶阀1套，2套EC传感器，2套PH传感器，2个吸肥通道（带可视流量计），1个酸碱通道，施肥机包含1套系统泵，电磁流量计1套，吸肥通道带电磁阀，施肥机自带控制箱，控制施肥机水泵/阀门，施肥机根据回液消毒后水罐/RO水管液自动调整进水比例，设备安装在施肥机框架上，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波纹水罐1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水罐容积98.1m³。</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直径6.4m，高度3.05m，水罐外壁材质：镀锌波纹板，水罐内部为防水膜，镀锌板和防水膜间为防水衬布，上盖为PVC遮黑布，含进出水预制件等，包含安装及调试。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波纹水罐2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水罐容积50m³。</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直径4.57m，高度3.05m，水罐外壁材质：镀锌波纹板，水罐内部为防水膜，镀锌板和防水膜间为防水衬布，上盖为PVC遮黑布，含进出水预制件等，包含安装及调试。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RO制水设备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机产水速度：5m³/h，包含原水泵、清洗泵、高压泵、多介质过滤器、反渗透膜、阻垢剂加注系统、主机电气控制系统、连接主机系统的电动阀、管路管件等，可以监测原水罐及纯水罐液位进行工作，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灌溉泵组1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两台水泵，供水泵1：40m³/h，扬程20m，电源380Vac，50Hz；供水泵2：20m³/h，扬程20m，电源380Vac，50Hz；包含隔膜缓冲罐、电气控制元器件及水泵进出口阀门，包含安装及调试。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恒压供水泵组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恒压变频供水泵10m³/h，扬程23m，电源380Vac，50Hz，包含变频器、隔膜缓冲罐、压力控制开关、电气控制元器件及泵组进出口阀门，包含安装及调试。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果菜回水过滤装置</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水力筛材质不锈钢，筛网0.5mm，过滤能力：20-30m³/h，包含不锈钢固定支架、上下水管路、排污管路等，包含安装及调试。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叶菜回水过滤装置</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水力筛材质不锈钢，筛网0.5mm，过滤能力：40-60m³/h，包含不锈钢固定支架、上下水管路、排污管路等，包含安装及调试。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回液消毒机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回液消毒流量：1-10m³/h，紫外线剂量up to 250 mJ/cm²，消毒灯管数量4个，包含自动反冲洗过滤器、注酸泵、系统泵、预混阀门，自带机组控制箱等，可以监测未消毒水罐及已消毒水罐液位。包含安装及调试。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潜水泵</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回液池潜水泵25m³/h，扬程12m，电源380Vac，50Hz，包含液位开关、电气控制元器件及水泵进出口阀门，包含安装及调试。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原液箱1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每个肥料箱分格容积约500L，肥料箱的尺寸和容积根据实际情况定制加工，材质PP,每个分格带1台搅拌电机，翻盖式加肥口，原液箱加水阀门/管路、吸肥阀门管路等，包含安装及调试。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原液箱2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每个肥料箱分格容积约50L，肥料箱的尺寸和容积根据实际情况定制加工，原液箱加水阀门/管路、吸肥阀门管路等，包含安装及调试。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灌溉阀门1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1.5寸，电磁阀和温室环控系统配套使用，电磁阀带有手动调压/开启功能，每套阀门组包含电磁阀、手动阀、活接头、管道、管件等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灌溉阀门2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2.5寸，电磁阀和温室环控系统配套使用，电磁阀带有手动调压/开启功能，每套阀门组包含电磁阀、手动阀、活接头、管道、管件等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灌溉阀门3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3寸，电磁阀和温室环控系统配套使用，电磁阀带有手动调压/开启功能，每套阀门组包含电磁阀、手动阀、活接头、管道、管件等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灌溉阀门4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4寸，电磁阀和温室环控系统配套使用，电磁阀带有手动调压/开启功能，每套阀门组包含电磁阀、手动阀、活接头、管道、管件等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给排水管道</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1.名称:PVC给排水管（地上部分）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2.材质、规格:PVC 灰色给水管及PVC排水管其配件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3.连接形式:黏结</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4.压力试验及吹、洗设计要求:水压试验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PVC球阀</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PVC球阀De20 灰色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PVC球阀De32 灰色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PVC球阀De63 灰色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PVC球阀De90灰色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PVC球阀De110灰色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3.2.20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雨水收集管道</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1.名称:PVC排水管（地上部分）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2.材质、规格:PVC、De110 及其配件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3.连接形式:黏结</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4.压力试验及吹、洗设计要求:水冲洗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悬挂栽培系统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悬挂栽培系统，主要由悬挂式种植槽、种植槽悬吊件、滴箭系统、吊秧系统等组成；悬挂栽培系统结合吊秧系统高效利用垂直空间，作物在栽培槽顶部生长，有效解决根系排水问题，降低排水不畅导致的病害。</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9108</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种植槽规格270*110mm，0.7mm厚度镀锌特殊高耐候白色涂层板。</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配件包括：末端排水件，堵头，作物生长转换（排水端+堵头端），落蔓板、配套双侧作物生长支撑（热镀锌双侧钩）、PVC及PE管件、配套山墙端部支撑件及灌溉支撑塑料钩等。</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使用桁架悬吊件（配套三角挂钩）将种植槽吊挂在桁架下弦管上，配套的热镀锌钢丝绳上带有丝杠调节，可以调整前端至末端的排水坡度。</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5289.6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吊秧系统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包括Ø 3.15mm作物拉线，上锌量200g以上，定制作物拉线钩。</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热镀锌钢丝φ3mm，高强度镀锌钢丝，每套配吊绳15m，可承重20kg。</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每套包含卡头、花篮螺栓、鸡心环等安装辅材。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主要安装工作：放线定位，吊秧钩及配件安装，需要高空作业安全措施。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白色地布</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PP（聚丙烯），渗水量：10L/㎡/s，重量：100g/㎡（±5%公差），使用宽幅：4.15m；配套固定用地布钉。主要安装工作：铺设前平整度检查，放线定位，地布铺设，地布钉安装。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8972.3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滴箭系统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滴箭系统滴灌末端系统主要包括滴灌管、毛管及滴箭头，用于果菜种植区灌溉。</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每行间距：约1.6m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PE管  ：Φ20mm，沿作物栽培槽的方向布置</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快接球阀以上部分为滴箭系统设计范围。</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5359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智能环控系统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包含环境控制软件一套，以及配套的控制器，传感器，自控柜，气象站等。可用于管理和控制各个气候分区的温湿度。（不含进线主电缆）</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17448.75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自控柜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网关控制器，电源模块，输入/输出模块等，自控柜是一个模块化构建的系统，专为温室种植区气候自动控制而设计，可用于管理和保护气候模块。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控制软件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共分为6个气候区，控制种植区内的开窗、幕网、风机、水泵、混合阀、灌溉阀等环控设备，并将各个气候区内传感器数据接入系统。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气象站</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室外气象站1套，气象参数包含：风速、风向、雨/雪、温度、湿度，气象站自带传感器</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固定支架，根据传感器外形尺寸定制。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温湿度一体式传感器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测量范围：-20～50℃，温度分辨率0.1℃，精确度0.5℃；测量范围0-100%，湿度分辨率0.1%，绝对误差±5%；输出型号：4-20MA</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二氧化碳浓度传感器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量程：0ppm-5000ppm，精度：± (40 ppm +3%F•S)(22℃)，输出型号：4-20MA</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水温传感器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温度测量范围大于0-95℃，PT-100,1/2＂外螺纹，信号类型4-20mA.插入深度：不低于50mm，传感器探测杆材质为不锈钢。</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液位传感器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液位传感器测量范围0-7m，信号类型4-20mA，自带7米防水电缆，用于测量灌溉水罐中溶液的液位高低。</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光照传感器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0～20万lux光谱范围：400～700（nm）可见光误差：±5%，输出信号： 0～10V、0～20mA 、4～20mA</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工作站</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电脑，显示器，数据备份系统等，工作站确保过程计算机在温室中保持其高级性能，更好</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将过程曲线呈现给种植管理者。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环控柜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主要控制种植区内的开窗电机、内网电机、外网电机、风机、湿帘水泵等供电，包含断路器、马达保护开关、接触器、继电器、旋钮、浪涌等电气元器件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动力柜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温室动力柜，为温室环控柜、冷库设备、水肥设备提供电力。</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电气安装材料</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主要包含从配电柜至设备的分支电缆、控制电缆、电缆线槽、灯具、插座、线管、防水分线盒及其它安装辅材。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温室暖通系统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包含风冷热泵机组以及供暖首部泵房安装调试；种植区散热器加温系统；办公室、附属用房、人工光育苗植物工厂空调系统，设备区、仓储区通风系统等（不含地埋管道）</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17448.75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暖泵循环泵组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热水循环泵1台，扬程15-20m；三通混合阀1套，混合阀体，电动执行器；热水循环泵/三通混合阀，可以根据环控系统的需求调整热水温度。手动蝶阀4套；指针温度表2块，自动放气阀，耐震压力表1块，法兰盘13套，焊接变径、螺栓、垫片等安装辅材。此项不包含设备的控制电缆及控制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种植区及设备区供暖部分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供暖干管采用焊接钢管，平均φ108*4mm，连接形式为焊接，采用定制吊环将干管供回水管路吊挂在侧立柱上。所有焊接钢管及焊口处均刷漆防腐处理，底漆一遍面漆两遍，面漆为白色，采暖系统安装完毕，水压试验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1400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供暖管采用焊接钢管，φ57*2.5mm，连接形式为焊接，采用定制吊环、钢丝绳等辅助安装材料吊装于温室顶部或者作物间。每个回路设置放气阀，所有焊接钢管及焊口处均刷漆防腐处理，底漆一遍面漆两遍，面漆为白色，采暖系统安装完毕，水压试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3530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五区底部供暖管采用焊接钢管，φ51*2.5mm，连接形式为焊接，采用定制支架将底部供暖管安装在种植区底部，底部管道同时作为轨道采摘从行走的轨道，每个回路1个轨道采摘车末端限位装置/手动放气阀。所有焊接钢管及焊口处均刷漆防腐处理，底漆一遍面漆两遍，面漆为白色，采暖系统安装完毕，水压试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11617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顶部供暖管采用焊接钢管，φ32*2.5mm，连接形式为焊接，采用定制吊环、钢丝绳等辅助安装材料吊装于温室顶部。每个回路设置放气阀，所有焊接钢管及焊口处均刷漆防腐处理，底漆一遍面漆两遍，面漆为白色，采暖系统安装完毕，水压试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11545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一区顶部加温室内机采用四出风室内机,包含地面以上与风机盘管相连的安装管材、阀门等附件及安装调试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供暖首部机房加空气源热泵机组部分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空气源热泵模块室外机：制冷量130KW制热量136KW制冷功率41.7KW制热功率42.5KW</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循环水泵3台，全自动软化水装置一套，定压补水泵组一套，分集水器两套，补水箱一套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泵房内配电柜3台、电缆、桥架、安装辅材等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空气源热泵室外机组至泵房间管道、阀门，泵房内管道、阀门等安装辅材，管道保温，支吊架安装等辅材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泵房内安装调试费用：包含暖通，强电弱电安装费用；泵房内泵组与空气源热泵机组自动化控制系统调试服务费用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人工光育苗植物工厂空调系统及附属用房等空调系统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人工光育苗植物工厂多联机包括多联机室外机、室内机、冷媒管、冷凝管道，配套阀门附件，管道保温、安装调试等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营养科学实验室，智慧种植实验室多联机系统包括室外机、室内机、冷媒管、冷凝管、配套阀门附件，管道保温、安装调试等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办公室、管理用房、会议室、实验室、弱电机房等分体式空调、柜机及安装附件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人工光育苗植物工厂调湿机组,9kg/h加湿量，除湿量7.5kg/h;220V</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non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人工光育苗植物工厂新风系统，包含新风换气机，风管，散流器，阀门，保温等安装调试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设备区通风换气系统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设备区、仓储区通风换气系统采用轴流风机；包含和设备相连的风道、风阀、百叶风口和支吊架以等安装辅材，包括设备的安装、调试等。此项不包含设备的控制电缆及控制系统。卫生间通风换气采用吊顶式换气系统或壁式排气扇换气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植护采收设备</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包含入口消毒机、采收设备</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17448.75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入口消毒设备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入口消毒机-用于对进入温室人员双手和鞋底的消毒，门禁消毒机外体采用304不锈钢材质。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植护采收设备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手动轨道采摘车作为温室生产最受欢迎的采摘车，结构坚固、灵活性高、承载能力强、适用于所有作物。带4x尼龙法兰滚轮，带4x旋转轮，可以在硬化地面和轨道上自由切换和行走。</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尺寸：约2426mmx600mm。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管轨样式：外凸法兰。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植护采收设备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电动轨道升降作业车，适用于在中心距550mm的轨道自动前进，后退，且行进速度可调。带倾斜保护，低电量</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报警，平台最大提升高度约3.5m，电压：DC24V。采摘车可以在轨道和硬化路面上进行切换，可以以合适的高度对作物进行采收和维护，根据人体工程学设计，更适用于温室生产。</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植护采收设备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电动轨道升降作业车，适用于在中心距550mm的轨道自动前进，后退，且行进速度可调。带倾斜保护，低电量</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报警，最大作业高度约6.5m，电压：DC24V。采摘车可以在轨道和硬化路面上进行切换，可以以合适的高度对作物进行采收和维护，根据人体工程学设计，更适用于温室生产。</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智能温室基础</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温室土方、基础、地面、矮墙、地下构筑物、防雷接地</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17448.75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温室基础及地面做法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包含温室土方、基础、地面硬化、矮墙、地下水池、风机走廊排水沟和地面做法、防雷接地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17448.75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智能温室预埋</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给排水、电缆、暖通预埋</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17448.75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给排水预埋</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湿帘、灌溉给排水、雨水埋地管线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智能环控系统温室主电缆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设备配电柜至空调机组及温室内地埋主电缆。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智能环控系统温室进线主电缆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从室外配电房至温室配电柜进线电缆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暖通预埋</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地埋供暖主管为预制保温焊接钢管，平均φ219*6mm，管道为无缝钢管，公称压力1.0Mpa,连接形式为焊接，管道采用预制聚氨酯保温，保护层采用高密度聚乙烯黑色硬质塑料，保温厚度50mm，预制地埋保温管焊接口防腐处理要“三油两布”处理，然后外部在保温处理，管道安装完毕后进行打压试水。此部分包括预制弯头，三通，等辅材费用和开槽，回填等施工费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水产种业提升及研发设备</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高密度养殖设备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供氧系统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备用电源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ffffff" w:fill="b8cce4"/>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二</w:t>
            </w:r>
            <w:r>
              <w:rPr>
                <w:rFonts w:hint="eastAsia" w:ascii="微软雅黑" w:hAnsi="微软雅黑" w:eastAsia="微软雅黑" w:cs="微软雅黑"/>
                <w:b/>
                <w:bCs/>
                <w:color w:val="auto"/>
                <w:sz w:val="18"/>
                <w:szCs w:val="18"/>
                <w:highlight w:val="none"/>
              </w:rPr>
            </w:r>
            <w:r>
              <w:rPr>
                <w:color w:val="auto"/>
                <w:highlight w:val="none"/>
              </w:rPr>
            </w:r>
          </w:p>
        </w:tc>
        <w:tc>
          <w:tcPr>
            <w:shd w:val="clear" w:color="ffffff" w:fill="b8cce4"/>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绿色循环生态农业示范项目</w:t>
            </w: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鱼菜共生种植设施</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DFT水培叶菜种植系统，叶菜自动化系统，人工光育苗植物工厂</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1944</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叶菜漂浮培系统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采用DFT漂浮培种植系统，设计采用EPP漂浮板，种植杯与漂浮板的结合，可实现叶菜的自动化采收等过程。包含定植机器人，采收机器人，漂浮板传输线，清洗机，切根机等。</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2592</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水槽由防水膜，保护膜以及钢结构件外框组成。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水槽结构，镀锌钢构件，相互连接组成水槽。水槽高度300mm，包括在地面上固定的支架。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防水膜，0.6mm FPP膜，黑色，包括回水法兰。</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保护膜，0.6mm，白色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漂浮板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采用EPP聚丙烯泡沫材质，具有轻质、强度高韧性好、可降解回收、无毒无味、绿色环保。预制有种植孔，可以依据不同的叶菜品种，选择不同的种植密度。</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2548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配套EPP漂浮板使用，64*65mm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100000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育苗穴盘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28孔育苗定制穴盘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800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控制系统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系统根据本项目的需求定制开发，系统具有很好的可靠，稳定性和操作的便捷性。包括配电柜、主控PLC、以太网通讯模块、触摸屏、断路器及控制器、信号输送站及网线、主控程序设置等。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漂浮板输送线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根据本项目功能需求和场地特点定制开发，包含直角转弯输送机、直行输送机、人工采收传输线、机械、光电定位系统、拖链光缆等</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直角转弯输送线：2台，长度3.6米</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直行输送线总长：112米</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直行传输线：28台 , 长度3.2米</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人工采收传输线: 2台 ，长度5.2米</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定植桁架机器人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根据项目功能需求和场地特点定制开发，配置桁架机械手，将幼苗漂浮板从漂浮板输送线放入水槽。包括桁架机械手组、桁架机架、道轨装置、定位系统（含光电、机械定位）、控制系统等。</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定植能力：大于50板/小时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机械手载荷：大于15kg</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移动速度：0.5m/s，定位精度：±5mm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机械手推送行程：大于300mm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采收桁架机器人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根据项目功能需求和场地特点定制开发，配置桁架机械手，将成菜漂浮板从水槽中抓取到漂浮板输送线上。包括桁架机械手组、桁架机架、道轨装置、定位系统（含光电、机械定位）、控制系统等</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采收能力：大于50板/小时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机械手载荷：大于30kg</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移动速度：0.5m/s，定位精度：±5mm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机械手推送行程：大于300mm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切根机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根据项目功能需求和场地特点定制开发，切除蔬菜的根系，使产品加工更加容易。随后将根系收集在容器中。</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切根效率：大于36板/小时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漂浮板清洗机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根据项目功能需求和场地特点定制开发，模块化组件和标准的设计，清洗设备完全是由耐腐蚀的不锈钢制成，设计结构为开放式隧道式清洗。</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清洗效率：大于36板/小时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采收工作台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用于叶菜的采收包装作业</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安全围栏</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根据项目功能需求和场地特点，给转角传输线，切根机设备外围安全防护</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人工光育苗植物工厂</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包含壳体及种植设施,4区管理用房壳体</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276.8</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50型、岩棉彩钢复合洁净立板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板与板连接方式：中置铝；面板基材：内外板均为白色，厚0.5mm钢板；芯材：岩棉，容重80-120kg/m³；厚度：普通洁净板50mm；墙体系统：包含转角、收边、天轨、地轨、密封胶等附材。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防火A级；</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400.2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493"/>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50型、单玻镁岩棉彩钢复合洁净顶板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板与板连接方式：中置铝；面板基材：内外板均为白色，厚0.5mm钢板；芯材：单玻镁岩棉，容重80-120kg/m³；厚度：普通洁净板50mm；吊顶系统：顶部中字型龙骨暗架吊顶；龙骨跨度＜3000mm，龙骨上吊点间距＜1200mm，顶板开洞较大时应做补强处理；应配合其他设备（风口、灯、及空调等）的安装。防火A级。</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276.8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净化钢质双开门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净化钢质双开门（1500mmX2100mm）；模块化钢</w:t>
            </w:r>
            <w:r>
              <w:rPr>
                <w:rFonts w:hint="eastAsia" w:ascii="微软雅黑" w:hAnsi="微软雅黑" w:eastAsia="微软雅黑" w:cs="微软雅黑"/>
                <w:color w:val="auto"/>
                <w:sz w:val="18"/>
                <w:szCs w:val="18"/>
                <w:highlight w:val="none"/>
                <w:lang w:bidi="ar"/>
              </w:rPr>
              <w:t xml:space="preserve">制密闭门，采用连体制作方式，表面静电喷涂处理，完成面无接缝、焊点、死角，平整光滑、无积尘，易清洁，三边采用橡胶密封，门扇底部加装自动升降下压式气密条，门的开关不与地面摩擦，确保不损伤地面，且保证良好的气密性。满足洁净气密门对泄漏量的要求。材质说明：采用钢板，门框1.5mm，门扇0.8mm，门扇50mm厚度。门扇芯材：岩棉样式：手动双开门表面处理：静电喷涂白色，与墙面板材颜色一致五金配件：配置门锁及把手闭门器：明装式，设置在室内气密性能：正压符合GB/T7106-2019，负压符合GB/T7106-2019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净化钢质单开门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净化钢质单开门（1000mmX2100mm）；模块化钢</w:t>
            </w:r>
            <w:r>
              <w:rPr>
                <w:rFonts w:hint="eastAsia" w:ascii="微软雅黑" w:hAnsi="微软雅黑" w:eastAsia="微软雅黑" w:cs="微软雅黑"/>
                <w:color w:val="auto"/>
                <w:sz w:val="18"/>
                <w:szCs w:val="18"/>
                <w:highlight w:val="none"/>
                <w:lang w:bidi="ar"/>
              </w:rPr>
              <w:t xml:space="preserve">制密闭门，采用连体制作方式，表面静电喷涂处理，完成面无接缝、焊点、死角，平整光滑、无积尘，易清洁，三边采用橡胶密封，门扇底部加装自动升降下压式气密条，门的开关不与地面摩擦，确保不损伤地面，且保证良好的气密性。满足洁净气密门对泄漏量的要求。材质说明：采用钢板，门框1.5mm，门扇0.8mm，门扇50mm厚度。门扇芯材：岩棉样式：手动单开门表面处理：静电喷涂白色，与墙面板材颜色一致五金配件：配置门锁及把手闭门器：明装式，设置在室内气密性能：正压符合GB/T7106-2019，负压符合GB/T7106-2019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模块化洁净视窗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模块化洁净视窗，宽度1000x2100mm；视窗为中空双玻结构，与墙面50mm厚匹配，具有良好气密、隔音、保温隔热防结露等性能。材质说明：采用铝合金窗框，以粘性优异的双面胶合类型玻璃，内置隐藏式干燥剂；玻璃厚度：5mm窗边样式：丝印白边保温性能：确保良好的保温隔热性能气密性能：符合GB/T7106-2019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多层育苗栽培架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栽培架材质：碳钢，表面白色喷涂，栽培架尺寸约：1.35m×9.45m×2.5m，种植层高约0.5m。装配式结构，安装工作：栽培架检查、就位安装。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育苗栽培槽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潮汐面板，包含过滤网及上下水件，规格尺寸约：1220mmx9450mm。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育苗LED植物补光灯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LED植物灯，专为叶菜育苗使用。平均补光强度120umol/㎡/s, LED补光灯18W,防水等级：IP65</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光谱：全光谱。主要安装工作：设备检查，就位安装，接线测试。</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辅助梯子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为育苗栽培架使用，最大工作高度2.5米。</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灌溉水泵</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灌溉循环泵流量8m³/h，扬程18m，自带浮球液位开关，包含出口阀门、过滤器、上下水管路等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灌溉电磁阀</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用于育苗栽培架，每个架体包含分支管路手动阀、分支管路、管件等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水产种业研发设施</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水产种苗研究繁育罐，及鱼菜共生水处理设备</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171.3</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4.0m养殖池</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直径4.0m，深度1.2m，PP材质，颜色瓷白，水深1.0-1.1m，含侧排和底排装置</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竖流沉淀器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处理量：3m3/h，PP材质，颜色瓷白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微滤机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处理量：65m3/h，功率：0.75kW，304不锈钢主体和PP水箱，含反冲洗水泵，，碳钢槽钢加强筋+防腐包槽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综合水箱</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2×2×1.5m（L×W×H）（实际尺寸需根据现场情况微调），PP材质，颜色瓷白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管道离心泵</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流量：65m3/h，扬程：8m，功率：3kW，碳钢材质，两台并联使用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移动床生物滤器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PP材质外壳，总容积：10m3，含4立方填料</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紫外线杀菌装置</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处理量：70m3/h，功率：0.72kW，304不锈钢外壳</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罗茨风机1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流量：0.2m3/min，出口压力：34.3kPa，功率：0.75kW，含架体</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罗茨风机2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型流量：1.32m3/min，出口压力：24.5kPa，功率：1.1kW，含架体</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控制柜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所有设备控制和配电，按钮控制，双层面板，含断电、缺相、断气、超温报警功能，碳钢喷塑柜体，双层面板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辅件辅材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气石、软管、浮球阀、滤棉等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管材管件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PVC和PPR管材、管件（给排水管，其中给水管为承压0.6MPa）、穿线管</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电线电缆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所有设备的供电和控制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入口接待及鱼菜共生科普研学设施</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智慧管理舱，科普研学生态模块，鱼文化体验展示</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1944</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智慧管理驾驶舱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包含物联网机房及物联网控制系统和一体化展示显示屏。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定制LED拼接屏</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安装方式：落地安装，屏幕距地面420mm，白色铝板柜体，含柜体面积：11㎡厂家提供技术支持，提供安装方案Q1.86高刷LED拼接屏，常规直屏模组，面模组排列：长12块*宽13块；共156块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营养科学实验室一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房屋主体结构、内部灯具、操作桌椅、灯具及配饰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56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主体结构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主体结构：80mm*80mm*3mm方钢（立柱）、80mm*40mm*3mm方钢（立柱）、80mm*40mm*3mm方钢（梁）、200mm*200mm*10mm预埋件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墙体：深灰色断桥铝+10mm厚钢化玻璃隔断、160mm*30mm原木木板、外侧墙面及屋顶深灰色漆、内侧墙面白漆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门窗:2100mm*2300mm断桥铝+10mm厚钢化玻璃推拉门</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地面铺装:总高150mm木平台/加基层共计H=450mm木平台</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灯具照明:双联单控开关、灯具管线</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插座：墙面空调插座、墙面插座、地面插座</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明装球形吊灯(中)</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直径350mm 功率5W，色温3000K，白色球状磨砂玻璃罩1.5米吊线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创意吊线筒灯(白)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功率10W，色温3000K，创意吊线筒灯(白色柱状)1.5米吊线，直径＜100mm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定制操作台一</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规格：W:4700mm,L:1040mm,H:800mm原木(截面160*30mm)操作台</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白漆饰面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种植形式（品种）：桌面微景观创意造景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搁架单元</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白色搁架单元，W：1470mm,L:390mm,H:770mm,带4个插件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操作椅一</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W:440mm,L:510mm,H:800mm带靠背白蜡木座椅，手工质感，舒适稳固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操作台灯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白蜡木三腿落地灯，布艺灯罩，高1.52米，灯罩直径 35cm,灯腿间距45cm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操作托盘桌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金属托盘桌 白色 托盘可拆卸，45x53 厘米，表面涂粉末漆，小巧轻便、一桌两用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搁板操作柜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开放式四层搁板柜 白色 宽35cm，高148 厘米，</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材质：钢, 环氧/聚酯粉末涂层，金属网隔板，用于绿植盆栽布置。</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科普工作台组合一</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桌子+两扶手椅，</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木质户外桌，W:75cm:L:75cm,H:75 cm，带缝格栅桌面，深灰色漆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木质户外椅：W:68cm，L：62cm,H：65cm带扶手，深灰色，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悬挂式阳伞，配伞座 倾斜 米黄色伞面 W：330cm,L:240cm，H：260cm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黑色烤漆支架，树脂配重</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黑板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W:40cm，L：60cm,壁挂式带磁性小黑板，用于科普研学课程。</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工作钉板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白色小钉板，连接器固定式，单块W：76cm,L:56mm，带5个挂钩，1个盛具</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用于科普研学课程。</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白色桌布</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白色布艺桌布W:4800mm,L:1800mm，用于定制操作台一</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踏板式垃圾桶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踏板式垃圾桶 深灰色 25 公升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营养科学实验室二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房屋主体结构、内部灯具、操作桌椅、灯具及配饰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41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主体结构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主体结构尺寸：长10500*宽5600*高3350mm，内部40*80/80*80钢龙骨，外包镜面不锈钢，外侧高透光10mm钢化玻璃，顶面为80x40x3方钢白色粉末喷涂，白色张拉膜饰面，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木作水吧：尺寸：长4660*宽2840*高2450mm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吧台墙体隔墙及顶面：内部40*80/80*80钢龙骨，内外为160*30mm原木木板，外壳两层原木板之间均需新增1mm三合板用于密闭，内外部饰面为白色涂料，原木会议桌刷白色防水漆，详见方案施工图纸</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门窗:900mm*2200mm*10mm厚钢化玻璃门、1400mm*2200mm*10mm厚钢化玻璃门</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地面铺装:总高300mm木平台/总高410mm木平台，建筑正投影下方木平台以下，有混凝土圈梁基础</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灯具照明:双联单控开关、灯具管线</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插座：墙面空调插座、墙面插座、地面插座</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明装球形吊灯(小)</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直径150mm 功率5W，色温3000K，白色球状磨砂玻璃罩1.5米吊线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明装球形吊灯(中)</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直径350mm 功率5W，色温3000K，白色球状磨砂玻璃罩1.5米吊线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创意吊线筒灯(白)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功率10W，色温3000K，创意吊线筒灯(白色柱状)1.5米吊线，直径＜100mm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吸顶灯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圆形白色超薄，直径40CM-白光-白框三色调光吸顶灯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防水壁灯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W:220mm,L:50mm,H:90mm洗墙灯LED户外防水双头壁灯上下射灯 八头白色8W暖白光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操作椅二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W:620mm,L:650mm,H:840mm,扶手椅 桦木支撑腿 中灰色布艺坐垫及靠背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把</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定制操作台二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规格：W:4400mm,L:1600mm,H:800mm原木(截面160*30mm)操作台</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白漆饰面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种植形式（品种）：桌面微景观创意造景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操作台灯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白蜡木三腿落地灯，布艺灯罩，高1.52米，灯罩直径 35cm,灯腿间距45cm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高脚操作椅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W：350mm,L：320mm,H：740mm,桦木原色高脚椅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科普工作台组合一</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t xml:space="preserve">桌子+两扶手椅，</w:t>
            </w:r>
            <w:r>
              <w:rPr>
                <w:rFonts w:hint="eastAsia" w:ascii="微软雅黑" w:hAnsi="微软雅黑" w:eastAsia="微软雅黑" w:cs="微软雅黑"/>
                <w:color w:val="auto"/>
                <w:sz w:val="18"/>
                <w:szCs w:val="18"/>
                <w:highlight w:val="none"/>
              </w:rPr>
            </w:r>
            <w:r>
              <w:rPr>
                <w:color w:val="auto"/>
                <w:highlight w:val="none"/>
              </w:rPr>
            </w:r>
          </w:p>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t xml:space="preserve">木质户外桌，W:75cm:L:75cm,H:75 cm，带缝格栅桌面，深灰色漆</w:t>
            </w:r>
            <w:r>
              <w:rPr>
                <w:rFonts w:hint="eastAsia" w:ascii="微软雅黑" w:hAnsi="微软雅黑" w:eastAsia="微软雅黑" w:cs="微软雅黑"/>
                <w:color w:val="auto"/>
                <w:sz w:val="18"/>
                <w:szCs w:val="18"/>
                <w:highlight w:val="none"/>
              </w:rPr>
            </w:r>
            <w:r>
              <w:rPr>
                <w:color w:val="auto"/>
                <w:highlight w:val="none"/>
              </w:rPr>
            </w:r>
          </w:p>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t xml:space="preserve">木质户外椅：W:68cm，L：62cm,H：65cm带扶手，深灰色，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t xml:space="preserve">悬挂式阳伞，配伞座 倾斜 米黄色伞面 W:330cm,L:240cm，H: 260cm黑色烤漆支架，树脂配重</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85寸电视及支架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电视支架：W:1050mm,L:570mm,H:1550mm,黑色电视落地可移动支架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电视：85寸液晶电视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白色桌布</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白色布艺桌布W:5400mm,L:2600mm，用于定制操作台二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定制工作台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规格：L:6700mm,W:700mm,H:900mm（含水盆及五金）            </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材质：木作基层烤漆饰面柜体、人造石台面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功能：配套清洗，加热、净水电器设备用于即采即食果菜处理。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定制工作柜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规格：L:1250mm,W:630mm,H:900mm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材质：木作基层烤漆饰面柜体、人造石台面</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踏板式垃圾桶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踏板式垃圾桶 深灰色 25 公升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双开门冰箱</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TCL518升大容量养鲜对开双开门白色冰箱一级能效双变频风冷无霜 -32深冷速冻 超薄家用冰箱R518V5-S</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开水机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开水器商用开水机奶茶店全自动直饮水机步进式电热烧水器炉热水机吧直饮机开水桶 【豪华款】40L/H出水量二级过滤智能省电</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净水机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大容量量1000G家用净水器4年RO反渗透厨下直饮2.9L/分钟</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2.3.20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微波炉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嵌入式微波炉光波炉微烤箱嵌入式一体机不锈钢内胆家用平板额定电压</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L:390mm；W:595mm；H:365mm,容量:23L</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厨宝</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10升上出水小厨宝 2000W家用厨房速热电热水器 小巧尺寸 ES10U</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营养科学实验室节气组合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房屋主体结构、楼梯、木平台、操作桌椅、灯具及配饰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主体结构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主体结构、墙体、及钢化玻璃推拉门、防腐木平台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科普工作台组合二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桌子1张:直径650mm圆形可折叠桌，木作桌面，金属折叠支架，灰色</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椅子2把：L:370mm,W:410mm,H:840mm,木作椅面及靠背，金属折叠支架，灰色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操作台灯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白蜡木三腿落地灯，布艺灯罩，高1.52米，灯罩直径 35cm,灯腿间距45cm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生态储物柜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白色金属玻璃门橱柜，W:325mm,L:340mm,H:1160mm ，两侧金属网饰面，用于绿植盆栽布置。</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操作托盘桌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金属托盘桌 白色 托盘可拆卸，45x53 厘米，表面涂粉末漆，小巧轻便、一桌两用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搁板操作柜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开放式四层搁板柜 白色 宽35cm，高148 厘米，</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材质：钢, 环氧/聚酯粉末涂层，金属网隔板，用于绿植盆栽布置。</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明装吊灯二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直径350mm 功率5W，色温3000K，白色球状磨砂玻璃罩1.5米吊线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防水壁灯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W:220mm,L:50mm,H:90mm洗墙灯LED户外防水双头壁灯上下射灯 八头白色8W暖白光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踏板式垃圾桶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踏板式垃圾桶 白色 3 公升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生态卫生间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包含卫生间主体、内部洁具、灯具、及配饰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卫生间模块框架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主体结构：1.2m矮墙顶部圈梁,200x150，C25混凝土,^28@200,4^210、2mm厚聚氨酯涂层防水往墙上翻1200mm，内部墙砖。</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墙体：宝蓝色隔断金属板13樘普通门，H=2400mm，小便池隔断4个，H=600mm,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门窗:1000mm*2400mm断桥铝+10mm厚钢化玻璃门、600mm*600mm墙砖饰面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地面铺装:600mm*600mm地砖、聚氨酯涂层防水、地面混凝土基层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插座：双联单控开关、灯具管线、墙面防水插座、管线PVC20+ZR-VV3*2.5（含接线盒）</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创意吊线筒灯(白)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功率10W，色温3000K，创意吊线筒灯(白色柱状)1.5米吊线，直径＜100mm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小便池一</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上进水小便斗+明装感应冲洗阀 【全套 干电池供电】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小便池二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小便斗挂墙式自动感应一体陶瓷小便器，含整套配件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废纸桶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方形绿色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坐便器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连体马桶CW188【纤薄缓降盖板】 305mm坑距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蹲便器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卫生间陶蹲便器+感应冲洗阀+安装配件【全套 干电池供电】</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蹲便器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蹲便器蹲坑式厕所落地智能感应冲水箱整套卫生间蹲厕大便池自动冲水便池大冲力水箱套装家用 A10鱼肚白带弯后进前排水套装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拖布池</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W:450mm,L:290mm,H:410mm,卫生间洗地拖盆高脚拖布池阳台大小号水槽陶瓷 220一键排水+入墙龙头</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成品装饰镜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无框浴室镜子洗漱台卫生间化妆浴室镜壁挂厕所洗手间定制挂墙 防爆5mmXD级冰玻银镜【壁挂】 宽1600mm*高700mm-横款</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定制生态洗手台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规格：W:600mm,L:2000mm,H:800mm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材质：密度板木皮白漆柜体，理石台面，含水盆及五金</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种植形式（品种）：桌面微景观创意造景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定制洗手台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规格：W:600mm,L:1100mm,H:800mm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W:600mm,L:1800mm,H:800mm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材质：密度板木皮白漆柜体，理石台面，含水盆及五金</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厨宝</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6升小厨宝1500W速热厨房卫生间储水式电热水器台下安装（上出水）AN6BE1.5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小便斗扶手</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小便斗扶手 不锈钢防滑拉手无障碍残疾人老人小便器便池安全扶手</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马桶扶手</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桶扶手坐便器起身助力架可折叠浴室卫生间老人无障碍安全扶手防护栏 四代强化加厚版-【6mm双倍加厚】【带腿】-白色 出墙60cm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序厅装饰系统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包含植物、地面装饰等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绿地、苗木、灌木地被</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室内绿地、苗木、灌木地被</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687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土地平整及堆坡</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室内绿地</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1、平整场地；堆坡</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687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木平台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室内构筑物地面木平台及内部木平台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502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花岗岩铺装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1、30厚黑色麻面花岗岩；</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2、30厚1:3硬性水泥砂浆；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3、100厚C20混凝土；</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4、150厚级配碎石垫层。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463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汀步铺装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1、50厚麻面芝麻黑花岗岩汀步（900*600）；</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2、30厚粗砂找平层；</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3、素土夯实，夯实系数≥0.93.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99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 玻璃种植墙 </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 规格：W:8400mm,L:5080mm,H:2200mmm,60*60方钢框架，铝合金边框、钢化玻璃、园艺挂网及定制生态种植盒</w:t>
            </w:r>
            <w:r>
              <w:rPr>
                <w:rFonts w:hint="eastAsia" w:ascii="微软雅黑" w:hAnsi="微软雅黑" w:eastAsia="微软雅黑" w:cs="微软雅黑"/>
                <w:color w:val="auto"/>
                <w:sz w:val="20"/>
                <w:szCs w:val="20"/>
                <w:highlight w:val="none"/>
                <w:lang w:bidi="ar"/>
              </w:rPr>
              <w:br w:type="textWrapping" w:clear="all"/>
            </w:r>
            <w:r>
              <w:rPr>
                <w:rFonts w:hint="eastAsia" w:ascii="微软雅黑" w:hAnsi="微软雅黑" w:eastAsia="微软雅黑" w:cs="微软雅黑"/>
                <w:color w:val="auto"/>
                <w:sz w:val="20"/>
                <w:szCs w:val="20"/>
                <w:highlight w:val="none"/>
                <w:lang w:bidi="ar"/>
              </w:rPr>
              <w:t xml:space="preserve">材质：粉末喷涂钢架、定制防腐木种植盒 </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29.7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防水地面草坪灯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黑色金属磨砂圆柱300mm高，直径76mm,插地式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防水插地射灯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黑色金属外壳，可360°旋转 功率12W，直径108mm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防水圆形地埋射灯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双向发光，直径85mm，功率2W，金属，颜色闪银磨砂黑,木平台内嵌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科普实验室装饰系统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包含室内装饰材料、草坪灯具、操作桌椅、拼接屏 </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 定制弧形LED拼接屏</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Q1.86高刷LED拼接屏，常规直屏模组，面模组排列：长11块*宽13块；共143块</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安装方式：落地安装，屏幕距地面600mm，白色铝板柜体，含柜体面积：10㎡厂家提供技术支持，提供安装方案</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LED平板灯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600*600mmLED平板灯48W，超薄边框内嵌式；</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超薄明装吸顶灯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圆形白色超薄，直径40CM，白光-白框三色调光吸顶灯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照明管线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管线：照明JDG20穿线管2.5平方塑铜线电源线；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插座管线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管线：插座JDG25穿线管、4.0平方塑铜线；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灯具开关</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开关插座：镀锌铁线盒（86型）开关面板；A5、5孔插座接线盒；</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强电桥架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桥架：50*100桥架线槽、吊杆、接头、转换头、横担、跨接地线等；50*100桥架线槽；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强电配电箱</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配电箱：466X625X150mm配电箱（不含入户线缆）敷设及安装；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卫生间上下水</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上下水管：上水PPR\下水PVC管路敷设；</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绿植工作台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规格：直径900mm,H:750mm，白色烤漆桌面，钢制桌腿</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功能：台面定制凹槽苔藓LOGO展示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高透亚克力绿植培育椅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规格：10mm高透光亚克力定制圆形培育椅，直径400mm,H:430mm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种植亮点（品种）：小型观赏植物、苔藓、彩色砂石创意造景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更衣柜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白色金属薄边更衣柜，W:500mm,L：900mm，H：1850mm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管理用房文件柜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铁皮钢制办公柜资料档案柜玻璃储物柜</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L:850mm,W:390mm,H：1800mm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管理用房员工工位</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书桌 仿白色橡木纹/白色 L:1400mm,W：600mm ，H：750mm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管理用房员工椅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L:700mm,W：70600mm ，H：1280mm,带万向轮，可调节座椅，黑色皮质坐垫及靠背</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智慧种植实验室</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讲台·操作桌整体尺寸：L:4600mm，W:850mm,H:750mm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（含水盆及五金）</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工艺说明：1）柜体：木制框架结构；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2）基层：欧松板打底；</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3）面层：防腐蚀台面；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功能：用于农业科普展示及果蔬栽培操作教学</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学生·操作桌整体尺寸：L:4500mm，W:1500mm,H:700mm（含水盆及五金）</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工艺说明：1）柜体：木制框架结构；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2）基层：欧松板打底；</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3）面层：防腐蚀台面；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功能：用于农业科普展示及果蔬栽培操作教学</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城市微耕1家具整体尺寸：L:2900mm，W:750mm,H:2200mm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工艺说明：钢制框架，表面白色氟碳漆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种植槽：2700x740x240，实木纹烤漆面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种植形式（品种）：食用花卉、食用芳香植物"</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城市微耕2·鱼菜共生整体尺寸：L:长2830mm，W:600mm,H:2000mm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试管种植装置：L:1200mm,H:400mm*4组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工艺说明：钢制框架，表面白色烤漆面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种植槽：L:2670mm,W:450mm，H：450mm，实木纹烤漆面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鱼缸：成品</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灯箱：LED灯箱</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科技亮点：把水产养殖和水耕栽培两种农业技术进行整合，鱼池和蔬菜池里面的水不停循环，鱼粪成为蔬菜的天然肥料，实现“养鱼不换水、种菜不施肥”。</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城市微耕3·种植整体尺寸：L:1158mm，W:720mm,H:2600mm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工艺说明：1）柜体：木结构展柜；</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2）基层：欧松板打底；</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3）面层：木纹饰面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4）展示格：生态板,木纹饰面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科技亮点：育种文学展示及种业实体展示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栽培架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规格 ：栽培架整体尺寸：L:1400mm，W:600mm，H:2500 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材质：粉末喷涂钢架、定制PVC栽培系统、防腐木饰面、不锈钢水箱</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种植形式（品种）：特色植物品种</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科学育种实验室</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整体橱柜组合</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规格：：L：4500mm,W:2300mm，H：2600mm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材质：钢木结构背墙，台面内置PVC种植槽，密度板木皮白漆柜体，内含桌面微景观种植。人造石台面。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种植形式（内容）：（品种）：小型景观植物、苔藓、彩砂创意造景"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种植家具4整体尺寸：L:1500mm,W:470mm，H：2000mm；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工艺说明：粉末喷涂钢支架，防腐木</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种植盒：PVC</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内嵌LED补光灯</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材质：粉末喷涂钢架、定制PVC栽培系统、防腐木饰面、不锈钢水箱</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种植形式（品种）：特色植物品种</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种植家具5整体尺寸：L：3600mm,W:470mm，H:1000mm；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柜体：木制框架结构；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面层：白色烤漆；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种植盒：PVC</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种植形式（品种）：食用芳香植物、生菜类等，可用于展示特色种植品种</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1478" w:type="dxa"/>
            <w:vAlign w:val="center"/>
            <w:vMerge w:val="continue"/>
            <w:textDirection w:val="lrTb"/>
            <w:noWrap w:val="false"/>
          </w:tcPr>
          <w:p>
            <w:pPr>
              <w:pStyle w:val="863"/>
              <w:jc w:val="center"/>
              <w:rPr>
                <w:rFonts w:hint="eastAsia" w:ascii="微软雅黑" w:hAnsi="微软雅黑" w:eastAsia="微软雅黑" w:cs="微软雅黑"/>
                <w:color w:val="000000"/>
                <w:sz w:val="18"/>
                <w:szCs w:val="18"/>
              </w:rPr>
            </w:pPr>
            <w:r>
              <w:rPr>
                <w:rFonts w:hint="eastAsia" w:ascii="微软雅黑" w:hAnsi="微软雅黑" w:eastAsia="微软雅黑" w:cs="微软雅黑"/>
                <w:color w:val="000000"/>
                <w:sz w:val="18"/>
                <w:szCs w:val="18"/>
              </w:rPr>
            </w: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学员操作台整体尺寸：L：2460mm,W:1200mm,H:750mm；</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工艺说明：1）柜体：木制框架结构；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2）基层：欧松板打底；</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3）面层：人造石台面；</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功能：用于农业科普展示及果蔬栽培操作教学</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组</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科普研学生态模块</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50型、岩棉彩钢复合洁净立板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板与板连接方式：中置铝；面板基材：内外板均为白色，厚0.5mm钢板；芯材：岩棉，容重80-120kg/m³；厚度：普通洁净板50mm；墙体系统：包含转角、收边、天轨、地轨、密封胶等附材。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防火A级；</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306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科普研学生态模块</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50型、单玻镁岩棉彩钢复合洁净顶板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板与板连接方式：中置铝；面板基材：内外板均为白色，厚0.5mm钢板；芯材：单玻镁岩棉，容重80-120kg/m³；厚度：普通洁净板50mm；吊顶系统：顶部中字型龙骨暗架吊顶；龙骨跨度＜3000mm，龙骨上吊点间距＜1200mm，顶板开洞较大时应做补强处理；应配合其他设备（风口、灯、及空调等）的安装。防火A级。</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267.8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2.7.20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净化钢质单开门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净化钢质平开门（1000mmX2100mm）；模块化钢</w:t>
            </w:r>
            <w:r>
              <w:rPr>
                <w:rFonts w:hint="eastAsia" w:ascii="微软雅黑" w:hAnsi="微软雅黑" w:eastAsia="微软雅黑" w:cs="微软雅黑"/>
                <w:color w:val="auto"/>
                <w:sz w:val="18"/>
                <w:szCs w:val="18"/>
                <w:highlight w:val="none"/>
                <w:lang w:bidi="ar"/>
              </w:rPr>
              <w:t xml:space="preserve">制密闭门，采用连体制作方式，表面静电喷涂处理，完成面无接缝、焊点、死角，平整光滑、无积尘，易清洁，三边采用橡胶密封，门扇底部加装自动升降下压式气密条，门的开关不与地面摩擦，确保不损伤地面，且保证良好的气密性。满足洁净气密门对泄漏量的要求。材质说明：采用钢板，门框1.5mm，门扇0.8mm，门扇50mm厚度。门扇芯材：岩棉样式：手动单开门表面处理：静电喷涂白色，与墙面板材颜色一致五金配件：配置门锁及把手闭门器：明装式，设置在室内气密性能：正压符合GB/T7106-2019，负压符合GB/T7106-2019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净化钢质双开门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净化钢质平开门（1500mmX2100mm）；模块化钢</w:t>
            </w:r>
            <w:r>
              <w:rPr>
                <w:rFonts w:hint="eastAsia" w:ascii="微软雅黑" w:hAnsi="微软雅黑" w:eastAsia="微软雅黑" w:cs="微软雅黑"/>
                <w:color w:val="auto"/>
                <w:sz w:val="18"/>
                <w:szCs w:val="18"/>
                <w:highlight w:val="none"/>
                <w:lang w:bidi="ar"/>
              </w:rPr>
              <w:t xml:space="preserve">制密闭门，采用连体制作方式，表面静电喷涂处理，完成面无接缝、焊点、死角，平整光滑、无积尘，易清洁，三边采用橡胶密封，门扇底部加装自动升降下压式气密条，门的开关不与地面摩擦，确保不损伤地面，且保证良好的气密性。满足洁净气密门对泄漏量的要求。材质说明：采用钢板，门框1.5mm，门扇0.8mm，门扇50mm厚度。门扇芯材：岩棉样式：手动双开门表面处理：静电喷涂白色，与墙面板材颜色一致五金配件：配置门锁及把手闭门器：明装式，设置在室内气密性能：正压符合GB/T7106-2019，负压符合GB/T7106-2019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2.7.22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丙级防火门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丙级防火门（1000mmx2100mm）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2.7.23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模块化洁净视窗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铝合金视窗（1000mmX2100mm）；视窗为中空双玻结构，与墙面50mm厚匹配，具有良好气密、隔音、保温隔热防结露等性能。材质说明：采用铝合金窗框，以粘性优异的双面胶合类型玻璃，内置隐藏式干燥剂；玻璃厚度：5mm窗边样式：丝印白边保温性能：确保良好的保温隔热性能气密性能：符合GB/T7106-2019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468"/>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2.7.24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模块化洁净视窗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铝合金钢化玻璃窗（5000mmX1200mm）；视窗为中空双玻结构，与墙面50mm厚匹配，具有良好气密、隔音、保温隔热防结露等性能。材质说明：采用铝合金窗框，以粘性优异的双面胶合类型玻璃，内置隐藏式干燥剂；玻璃厚度：5mm窗边样式：丝印白边保温性能：确保良好的保温隔热性能气密性能：符合GB/T7106-2019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2.7.25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模块化洁净视窗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铝合金钢化玻璃窗（5000mmX2100mm）；视窗为中空双玻结构，与墙面50mm厚匹配，具有良好气密、隔音、保温隔热防结露等性能。材质说明：采用铝合金窗框，以粘性优异的双面胶合类型玻璃，内置隐藏式干燥剂；玻璃厚度：5mm窗边样式：丝印白边保温性能：确保良好的保温隔热性能气密性能：符合GB/T7106-2019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扇</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2.8</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鱼文化体验展示</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包含鱼文化展示科普相关展示设施</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水岸打造</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包含温室周围地块配套道路、生态绿化、室外自然科普设施、标识标牌</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沥青道路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35厚细粒式沥青混凝土（AC-13）；45厚中粒式沥青混凝土（AC-16）；200厚水泥碎石稳定层；300厚碎石基层；E0≥30MPa，土基压实系数≥0.97。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3603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砾石道路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50厚粒径20-40砾石，素土夯实 系数≥0.93.含1.5mm厚钢板道牙。</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1616.8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66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生态绿化及农田科普</w:t>
            </w:r>
            <w:r>
              <w:rPr>
                <w:rFonts w:hint="eastAsia" w:ascii="微软雅黑" w:hAnsi="微软雅黑" w:eastAsia="微软雅黑" w:cs="微软雅黑"/>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18"/>
                <w:szCs w:val="18"/>
                <w:highlight w:val="none"/>
                <w:lang w:bidi="ar"/>
              </w:rPr>
              <w:t xml:space="preserve">1.包含水岸花田、农场集市、阳光草坪等</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m2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17927.6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32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生态绿化及农田科普</w:t>
            </w:r>
            <w:r>
              <w:rPr>
                <w:rFonts w:hint="eastAsia" w:ascii="微软雅黑" w:hAnsi="微软雅黑" w:eastAsia="微软雅黑" w:cs="微软雅黑"/>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18"/>
                <w:szCs w:val="18"/>
                <w:highlight w:val="none"/>
                <w:lang w:bidi="ar"/>
              </w:rPr>
              <w:t xml:space="preserve">格子农庄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1、主体；</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2、二次结构；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3、装修；</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66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生态绿化及农田科普</w:t>
            </w:r>
            <w:r>
              <w:rPr>
                <w:rFonts w:hint="eastAsia" w:ascii="微软雅黑" w:hAnsi="微软雅黑" w:eastAsia="微软雅黑" w:cs="微软雅黑"/>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农田绿化</w:t>
            </w:r>
            <w:r>
              <w:rPr>
                <w:rFonts w:hint="eastAsia" w:ascii="微软雅黑" w:hAnsi="微软雅黑" w:eastAsia="微软雅黑" w:cs="微软雅黑"/>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32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生态绿化及农田科普</w:t>
            </w:r>
            <w:r>
              <w:rPr>
                <w:rFonts w:hint="eastAsia" w:ascii="微软雅黑" w:hAnsi="微软雅黑" w:eastAsia="微软雅黑" w:cs="微软雅黑"/>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配属小型构筑物</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1、主体；</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2、二次结构；</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3、装修；</w:t>
            </w:r>
            <w:r>
              <w:rPr>
                <w:rFonts w:hint="eastAsia" w:ascii="微软雅黑" w:hAnsi="微软雅黑" w:eastAsia="微软雅黑" w:cs="微软雅黑"/>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shd w:val="clear" w:color="ffffff" w:fill="b8cce4"/>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三</w:t>
            </w:r>
            <w:r>
              <w:rPr>
                <w:rFonts w:hint="eastAsia" w:ascii="微软雅黑" w:hAnsi="微软雅黑" w:eastAsia="微软雅黑" w:cs="微软雅黑"/>
                <w:b/>
                <w:bCs/>
                <w:color w:val="auto"/>
                <w:sz w:val="18"/>
                <w:szCs w:val="18"/>
                <w:highlight w:val="none"/>
              </w:rPr>
            </w:r>
            <w:r>
              <w:rPr>
                <w:color w:val="auto"/>
                <w:highlight w:val="none"/>
              </w:rPr>
            </w:r>
          </w:p>
        </w:tc>
        <w:tc>
          <w:tcPr>
            <w:shd w:val="clear" w:color="ffffff" w:fill="b8cce4"/>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lang w:bidi="ar"/>
              </w:rPr>
              <w:t xml:space="preserve">“智慧乡村”数字化项目</w:t>
            </w: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c>
          <w:tcPr>
            <w:shd w:val="clear" w:color="auto" w:fill="b8cce4"/>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b/>
                <w:bCs/>
                <w:color w:val="auto"/>
                <w:sz w:val="18"/>
                <w:szCs w:val="18"/>
                <w:highlight w:val="none"/>
              </w:rPr>
            </w:pPr>
            <w:r>
              <w:rPr>
                <w:rFonts w:hint="eastAsia" w:ascii="微软雅黑" w:hAnsi="微软雅黑" w:eastAsia="微软雅黑" w:cs="微软雅黑"/>
                <w:b/>
                <w:bCs/>
                <w:color w:val="auto"/>
                <w:sz w:val="18"/>
                <w:szCs w:val="18"/>
                <w:highlight w:val="none"/>
              </w:rPr>
            </w:r>
            <w:r>
              <w:rPr>
                <w:color w:val="auto"/>
                <w:highlight w:val="none"/>
              </w:rPr>
            </w:r>
          </w:p>
        </w:tc>
      </w:tr>
      <w:tr>
        <w:trPr>
          <w:trHeight w:val="228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病虫害自动监测预警系统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功能：</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1)、通过高清AI摄像头获取温室内作物生长期间的病虫害图片、视频等数据； </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2）、通过预警系统后台进行人工智能识别，识别当前病虫害类型、发生严重程度，并为园区生产人员提供报警服务。</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组成：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1）、自动检测设备；</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2）、病虫害检测预警系统软件。</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高清球机摄像机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超高清摄像头，防水等级：IP66,图像尺寸：3840×2160，图像拍摄数量可设定。</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辅材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诱虫装置以及相应的安装辅材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病虫害检测预警系统软件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基于图像识别技术，实时捕捉粘虫板上虫害与作物叶面病斑图像信息，依据病虫害专家知识库内置诊断与治理功能。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56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农产品质量可追溯系统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功能：</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1）、生产全程监控：定植记录、植株管理、采收记录、称重记录等；</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2）、农产品质量安全管理：对种子的批次、播种时间、种植人员、种植场地、检验信息等进行记录和追踪；</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组成：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1）、生产运营硬件设备，包括：条码打印机、手持采集器、电子秤等；</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2）、生产运营系统软件。</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条码打印机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适应不同标签宽度，120mm出纸口，热敏热转不干胶打印，支架305点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移动式数据采集器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IP65防护等级，wifi通信，支持4G和GDM通信，android操作系统，条码扫描采集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计量秤</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TFT彩屏显示，以太网，RS485接口数传输、精度10g，ip68,离散IO</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耗材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铜版纸标签、碳带等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农产品质量可追溯系统软件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该系统主要对农产品的批次、播种时间、种植人员、种植场地、检验信息等信息进行记录和追踪。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99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物联网控制系统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功能：</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1）、监测植物工厂环境参数、设备状态； </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2）、控制植物工厂内环控设备。</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组成：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1）、环控系统硬件设备，包括：服务器、控制电脑、传感器、控制柜、数据采集器、智能网关等；</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2）、物联网控制系统软件。</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物联网环控系统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功能：</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1）、监测植物工厂环境参数、设备状态； </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2）、控制植物工厂内环控设备。</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center"/>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71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控制柜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1）、为补光灯提供配电和控制，为栽培系统辅助生产设备提供电源，内置断路器、接触器、继电器和智能电表等配电元件；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2）、支持本地-远程两种操作模式；本地状态在电控柜上手动开关，远程状态通过服务器控制软件制定控制策略，实现自动控制；</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3）、支持ModBus-RTU和TCP/IP协议；控制模块支持AI/DI输入，支持DO继电器控制输出，采集传感器。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智能网关</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工业版网关控制器，系统控制单元，定制开发</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数据采集模块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系统定制，RS485 隔离通讯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温湿度一体式传感器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测量范围：-20～50℃，温度分辨率0.1℃，精确度0.5℃；测量范围0-100%，湿度分辨率0.1%，绝对误差±5%；输出型号：4-20MA</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二氧化碳浓度传感器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量程：0ppm-5000ppm，精度：± (40 ppm +3%F•S)(22℃)，输出型号：4-20MA</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光照度传感器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0～20万lux光谱范围：400～700（nm）可见光误差：±5%，输出信号： 0～10V、0～20mA 、4～20mA</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智能控制站</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1）、国产非标</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2）、硬件规格：（ 10核20线程）*2/32G*2内存/硬盘*2 SAS/阵列卡/双电源；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3）、功能：可用于下发控制策略给智能控制柜。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智能存储站</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1）、国产非标；</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 8核16线程）*2/16G*2内存/硬盘*2 SAS/阵列卡/双电源；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3）、功能：可智能存储采集的环境数据并用于分析。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66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18"/>
                <w:szCs w:val="18"/>
                <w:highlight w:val="none"/>
                <w:lang w:bidi="ar"/>
              </w:rPr>
              <w:t xml:space="preserve">物联网环控系统安装辅材</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18"/>
                <w:szCs w:val="18"/>
                <w:highlight w:val="none"/>
                <w:lang w:bidi="ar"/>
              </w:rPr>
              <w:t xml:space="preserve">包括：网线、信号线、桥架等</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370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3.1.10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物联网控制平台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1）、系统提供在线区域编辑功能，可以控制两个植物工厂内的补光灯、调湿机等设备，并且能够方便、清晰的展示出两个植物工厂内的环境状况；</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2）、支持环境数据及执行机构状态实时展示；</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3）、支持历史数据查询、展示及导出；</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4）、支持农作物生长状态的图像监控</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5）、支持定时控制策略，在基本定时控制功能的基础上，支持多种策略的限定执行条件及关联操作；</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6）、支持自定义控制策略，用户可通过灵活的配置方式，实现复杂的控制需求、管理操作等，包括的基本参数有策略启用条件，触发条件，关联操作对象等；</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7）、支持移动端App或PC端Web访问和操作，用户可以随时随地通过电脑或者手机管理两个植物工厂。</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855"/>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一体化展示平台</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1.功能：</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1）、展示园区环控、生产、能耗数据；</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2）、将数据处理后展示数据间关系。</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center"/>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智能控制站</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1）、国产非标；</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2）、硬件规格：（ 8核16线程）*2/16G*2内存/硬盘*2 SAS/阵列卡/双电源；</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3）、功能：可用于下发控制策略给智能控制柜。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安装辅材</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包括：网线、高清数据线等</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42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一体化展示系统软件</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1）、数据采集：统一从消息中间件获取各系统数据；</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2）、数据处理：基于数据采集的基础配置，对元数据进行二次定义匹配；</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3）、综合展示：面向园区的管理人员，提供各系统基础数据的集中展示、整合数据展示、实时数据展示、轮播消息配置等功能。</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1140"/>
        </w:trPr>
        <w:tc>
          <w:tcPr>
            <w:shd w:val="clear" w:color="auto" w:fill="dce6f1"/>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网络安防系统</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1.功能：</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1）、在线视频监控、视频回放，通行管理、访客管理；</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 2）、为园区管理者提供安全、便捷的网络服务，包括弱电机房、有线和无线网部署、网络安全。</w:t>
            </w: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shd w:val="clear" w:color="auto" w:fill="dce6f1"/>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center"/>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防水摄像机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200万像素、6mm焦距、POE供电、枪机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网络硬盘录像机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32路4盘4K高清，NVR支持H.265编码兼容8T</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监控硬盘</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8T</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视频解码器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16路</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液晶电视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70寸，4K超高清。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人脸门禁</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4.3寸高清触摸屏；人脸识别（1000张），识别速度≤0.2s；记录容量150000条，生成报表；门禁功能，支持IC卡刷卡。</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刷卡门禁</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容量：3000笔合法卡，记录容量1万条；通讯方式TC/IP；门禁功能，支持IC卡刷卡。</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监控工作台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监控工作台1200*900*750。</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监控椅2个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园区综合安防平台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在线视频监控、视频回放，智慧通行：通行管理、访客管理，网络安全管理。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核心交换机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支持24个千兆电口、24个千兆光口、4个万兆光口</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24口接入交换机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支持24个千兆电口，支持802.3at/POE+供电标准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16口接入交换机</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支持16个千兆电口，支持802.3at/POE+供电标准</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3.3.13</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服务器机柜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标准42U，黑色，600mm*1000mm*2000mm</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3.3.14</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网络机柜</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4U立式白色</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3.3.15</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无线控制器</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最大可管理48AP，含授权许可10个；吞吐量：1.6Gbps；支持多SSID，支持无线用户隔离。</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3.3.16</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无线AP</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内置天线双频四流802.11ac/n，Wave 2，1267M，GE*1；支持POE供电。</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3.3.17</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网络信息面板</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六类网络模块面板套装，单口86型工程家装。</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光模块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千兆单模光纤光模块，双纤LC接头 。</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8</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3.3.19</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智能网关</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1）、SOP虚拟防火墙技术，支持CPU、内存、存储等硬件资源划分的完全虚拟化，安全区域划分，可以防御Land、Smurf、Fraggle、Ping of Death、Tear Drop、IP；</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2）、Spoofing、IP分片报文、ARP欺骗、ARP主动反向查询、TCP报文标志位不合法超大ICMP报文、地址扫描、端口扫描、SYN，Flood、UPD Flood、ICMP Flood、DNS Flood等多种恶意攻击；</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3）、基础和扩展的访问控制列表，基于时间段的访问控制列表，基于用户、应用的访问控制列表，ASPF应用层报文过滤，静态和动态黑名单功能，MAC和IP绑定功能，基于MAC的访问控制列表，支持802.1q VLAN 透传。</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285"/>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3.3.20</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UPS</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在线式稳压3000VA/2700W</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57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3.3.21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监控工作台</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监控工作台1200*900*750。</w:t>
            </w:r>
            <w:r>
              <w:rPr>
                <w:rFonts w:hint="eastAsia" w:ascii="微软雅黑" w:hAnsi="微软雅黑" w:eastAsia="微软雅黑" w:cs="微软雅黑"/>
                <w:color w:val="auto"/>
                <w:sz w:val="18"/>
                <w:szCs w:val="18"/>
                <w:highlight w:val="none"/>
                <w:lang w:bidi="ar"/>
              </w:rPr>
              <w:br w:type="textWrapping" w:clear="all"/>
            </w:r>
            <w:r>
              <w:rPr>
                <w:rFonts w:hint="eastAsia" w:ascii="微软雅黑" w:hAnsi="微软雅黑" w:eastAsia="微软雅黑" w:cs="微软雅黑"/>
                <w:color w:val="auto"/>
                <w:sz w:val="18"/>
                <w:szCs w:val="18"/>
                <w:highlight w:val="none"/>
                <w:lang w:bidi="ar"/>
              </w:rPr>
              <w:t xml:space="preserve">监控椅2个</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套</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66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3.3.22</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63"/>
              <w:jc w:val="center"/>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18"/>
                <w:szCs w:val="18"/>
                <w:highlight w:val="none"/>
                <w:lang w:bidi="ar"/>
              </w:rPr>
              <w:t xml:space="preserve">网络安防系统综合布线</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27" w:type="dxa"/>
            <w:vAlign w:val="center"/>
            <w:textDirection w:val="lrTb"/>
            <w:noWrap w:val="false"/>
          </w:tcPr>
          <w:p>
            <w:pPr>
              <w:pStyle w:val="863"/>
              <w:jc w:val="left"/>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18"/>
                <w:szCs w:val="18"/>
                <w:highlight w:val="none"/>
                <w:lang w:bidi="ar"/>
              </w:rPr>
              <w:t xml:space="preserve">网线、光纤、水晶头、穿线管、桥架等；</w:t>
            </w:r>
            <w:r>
              <w:rPr>
                <w:rFonts w:hint="eastAsia" w:ascii="微软雅黑" w:hAnsi="微软雅黑" w:eastAsia="微软雅黑" w:cs="微软雅黑"/>
                <w:color w:val="auto"/>
                <w:sz w:val="20"/>
                <w:szCs w:val="20"/>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项</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pStyle w:val="863"/>
              <w:jc w:val="right"/>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1</w:t>
            </w: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r>
        <w:trPr>
          <w:trHeight w:val="660"/>
        </w:trPr>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pStyle w:val="863"/>
              <w:jc w:val="center"/>
              <w:widowControl/>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lang w:bidi="ar"/>
              </w:rPr>
              <w:t xml:space="preserve">合计（元）</w:t>
            </w:r>
            <w:r>
              <w:rPr>
                <w:rFonts w:hint="eastAsia" w:ascii="微软雅黑" w:hAnsi="微软雅黑" w:eastAsia="微软雅黑" w:cs="微软雅黑"/>
                <w:color w:val="auto"/>
                <w:sz w:val="18"/>
                <w:szCs w:val="18"/>
                <w:highlight w:val="none"/>
                <w:lang w:bidi="ar"/>
              </w:rPr>
            </w:r>
            <w:r>
              <w:rPr>
                <w:color w:val="auto"/>
                <w:highlight w:val="none"/>
              </w:rPr>
            </w:r>
          </w:p>
        </w:tc>
        <w:tc>
          <w:tcPr>
            <w:gridSpan w:val="6"/>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pStyle w:val="863"/>
              <w:jc w:val="right"/>
              <w:rPr>
                <w:rFonts w:hint="eastAsia" w:ascii="微软雅黑" w:hAnsi="微软雅黑" w:eastAsia="微软雅黑" w:cs="微软雅黑"/>
                <w:color w:val="auto"/>
                <w:sz w:val="18"/>
                <w:szCs w:val="18"/>
                <w:highlight w:val="none"/>
              </w:rPr>
            </w:pPr>
            <w:r>
              <w:rPr>
                <w:rFonts w:hint="eastAsia" w:ascii="微软雅黑" w:hAnsi="微软雅黑" w:eastAsia="微软雅黑" w:cs="微软雅黑"/>
                <w:color w:val="auto"/>
                <w:sz w:val="18"/>
                <w:szCs w:val="18"/>
                <w:highlight w:val="none"/>
              </w:rPr>
            </w:r>
            <w:r>
              <w:rPr>
                <w:color w:val="auto"/>
                <w:highlight w:val="none"/>
              </w:rPr>
            </w:r>
          </w:p>
        </w:tc>
      </w:tr>
    </w:tbl>
    <w:p>
      <w:pPr>
        <w:pStyle w:val="863"/>
        <w:spacing w:line="30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lang w:val="zh-CN"/>
        </w:rPr>
        <w:t xml:space="preserve">注：</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请各供应商务必按照以上要求填报，否则作为无效投标处理。</w:t>
      </w:r>
      <w:r>
        <w:rPr>
          <w:rFonts w:ascii="宋体" w:hAnsi="宋体" w:cs="宋体"/>
          <w:b/>
          <w:color w:val="auto"/>
          <w:sz w:val="28"/>
          <w:szCs w:val="28"/>
          <w:highlight w:val="none"/>
        </w:rPr>
      </w:r>
      <w:r>
        <w:rPr>
          <w:color w:val="auto"/>
          <w:highlight w:val="none"/>
        </w:rPr>
      </w:r>
    </w:p>
    <w:p>
      <w:pPr>
        <w:pStyle w:val="878"/>
        <w:rPr>
          <w:color w:val="auto"/>
          <w:sz w:val="24"/>
          <w:szCs w:val="24"/>
          <w:highlight w:val="none"/>
        </w:rPr>
      </w:pPr>
      <w:r>
        <w:rPr>
          <w:rFonts w:hint="eastAsia"/>
          <w:color w:val="auto"/>
          <w:sz w:val="24"/>
          <w:szCs w:val="24"/>
          <w:highlight w:val="none"/>
        </w:rPr>
        <w:t xml:space="preserve">本项目核心产品为：开窗驱动系统设备、定植桁架机器人设备、采收桁架机器人设备。</w:t>
      </w:r>
      <w:r>
        <w:rPr>
          <w:color w:val="auto"/>
          <w:sz w:val="24"/>
          <w:szCs w:val="24"/>
          <w:highlight w:val="none"/>
        </w:rPr>
      </w:r>
      <w:r>
        <w:rPr>
          <w:color w:val="auto"/>
          <w:highlight w:val="none"/>
        </w:rPr>
      </w:r>
    </w:p>
    <w:p>
      <w:pPr>
        <w:pStyle w:val="863"/>
        <w:spacing w:line="400" w:lineRule="exact"/>
        <w:rPr>
          <w:rFonts w:hint="eastAsia" w:ascii="宋体" w:hAnsi="宋体" w:cs="宋体"/>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color w:val="auto"/>
          <w:sz w:val="32"/>
          <w:szCs w:val="32"/>
          <w:highlight w:val="none"/>
        </w:rPr>
        <w:t xml:space="preserve">附件</w:t>
      </w:r>
      <w:r>
        <w:rPr>
          <w:rFonts w:ascii="宋体" w:hAnsi="宋体" w:cs="宋体"/>
          <w:color w:val="auto"/>
          <w:sz w:val="32"/>
          <w:szCs w:val="32"/>
          <w:highlight w:val="none"/>
        </w:rPr>
        <w:t xml:space="preserve">8</w:t>
      </w:r>
      <w:r>
        <w:rPr>
          <w:rFonts w:hint="eastAsia" w:ascii="宋体" w:hAnsi="宋体" w:cs="宋体"/>
          <w:color w:val="auto"/>
          <w:sz w:val="32"/>
          <w:szCs w:val="32"/>
          <w:highlight w:val="none"/>
        </w:rPr>
      </w:r>
      <w:r>
        <w:rPr>
          <w:color w:val="auto"/>
          <w:highlight w:val="none"/>
        </w:rPr>
      </w:r>
    </w:p>
    <w:p>
      <w:pPr>
        <w:pStyle w:val="863"/>
        <w:jc w:val="center"/>
        <w:spacing w:line="300" w:lineRule="auto"/>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lang w:bidi="zh-CN"/>
        </w:rPr>
        <w:t xml:space="preserve">中小企业声明函（货物）</w:t>
      </w:r>
      <w:r>
        <w:rPr>
          <w:rFonts w:hint="eastAsia" w:ascii="宋体" w:hAnsi="宋体" w:cs="宋体"/>
          <w:b/>
          <w:bCs/>
          <w:color w:val="auto"/>
          <w:sz w:val="28"/>
          <w:szCs w:val="28"/>
          <w:highlight w:val="none"/>
          <w:lang w:bidi="zh-CN"/>
        </w:rPr>
      </w:r>
      <w:r>
        <w:rPr>
          <w:color w:val="auto"/>
          <w:highlight w:val="none"/>
        </w:rPr>
      </w:r>
    </w:p>
    <w:p>
      <w:pPr>
        <w:pStyle w:val="863"/>
        <w:spacing w:line="360" w:lineRule="auto"/>
        <w:rPr>
          <w:rFonts w:ascii="宋体" w:hAnsi="宋体" w:cs="宋体"/>
          <w:color w:val="auto"/>
          <w:sz w:val="28"/>
          <w:szCs w:val="28"/>
          <w:highlight w:val="none"/>
        </w:rPr>
        <w:outlineLvl w:val="0"/>
      </w:pPr>
      <w:r>
        <w:rPr>
          <w:rFonts w:hint="eastAsia" w:ascii="宋体" w:hAnsi="宋体" w:cs="宋体"/>
          <w:color w:val="auto"/>
          <w:sz w:val="28"/>
          <w:szCs w:val="28"/>
          <w:highlight w:val="none"/>
          <w:lang w:bidi="zh-CN"/>
        </w:rPr>
        <w:t xml:space="preserve">本公司（联合体）郑重声明，根据《政府采购促进中小企业发展管理办法》（财库﹝2020﹞46 号）的规定，本公司（联合体）参加</w:t>
      </w:r>
      <w:r>
        <w:rPr>
          <w:rFonts w:hint="eastAsia" w:ascii="宋体" w:hAnsi="宋体" w:cs="宋体"/>
          <w:color w:val="auto"/>
          <w:sz w:val="28"/>
          <w:szCs w:val="28"/>
          <w:highlight w:val="none"/>
          <w:u w:val="single"/>
          <w:lang w:bidi="zh-CN"/>
        </w:rPr>
        <w:t xml:space="preserve">（单位名称）</w:t>
      </w:r>
      <w:r>
        <w:rPr>
          <w:rFonts w:hint="eastAsia" w:ascii="宋体" w:hAnsi="宋体" w:cs="宋体"/>
          <w:color w:val="auto"/>
          <w:sz w:val="28"/>
          <w:szCs w:val="28"/>
          <w:highlight w:val="none"/>
          <w:lang w:bidi="zh-CN"/>
        </w:rPr>
        <w:t xml:space="preserve">的</w:t>
      </w:r>
      <w:r>
        <w:rPr>
          <w:rFonts w:hint="eastAsia" w:ascii="宋体" w:hAnsi="宋体" w:cs="宋体"/>
          <w:color w:val="auto"/>
          <w:sz w:val="28"/>
          <w:szCs w:val="28"/>
          <w:highlight w:val="none"/>
          <w:u w:val="single"/>
          <w:lang w:bidi="zh-CN"/>
        </w:rPr>
        <w:t xml:space="preserve">（项目名称）</w:t>
      </w:r>
      <w:r>
        <w:rPr>
          <w:rFonts w:hint="eastAsia" w:ascii="宋体" w:hAnsi="宋体" w:cs="宋体"/>
          <w:color w:val="auto"/>
          <w:sz w:val="28"/>
          <w:szCs w:val="28"/>
          <w:highlight w:val="none"/>
          <w:lang w:bidi="zh-CN"/>
        </w:rPr>
        <w:t xml:space="preserve">采购活动，提供的货物全部由符合政策要求的中小企业制造。相关企业（含联合体中的中小企业、签订分包意向协议的中小企业）的具体情况如下：</w:t>
      </w:r>
      <w:r>
        <w:rPr>
          <w:rFonts w:ascii="宋体" w:hAnsi="宋体" w:cs="宋体"/>
          <w:color w:val="auto"/>
          <w:sz w:val="28"/>
          <w:szCs w:val="28"/>
          <w:highlight w:val="none"/>
          <w:lang w:bidi="zh-CN"/>
        </w:rPr>
      </w:r>
      <w:r>
        <w:rPr>
          <w:color w:val="auto"/>
          <w:highlight w:val="none"/>
        </w:rPr>
      </w:r>
    </w:p>
    <w:p>
      <w:pPr>
        <w:pStyle w:val="863"/>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lang w:bidi="zh-CN"/>
        </w:rPr>
        <w:t xml:space="preserve">1.</w:t>
      </w:r>
      <w:r>
        <w:rPr>
          <w:rFonts w:hint="eastAsia" w:ascii="宋体" w:hAnsi="宋体" w:cs="宋体"/>
          <w:color w:val="auto"/>
          <w:sz w:val="28"/>
          <w:szCs w:val="28"/>
          <w:highlight w:val="none"/>
          <w:u w:val="single"/>
          <w:lang w:bidi="zh-CN"/>
        </w:rPr>
        <w:t xml:space="preserve"> （标的名称）</w:t>
      </w:r>
      <w:r>
        <w:rPr>
          <w:rFonts w:hint="eastAsia" w:ascii="宋体" w:hAnsi="宋体" w:cs="宋体"/>
          <w:color w:val="auto"/>
          <w:sz w:val="28"/>
          <w:szCs w:val="28"/>
          <w:highlight w:val="none"/>
          <w:lang w:bidi="zh-CN"/>
        </w:rPr>
        <w:t xml:space="preserve"> ，属于</w:t>
      </w:r>
      <w:r>
        <w:rPr>
          <w:rFonts w:hint="eastAsia" w:ascii="宋体" w:hAnsi="宋体" w:cs="宋体"/>
          <w:color w:val="auto"/>
          <w:sz w:val="28"/>
          <w:szCs w:val="28"/>
          <w:highlight w:val="none"/>
          <w:u w:val="single"/>
          <w:lang w:bidi="zh-CN"/>
        </w:rPr>
        <w:t xml:space="preserve">（采购文件中明确的所属行业）</w:t>
      </w:r>
      <w:r>
        <w:rPr>
          <w:rFonts w:hint="eastAsia" w:ascii="宋体" w:hAnsi="宋体" w:cs="宋体"/>
          <w:color w:val="auto"/>
          <w:sz w:val="28"/>
          <w:szCs w:val="28"/>
          <w:highlight w:val="none"/>
          <w:lang w:bidi="zh-CN"/>
        </w:rPr>
        <w:t xml:space="preserve">行业；制造商为</w:t>
      </w:r>
      <w:r>
        <w:rPr>
          <w:rFonts w:hint="eastAsia" w:ascii="宋体" w:hAnsi="宋体" w:cs="宋体"/>
          <w:color w:val="auto"/>
          <w:sz w:val="28"/>
          <w:szCs w:val="28"/>
          <w:highlight w:val="none"/>
          <w:u w:val="single"/>
          <w:lang w:bidi="zh-CN"/>
        </w:rPr>
        <w:t xml:space="preserve">（企业名称）</w:t>
      </w:r>
      <w:r>
        <w:rPr>
          <w:rFonts w:hint="eastAsia" w:ascii="宋体" w:hAnsi="宋体" w:cs="宋体"/>
          <w:color w:val="auto"/>
          <w:sz w:val="28"/>
          <w:szCs w:val="28"/>
          <w:highlight w:val="none"/>
          <w:lang w:bidi="zh-CN"/>
        </w:rPr>
        <w:t xml:space="preserve">，从业人员</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人，营业收入为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万元，资产总额为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万元，属于</w:t>
      </w:r>
      <w:r>
        <w:rPr>
          <w:rFonts w:hint="eastAsia" w:ascii="宋体" w:hAnsi="宋体" w:cs="宋体"/>
          <w:color w:val="auto"/>
          <w:sz w:val="28"/>
          <w:szCs w:val="28"/>
          <w:highlight w:val="none"/>
          <w:u w:val="single"/>
          <w:lang w:bidi="zh-CN"/>
        </w:rPr>
        <w:t xml:space="preserve">（中型企业、小型企业、微型企业）</w:t>
      </w:r>
      <w:r>
        <w:rPr>
          <w:rFonts w:hint="eastAsia" w:ascii="宋体" w:hAnsi="宋体" w:cs="宋体"/>
          <w:color w:val="auto"/>
          <w:sz w:val="28"/>
          <w:szCs w:val="28"/>
          <w:highlight w:val="none"/>
          <w:lang w:bidi="zh-CN"/>
        </w:rPr>
        <w:t xml:space="preserve">；</w:t>
      </w:r>
      <w:r>
        <w:rPr>
          <w:rFonts w:hint="eastAsia" w:ascii="宋体" w:hAnsi="宋体" w:cs="宋体"/>
          <w:color w:val="auto"/>
          <w:sz w:val="28"/>
          <w:szCs w:val="28"/>
          <w:highlight w:val="none"/>
          <w:lang w:bidi="zh-CN"/>
        </w:rPr>
      </w:r>
      <w:r>
        <w:rPr>
          <w:color w:val="auto"/>
          <w:highlight w:val="none"/>
        </w:rPr>
      </w:r>
    </w:p>
    <w:p>
      <w:pPr>
        <w:pStyle w:val="863"/>
        <w:spacing w:line="360" w:lineRule="auto"/>
        <w:rPr>
          <w:rFonts w:ascii="宋体" w:hAnsi="宋体" w:cs="宋体"/>
          <w:color w:val="auto"/>
          <w:sz w:val="28"/>
          <w:szCs w:val="28"/>
          <w:highlight w:val="none"/>
        </w:rPr>
        <w:outlineLvl w:val="0"/>
      </w:pPr>
      <w:r>
        <w:rPr>
          <w:rFonts w:hint="eastAsia" w:ascii="宋体" w:hAnsi="宋体" w:cs="宋体"/>
          <w:color w:val="auto"/>
          <w:sz w:val="28"/>
          <w:szCs w:val="28"/>
          <w:highlight w:val="none"/>
          <w:lang w:bidi="zh-CN"/>
        </w:rPr>
        <w:t xml:space="preserve">2.</w:t>
      </w:r>
      <w:r>
        <w:rPr>
          <w:rFonts w:hint="eastAsia" w:ascii="宋体" w:hAnsi="宋体" w:cs="宋体"/>
          <w:i/>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 xml:space="preserve">（标的名称） </w:t>
      </w:r>
      <w:r>
        <w:rPr>
          <w:rFonts w:hint="eastAsia" w:ascii="宋体" w:hAnsi="宋体" w:cs="宋体"/>
          <w:color w:val="auto"/>
          <w:sz w:val="28"/>
          <w:szCs w:val="28"/>
          <w:highlight w:val="none"/>
          <w:lang w:bidi="zh-CN"/>
        </w:rPr>
        <w:t xml:space="preserve">，属于</w:t>
      </w:r>
      <w:r>
        <w:rPr>
          <w:rFonts w:hint="eastAsia" w:ascii="宋体" w:hAnsi="宋体" w:cs="宋体"/>
          <w:color w:val="auto"/>
          <w:sz w:val="28"/>
          <w:szCs w:val="28"/>
          <w:highlight w:val="none"/>
          <w:u w:val="single"/>
          <w:lang w:bidi="zh-CN"/>
        </w:rPr>
        <w:t xml:space="preserve">（采购文件中明确的所属行业）</w:t>
      </w:r>
      <w:r>
        <w:rPr>
          <w:rFonts w:hint="eastAsia" w:ascii="宋体" w:hAnsi="宋体" w:cs="宋体"/>
          <w:color w:val="auto"/>
          <w:sz w:val="28"/>
          <w:szCs w:val="28"/>
          <w:highlight w:val="none"/>
          <w:lang w:bidi="zh-CN"/>
        </w:rPr>
        <w:t xml:space="preserve">行业；制造商为</w:t>
      </w:r>
      <w:r>
        <w:rPr>
          <w:rFonts w:hint="eastAsia" w:ascii="宋体" w:hAnsi="宋体" w:cs="宋体"/>
          <w:color w:val="auto"/>
          <w:sz w:val="28"/>
          <w:szCs w:val="28"/>
          <w:highlight w:val="none"/>
          <w:u w:val="single"/>
          <w:lang w:bidi="zh-CN"/>
        </w:rPr>
        <w:t xml:space="preserve">（企业名称）</w:t>
      </w:r>
      <w:r>
        <w:rPr>
          <w:rFonts w:hint="eastAsia" w:ascii="宋体" w:hAnsi="宋体" w:cs="宋体"/>
          <w:color w:val="auto"/>
          <w:sz w:val="28"/>
          <w:szCs w:val="28"/>
          <w:highlight w:val="none"/>
          <w:lang w:bidi="zh-CN"/>
        </w:rPr>
        <w:t xml:space="preserve">，从业人员</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人，营业收入为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万元，资产总额为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万元，属于</w:t>
      </w:r>
      <w:r>
        <w:rPr>
          <w:rFonts w:hint="eastAsia" w:ascii="宋体" w:hAnsi="宋体" w:cs="宋体"/>
          <w:color w:val="auto"/>
          <w:sz w:val="28"/>
          <w:szCs w:val="28"/>
          <w:highlight w:val="none"/>
          <w:u w:val="single"/>
          <w:lang w:bidi="zh-CN"/>
        </w:rPr>
        <w:t xml:space="preserve">（中型企业、小型企业、微型企业）</w:t>
      </w:r>
      <w:r>
        <w:rPr>
          <w:rFonts w:hint="eastAsia" w:ascii="宋体" w:hAnsi="宋体" w:cs="宋体"/>
          <w:color w:val="auto"/>
          <w:sz w:val="28"/>
          <w:szCs w:val="28"/>
          <w:highlight w:val="none"/>
          <w:lang w:bidi="zh-CN"/>
        </w:rPr>
        <w:t xml:space="preserve">；</w:t>
      </w:r>
      <w:r>
        <w:rPr>
          <w:rFonts w:ascii="宋体" w:hAnsi="宋体" w:cs="宋体"/>
          <w:color w:val="auto"/>
          <w:sz w:val="28"/>
          <w:szCs w:val="28"/>
          <w:highlight w:val="none"/>
          <w:lang w:bidi="zh-CN"/>
        </w:rPr>
      </w:r>
      <w:r>
        <w:rPr>
          <w:color w:val="auto"/>
          <w:highlight w:val="none"/>
        </w:rPr>
      </w:r>
    </w:p>
    <w:p>
      <w:pPr>
        <w:pStyle w:val="863"/>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lang w:bidi="zh-CN"/>
        </w:rPr>
        <w:t xml:space="preserve">以上企业，不属于大企业的分支机构，不存在控股股东为大企业的情形，也不存在与大企业的负责人为同一人的情形。</w:t>
      </w:r>
      <w:r>
        <w:rPr>
          <w:rFonts w:hint="eastAsia" w:ascii="宋体" w:hAnsi="宋体" w:cs="宋体"/>
          <w:color w:val="auto"/>
          <w:sz w:val="28"/>
          <w:szCs w:val="28"/>
          <w:highlight w:val="none"/>
          <w:lang w:bidi="zh-CN"/>
        </w:rPr>
      </w:r>
      <w:r>
        <w:rPr>
          <w:color w:val="auto"/>
          <w:highlight w:val="none"/>
        </w:rPr>
      </w:r>
    </w:p>
    <w:p>
      <w:pPr>
        <w:pStyle w:val="863"/>
        <w:ind w:firstLine="560"/>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lang w:bidi="zh-CN"/>
        </w:rPr>
        <w:t xml:space="preserve">本企业对上述声明内容的真实性负责。如有虚假，将依法承担相应责任。</w:t>
      </w:r>
      <w:r>
        <w:rPr>
          <w:rFonts w:hint="eastAsia" w:ascii="宋体" w:hAnsi="宋体" w:cs="宋体"/>
          <w:color w:val="auto"/>
          <w:sz w:val="28"/>
          <w:szCs w:val="28"/>
          <w:highlight w:val="none"/>
          <w:lang w:bidi="zh-CN"/>
        </w:rPr>
      </w:r>
      <w:r>
        <w:rPr>
          <w:color w:val="auto"/>
          <w:highlight w:val="none"/>
        </w:rPr>
      </w:r>
    </w:p>
    <w:p>
      <w:pPr>
        <w:pStyle w:val="875"/>
        <w:rPr>
          <w:rFonts w:hint="eastAsia"/>
          <w:color w:val="auto"/>
          <w:highlight w:val="none"/>
        </w:rPr>
      </w:pPr>
      <w:r>
        <w:rPr>
          <w:rFonts w:hint="eastAsia"/>
          <w:color w:val="auto"/>
          <w:highlight w:val="none"/>
          <w:lang w:bidi="zh-CN"/>
        </w:rPr>
      </w:r>
      <w:r>
        <w:rPr>
          <w:color w:val="auto"/>
          <w:highlight w:val="none"/>
        </w:rPr>
      </w:r>
    </w:p>
    <w:p>
      <w:pPr>
        <w:pStyle w:val="875"/>
        <w:rPr>
          <w:rFonts w:hint="eastAsia"/>
          <w:color w:val="auto"/>
          <w:highlight w:val="none"/>
        </w:rPr>
      </w:pPr>
      <w:r>
        <w:rPr>
          <w:rFonts w:hint="eastAsia"/>
          <w:color w:val="auto"/>
          <w:highlight w:val="none"/>
          <w:lang w:bidi="zh-CN"/>
        </w:rPr>
      </w:r>
      <w:r>
        <w:rPr>
          <w:color w:val="auto"/>
          <w:highlight w:val="none"/>
        </w:rPr>
      </w:r>
    </w:p>
    <w:p>
      <w:pPr>
        <w:pStyle w:val="863"/>
        <w:jc w:val="left"/>
        <w:widowControl/>
        <w:rPr>
          <w:color w:val="auto"/>
          <w:sz w:val="22"/>
          <w:szCs w:val="28"/>
          <w:highlight w:val="none"/>
        </w:rPr>
      </w:pPr>
      <w:r>
        <w:rPr>
          <w:rFonts w:hint="eastAsia" w:ascii="宋体" w:hAnsi="宋体" w:cs="宋体"/>
          <w:color w:val="auto"/>
          <w:szCs w:val="21"/>
          <w:highlight w:val="none"/>
          <w:lang w:bidi="ar"/>
        </w:rPr>
        <w:t xml:space="preserve">注：1.如项目属性为“服务”或“工程”，请按本表填写。 </w:t>
      </w:r>
      <w:r>
        <w:rPr>
          <w:color w:val="auto"/>
          <w:sz w:val="22"/>
          <w:szCs w:val="28"/>
          <w:highlight w:val="none"/>
        </w:rPr>
      </w:r>
      <w:r>
        <w:rPr>
          <w:color w:val="auto"/>
          <w:highlight w:val="none"/>
        </w:rPr>
      </w:r>
    </w:p>
    <w:p>
      <w:pPr>
        <w:pStyle w:val="863"/>
        <w:ind w:firstLine="420"/>
        <w:jc w:val="left"/>
        <w:widowControl/>
        <w:rPr>
          <w:color w:val="auto"/>
          <w:sz w:val="22"/>
          <w:szCs w:val="28"/>
          <w:highlight w:val="none"/>
        </w:rPr>
      </w:pPr>
      <w:r>
        <w:rPr>
          <w:rFonts w:hint="eastAsia" w:ascii="宋体" w:hAnsi="宋体" w:cs="宋体"/>
          <w:color w:val="auto"/>
          <w:szCs w:val="21"/>
          <w:highlight w:val="none"/>
          <w:lang w:bidi="ar"/>
        </w:rPr>
        <w:t xml:space="preserve">2.从业人员、营业收入、资产总额填报上一年度数据，无上一年度数据的新成立企业可不填报。 </w:t>
      </w:r>
      <w:r>
        <w:rPr>
          <w:color w:val="auto"/>
          <w:sz w:val="22"/>
          <w:szCs w:val="28"/>
          <w:highlight w:val="none"/>
        </w:rPr>
      </w:r>
      <w:r>
        <w:rPr>
          <w:color w:val="auto"/>
          <w:highlight w:val="none"/>
        </w:rPr>
      </w:r>
    </w:p>
    <w:p>
      <w:pPr>
        <w:pStyle w:val="863"/>
        <w:ind w:firstLine="420"/>
        <w:jc w:val="left"/>
        <w:widowControl/>
        <w:rPr>
          <w:color w:val="auto"/>
          <w:sz w:val="22"/>
          <w:szCs w:val="28"/>
          <w:highlight w:val="none"/>
        </w:rPr>
      </w:pPr>
      <w:r>
        <w:rPr>
          <w:rFonts w:hint="eastAsia" w:ascii="宋体" w:hAnsi="宋体" w:cs="宋体"/>
          <w:color w:val="auto"/>
          <w:szCs w:val="21"/>
          <w:highlight w:val="none"/>
          <w:lang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color w:val="auto"/>
          <w:sz w:val="22"/>
          <w:szCs w:val="28"/>
          <w:highlight w:val="none"/>
        </w:rPr>
      </w:r>
      <w:r>
        <w:rPr>
          <w:color w:val="auto"/>
          <w:highlight w:val="none"/>
        </w:rPr>
      </w:r>
    </w:p>
    <w:p>
      <w:pPr>
        <w:pStyle w:val="875"/>
        <w:rPr>
          <w:rFonts w:hint="eastAsia"/>
          <w:color w:val="auto"/>
          <w:highlight w:val="none"/>
        </w:rPr>
      </w:pPr>
      <w:r>
        <w:rPr>
          <w:rFonts w:hint="eastAsia"/>
          <w:color w:val="auto"/>
          <w:highlight w:val="none"/>
          <w:lang w:bidi="zh-CN"/>
        </w:rPr>
      </w:r>
      <w:r>
        <w:rPr>
          <w:color w:val="auto"/>
          <w:highlight w:val="none"/>
        </w:rPr>
      </w:r>
    </w:p>
    <w:p>
      <w:pPr>
        <w:pStyle w:val="875"/>
        <w:rPr>
          <w:rFonts w:hint="eastAsia"/>
          <w:color w:val="auto"/>
          <w:highlight w:val="none"/>
        </w:rPr>
      </w:pPr>
      <w:r>
        <w:rPr>
          <w:rFonts w:hint="eastAsia"/>
          <w:color w:val="auto"/>
          <w:highlight w:val="none"/>
          <w:lang w:bidi="zh-CN"/>
        </w:rPr>
      </w:r>
      <w:r>
        <w:rPr>
          <w:color w:val="auto"/>
          <w:highlight w:val="none"/>
        </w:rPr>
      </w:r>
    </w:p>
    <w:p>
      <w:pPr>
        <w:pStyle w:val="863"/>
        <w:jc w:val="cente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lang w:bidi="zh-CN"/>
        </w:rPr>
        <w:t xml:space="preserve">                      企业名称（盖章）：</w:t>
      </w:r>
      <w:r>
        <w:rPr>
          <w:rFonts w:hint="eastAsia" w:ascii="宋体" w:hAnsi="宋体" w:cs="宋体"/>
          <w:color w:val="auto"/>
          <w:sz w:val="28"/>
          <w:szCs w:val="28"/>
          <w:highlight w:val="none"/>
          <w:lang w:bidi="zh-CN"/>
        </w:rPr>
      </w:r>
      <w:r>
        <w:rPr>
          <w:color w:val="auto"/>
          <w:highlight w:val="none"/>
        </w:rPr>
      </w:r>
    </w:p>
    <w:p>
      <w:pPr>
        <w:pStyle w:val="863"/>
        <w:jc w:val="cente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lang w:bidi="zh-CN"/>
        </w:rPr>
        <w:t xml:space="preserve">          日期：</w:t>
      </w:r>
      <w:r>
        <w:rPr>
          <w:rFonts w:hint="eastAsia" w:ascii="宋体" w:hAnsi="宋体" w:cs="宋体"/>
          <w:color w:val="auto"/>
          <w:sz w:val="28"/>
          <w:szCs w:val="28"/>
          <w:highlight w:val="none"/>
          <w:lang w:bidi="zh-CN"/>
        </w:rPr>
      </w:r>
      <w:r>
        <w:rPr>
          <w:color w:val="auto"/>
          <w:highlight w:val="none"/>
        </w:rPr>
      </w:r>
    </w:p>
    <w:p>
      <w:pPr>
        <w:pStyle w:val="877"/>
        <w:rPr>
          <w:color w:val="auto"/>
          <w:highlight w:val="none"/>
        </w:rPr>
      </w:pPr>
      <w:r>
        <w:rPr>
          <w:color w:val="auto"/>
          <w:highlight w:val="none"/>
        </w:rPr>
      </w:r>
      <w:r>
        <w:rPr>
          <w:color w:val="auto"/>
          <w:highlight w:val="none"/>
        </w:rPr>
      </w:r>
    </w:p>
    <w:p>
      <w:pPr>
        <w:pStyle w:val="863"/>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附件</w:t>
      </w:r>
      <w:r>
        <w:rPr>
          <w:rFonts w:ascii="宋体" w:hAnsi="宋体" w:cs="宋体"/>
          <w:color w:val="auto"/>
          <w:sz w:val="32"/>
          <w:szCs w:val="32"/>
          <w:highlight w:val="none"/>
        </w:rPr>
        <w:t xml:space="preserve">9</w:t>
      </w:r>
      <w:r>
        <w:rPr>
          <w:rFonts w:hint="eastAsia" w:ascii="宋体" w:hAnsi="宋体" w:cs="宋体"/>
          <w:color w:val="auto"/>
          <w:sz w:val="32"/>
          <w:szCs w:val="32"/>
          <w:highlight w:val="none"/>
        </w:rPr>
      </w:r>
      <w:r>
        <w:rPr>
          <w:color w:val="auto"/>
          <w:highlight w:val="none"/>
        </w:rPr>
      </w:r>
    </w:p>
    <w:p>
      <w:pPr>
        <w:pStyle w:val="863"/>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rPr>
          <w:rFonts w:hint="eastAsia" w:ascii="宋体" w:hAnsi="宋体" w:cs="宋体"/>
          <w:b/>
          <w:color w:val="auto"/>
          <w:sz w:val="32"/>
          <w:szCs w:val="32"/>
          <w:highlight w:val="none"/>
        </w:rPr>
      </w:r>
      <w:r>
        <w:rPr>
          <w:color w:val="auto"/>
          <w:highlight w:val="none"/>
        </w:rPr>
      </w:r>
    </w:p>
    <w:p>
      <w:pPr>
        <w:pStyle w:val="863"/>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auto"/>
          <w:sz w:val="28"/>
          <w:szCs w:val="28"/>
          <w:highlight w:val="none"/>
        </w:rPr>
      </w:r>
      <w:r>
        <w:rPr>
          <w:color w:val="auto"/>
          <w:highlight w:val="none"/>
        </w:rPr>
      </w:r>
    </w:p>
    <w:p>
      <w:pPr>
        <w:pStyle w:val="863"/>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rPr>
          <w:rFonts w:ascii="宋体" w:hAnsi="宋体" w:cs="宋体"/>
          <w:color w:val="auto"/>
          <w:sz w:val="28"/>
          <w:szCs w:val="28"/>
          <w:highlight w:val="none"/>
        </w:rPr>
      </w:r>
      <w:r>
        <w:rPr>
          <w:color w:val="auto"/>
          <w:highlight w:val="none"/>
        </w:rPr>
      </w:r>
    </w:p>
    <w:p>
      <w:pPr>
        <w:pStyle w:val="875"/>
        <w:rPr>
          <w:rFonts w:hint="eastAsia"/>
          <w:color w:val="auto"/>
          <w:highlight w:val="none"/>
        </w:rPr>
      </w:pPr>
      <w:r>
        <w:rPr>
          <w:rFonts w:hint="eastAsia"/>
          <w:color w:val="auto"/>
          <w:highlight w:val="none"/>
        </w:rPr>
      </w:r>
      <w:r>
        <w:rPr>
          <w:color w:val="auto"/>
          <w:highlight w:val="none"/>
        </w:rPr>
      </w:r>
    </w:p>
    <w:p>
      <w:pPr>
        <w:pStyle w:val="863"/>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注：1.供应商如不提供此声明函，价格将不做相应扣除。 </w:t>
      </w:r>
      <w:r>
        <w:rPr>
          <w:rFonts w:hint="eastAsia" w:ascii="宋体" w:hAnsi="宋体" w:cs="宋体"/>
          <w:color w:val="auto"/>
          <w:sz w:val="28"/>
          <w:szCs w:val="28"/>
          <w:highlight w:val="none"/>
        </w:rPr>
      </w:r>
      <w:r>
        <w:rPr>
          <w:color w:val="auto"/>
          <w:highlight w:val="none"/>
        </w:rPr>
      </w:r>
    </w:p>
    <w:p>
      <w:pPr>
        <w:pStyle w:val="863"/>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color w:val="auto"/>
          <w:sz w:val="28"/>
          <w:szCs w:val="28"/>
          <w:highlight w:val="none"/>
        </w:rPr>
      </w:r>
      <w:r>
        <w:rPr>
          <w:color w:val="auto"/>
          <w:highlight w:val="none"/>
        </w:rPr>
      </w:r>
    </w:p>
    <w:p>
      <w:pPr>
        <w:pStyle w:val="863"/>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rPr>
          <w:color w:val="auto"/>
          <w:highlight w:val="none"/>
        </w:rPr>
      </w:r>
    </w:p>
    <w:p>
      <w:pPr>
        <w:pStyle w:val="863"/>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rPr>
          <w:color w:val="auto"/>
          <w:highlight w:val="none"/>
        </w:rPr>
      </w:r>
    </w:p>
    <w:p>
      <w:pPr>
        <w:pStyle w:val="863"/>
        <w:ind w:right="1560" w:firstLine="584"/>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           供应商全称（盖章）：</w:t>
      </w:r>
      <w:r>
        <w:rPr>
          <w:rFonts w:hint="eastAsia" w:ascii="宋体" w:hAnsi="宋体" w:cs="宋体"/>
          <w:color w:val="auto"/>
          <w:sz w:val="28"/>
          <w:szCs w:val="28"/>
          <w:highlight w:val="none"/>
        </w:rPr>
      </w:r>
      <w:r>
        <w:rPr>
          <w:color w:val="auto"/>
          <w:highlight w:val="none"/>
        </w:rPr>
      </w:r>
    </w:p>
    <w:p>
      <w:pPr>
        <w:pStyle w:val="863"/>
        <w:ind w:right="1560" w:firstLine="560"/>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w:t>
      </w:r>
      <w:r>
        <w:rPr>
          <w:rFonts w:hint="eastAsia" w:ascii="宋体" w:hAnsi="宋体" w:cs="宋体"/>
          <w:color w:val="auto"/>
          <w:sz w:val="28"/>
          <w:szCs w:val="28"/>
          <w:highlight w:val="none"/>
        </w:rPr>
      </w:r>
      <w:r>
        <w:rPr>
          <w:color w:val="auto"/>
          <w:highlight w:val="none"/>
        </w:rPr>
      </w:r>
    </w:p>
    <w:p>
      <w:pPr>
        <w:pStyle w:val="863"/>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附件1</w:t>
      </w:r>
      <w:r>
        <w:rPr>
          <w:rFonts w:ascii="宋体" w:hAnsi="宋体" w:cs="宋体"/>
          <w:color w:val="auto"/>
          <w:sz w:val="32"/>
          <w:szCs w:val="32"/>
          <w:highlight w:val="none"/>
        </w:rPr>
        <w:t xml:space="preserve">0</w:t>
      </w:r>
      <w:r>
        <w:rPr>
          <w:rFonts w:hint="eastAsia" w:ascii="宋体" w:hAnsi="宋体" w:cs="宋体"/>
          <w:color w:val="auto"/>
          <w:sz w:val="32"/>
          <w:szCs w:val="32"/>
          <w:highlight w:val="none"/>
        </w:rPr>
      </w:r>
      <w:r>
        <w:rPr>
          <w:color w:val="auto"/>
          <w:highlight w:val="none"/>
        </w:rPr>
      </w:r>
    </w:p>
    <w:p>
      <w:pPr>
        <w:pStyle w:val="863"/>
        <w:jc w:val="center"/>
        <w:spacing w:line="420" w:lineRule="exact"/>
        <w:rPr>
          <w:rFonts w:hint="eastAsia"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rPr>
          <w:rFonts w:hint="eastAsia" w:ascii="宋体" w:hAnsi="宋体" w:cs="宋体"/>
          <w:b/>
          <w:bCs/>
          <w:color w:val="auto"/>
          <w:sz w:val="32"/>
          <w:szCs w:val="32"/>
          <w:highlight w:val="none"/>
        </w:rPr>
      </w:r>
      <w:r>
        <w:rPr>
          <w:color w:val="auto"/>
          <w:highlight w:val="none"/>
        </w:rPr>
      </w:r>
    </w:p>
    <w:p>
      <w:pPr>
        <w:pStyle w:val="863"/>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p>
    <w:p>
      <w:pPr>
        <w:pStyle w:val="863"/>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rPr>
          <w:rFonts w:hint="eastAsia" w:ascii="宋体" w:hAnsi="宋体" w:cs="宋体"/>
          <w:b/>
          <w:color w:val="auto"/>
          <w:sz w:val="28"/>
          <w:szCs w:val="28"/>
          <w:highlight w:val="none"/>
        </w:rPr>
      </w:r>
      <w:r>
        <w:rPr>
          <w:color w:val="auto"/>
          <w:highlight w:val="none"/>
        </w:rPr>
      </w:r>
    </w:p>
    <w:p>
      <w:pPr>
        <w:pStyle w:val="863"/>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p>
    <w:p>
      <w:pPr>
        <w:pStyle w:val="863"/>
        <w:ind w:firstLine="6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注：1.供应商如不提供此声明函，价格将不做相应扣除。 </w:t>
      </w:r>
      <w:r>
        <w:rPr>
          <w:rFonts w:hint="eastAsia" w:ascii="宋体" w:hAnsi="宋体" w:cs="宋体"/>
          <w:color w:val="auto"/>
          <w:sz w:val="28"/>
          <w:szCs w:val="28"/>
          <w:highlight w:val="none"/>
        </w:rPr>
      </w:r>
      <w:r>
        <w:rPr>
          <w:color w:val="auto"/>
          <w:highlight w:val="none"/>
        </w:rPr>
      </w:r>
    </w:p>
    <w:p>
      <w:pPr>
        <w:pStyle w:val="863"/>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rPr>
          <w:color w:val="auto"/>
          <w:highlight w:val="none"/>
        </w:rPr>
      </w:r>
    </w:p>
    <w:p>
      <w:pPr>
        <w:pStyle w:val="863"/>
        <w:rPr>
          <w:rFonts w:hint="eastAsia" w:ascii="宋体" w:hAnsi="宋体" w:cs="宋体"/>
          <w:bCs/>
          <w:color w:val="auto"/>
          <w:sz w:val="32"/>
          <w:szCs w:val="32"/>
          <w:highlight w:val="none"/>
        </w:rPr>
      </w:pPr>
      <w:r>
        <w:rPr>
          <w:rFonts w:hint="eastAsia" w:ascii="宋体" w:hAnsi="宋体" w:cs="宋体"/>
          <w:bCs/>
          <w:color w:val="auto"/>
          <w:sz w:val="32"/>
          <w:szCs w:val="32"/>
          <w:highlight w:val="none"/>
          <w:lang w:bidi="ar"/>
        </w:rPr>
        <w:br w:type="page" w:clear="all"/>
      </w:r>
      <w:r>
        <w:rPr>
          <w:rFonts w:hint="eastAsia" w:ascii="宋体" w:hAnsi="宋体" w:cs="宋体"/>
          <w:bCs/>
          <w:color w:val="auto"/>
          <w:sz w:val="32"/>
          <w:szCs w:val="32"/>
          <w:highlight w:val="none"/>
          <w:lang w:bidi="ar"/>
        </w:rPr>
        <w:t xml:space="preserve">附件1</w:t>
      </w:r>
      <w:r>
        <w:rPr>
          <w:rFonts w:ascii="宋体" w:hAnsi="宋体" w:cs="宋体"/>
          <w:bCs/>
          <w:color w:val="auto"/>
          <w:sz w:val="32"/>
          <w:szCs w:val="32"/>
          <w:highlight w:val="none"/>
          <w:lang w:bidi="ar"/>
        </w:rPr>
        <w:t xml:space="preserve">1</w:t>
      </w:r>
      <w:r>
        <w:rPr>
          <w:rFonts w:hint="eastAsia" w:ascii="宋体" w:hAnsi="宋体" w:cs="宋体"/>
          <w:bCs/>
          <w:color w:val="auto"/>
          <w:sz w:val="32"/>
          <w:szCs w:val="32"/>
          <w:highlight w:val="none"/>
          <w:lang w:bidi="ar"/>
        </w:rPr>
      </w:r>
      <w:r>
        <w:rPr>
          <w:color w:val="auto"/>
          <w:highlight w:val="none"/>
        </w:rPr>
      </w:r>
    </w:p>
    <w:p>
      <w:pPr>
        <w:pStyle w:val="863"/>
        <w:jc w:val="center"/>
        <w:spacing w:before="240" w:line="312"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供应商信用承诺书</w:t>
      </w:r>
      <w:r>
        <w:rPr>
          <w:rFonts w:hint="eastAsia" w:ascii="宋体" w:hAnsi="宋体" w:cs="宋体"/>
          <w:b/>
          <w:color w:val="auto"/>
          <w:sz w:val="32"/>
          <w:szCs w:val="32"/>
          <w:highlight w:val="none"/>
          <w:lang w:bidi="ar"/>
        </w:rPr>
      </w:r>
      <w:r>
        <w:rPr>
          <w:color w:val="auto"/>
          <w:highlight w:val="none"/>
        </w:rPr>
      </w:r>
    </w:p>
    <w:p>
      <w:pPr>
        <w:pStyle w:val="8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bidi="ar"/>
        </w:rPr>
        <w:t xml:space="preserve">为营造公开、公平、公正的公共资源交易环境，树立诚信守法的投标人形象，本人代表本单位作出以下承诺：</w:t>
      </w:r>
      <w:r>
        <w:rPr>
          <w:rFonts w:hint="eastAsia" w:ascii="宋体" w:hAnsi="宋体" w:cs="宋体"/>
          <w:color w:val="auto"/>
          <w:sz w:val="24"/>
          <w:highlight w:val="none"/>
          <w:lang w:val="zh-CN"/>
        </w:rPr>
      </w:r>
      <w:r>
        <w:rPr>
          <w:color w:val="auto"/>
          <w:highlight w:val="none"/>
        </w:rPr>
      </w:r>
    </w:p>
    <w:p>
      <w:pPr>
        <w:pStyle w:val="8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auto"/>
          <w:sz w:val="24"/>
          <w:highlight w:val="none"/>
          <w:lang w:val="zh-CN"/>
        </w:rPr>
      </w:r>
      <w:r>
        <w:rPr>
          <w:color w:val="auto"/>
          <w:highlight w:val="none"/>
        </w:rPr>
      </w:r>
    </w:p>
    <w:p>
      <w:pPr>
        <w:pStyle w:val="8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color w:val="auto"/>
          <w:sz w:val="24"/>
          <w:highlight w:val="none"/>
          <w:lang w:val="zh-CN"/>
        </w:rPr>
      </w:r>
      <w:r>
        <w:rPr>
          <w:color w:val="auto"/>
          <w:highlight w:val="none"/>
        </w:rPr>
      </w:r>
    </w:p>
    <w:p>
      <w:pPr>
        <w:pStyle w:val="8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bidi="ar"/>
        </w:rPr>
        <w:t xml:space="preserve">三、严格遵守即时信息公示规定，及时更新公共资源交易中心主体信息库中信息；</w:t>
      </w:r>
      <w:r>
        <w:rPr>
          <w:rFonts w:hint="eastAsia" w:ascii="宋体" w:hAnsi="宋体" w:cs="宋体"/>
          <w:color w:val="auto"/>
          <w:sz w:val="24"/>
          <w:highlight w:val="none"/>
          <w:lang w:val="zh-CN"/>
        </w:rPr>
      </w:r>
      <w:r>
        <w:rPr>
          <w:color w:val="auto"/>
          <w:highlight w:val="none"/>
        </w:rPr>
      </w:r>
    </w:p>
    <w:p>
      <w:pPr>
        <w:pStyle w:val="8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auto"/>
          <w:sz w:val="24"/>
          <w:highlight w:val="none"/>
          <w:lang w:val="zh-CN"/>
        </w:rPr>
      </w:r>
      <w:r>
        <w:rPr>
          <w:color w:val="auto"/>
          <w:highlight w:val="none"/>
        </w:rPr>
      </w:r>
    </w:p>
    <w:p>
      <w:pPr>
        <w:pStyle w:val="8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color w:val="auto"/>
          <w:sz w:val="24"/>
          <w:highlight w:val="none"/>
          <w:lang w:val="zh-CN"/>
        </w:rPr>
      </w:r>
      <w:r>
        <w:rPr>
          <w:color w:val="auto"/>
          <w:highlight w:val="none"/>
        </w:rPr>
      </w:r>
    </w:p>
    <w:p>
      <w:pPr>
        <w:pStyle w:val="8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bidi="ar"/>
        </w:rPr>
        <w:t xml:space="preserve">六、自觉接受政府部门、行业组织、社会公众、新闻舆论等监督；</w:t>
      </w:r>
      <w:r>
        <w:rPr>
          <w:rFonts w:hint="eastAsia" w:ascii="宋体" w:hAnsi="宋体" w:cs="宋体"/>
          <w:color w:val="auto"/>
          <w:sz w:val="24"/>
          <w:highlight w:val="none"/>
          <w:lang w:val="zh-CN"/>
        </w:rPr>
      </w:r>
      <w:r>
        <w:rPr>
          <w:color w:val="auto"/>
          <w:highlight w:val="none"/>
        </w:rPr>
      </w:r>
    </w:p>
    <w:p>
      <w:pPr>
        <w:pStyle w:val="8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bidi="ar"/>
        </w:rPr>
        <w:t xml:space="preserve">七、上述承诺已向本单位员工作了宣传教育；</w:t>
      </w:r>
      <w:r>
        <w:rPr>
          <w:rFonts w:hint="eastAsia" w:ascii="宋体" w:hAnsi="宋体" w:cs="宋体"/>
          <w:color w:val="auto"/>
          <w:sz w:val="24"/>
          <w:highlight w:val="none"/>
          <w:lang w:val="zh-CN"/>
        </w:rPr>
      </w:r>
      <w:r>
        <w:rPr>
          <w:color w:val="auto"/>
          <w:highlight w:val="none"/>
        </w:rPr>
      </w:r>
    </w:p>
    <w:p>
      <w:pPr>
        <w:pStyle w:val="863"/>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zh-CN" w:bidi="ar"/>
        </w:rPr>
        <w:t xml:space="preserve">如有违反上述承诺的不良行为，本单位同意将其予以上网公示。</w:t>
      </w:r>
      <w:r>
        <w:rPr>
          <w:rFonts w:hint="eastAsia" w:ascii="宋体" w:hAnsi="宋体" w:cs="宋体"/>
          <w:b/>
          <w:color w:val="auto"/>
          <w:sz w:val="24"/>
          <w:highlight w:val="none"/>
          <w:lang w:val="zh-CN"/>
        </w:rPr>
      </w:r>
      <w:r>
        <w:rPr>
          <w:color w:val="auto"/>
          <w:highlight w:val="none"/>
        </w:rPr>
      </w:r>
    </w:p>
    <w:p>
      <w:pPr>
        <w:pStyle w:val="863"/>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r>
      <w:r>
        <w:rPr>
          <w:color w:val="auto"/>
          <w:highlight w:val="none"/>
        </w:rPr>
      </w:r>
    </w:p>
    <w:p>
      <w:pPr>
        <w:pStyle w:val="863"/>
        <w:ind w:firstLine="4560"/>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r>
      <w:r>
        <w:rPr>
          <w:color w:val="auto"/>
          <w:highlight w:val="none"/>
        </w:rPr>
      </w:r>
    </w:p>
    <w:p>
      <w:pPr>
        <w:pStyle w:val="863"/>
        <w:ind w:firstLine="3080"/>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lang w:val="zh-CN" w:bidi="ar"/>
        </w:rPr>
        <w:t xml:space="preserve">投标供应商全称(盖公章)：</w:t>
      </w:r>
      <w:r>
        <w:rPr>
          <w:rFonts w:hint="eastAsia" w:ascii="宋体" w:hAnsi="宋体" w:cs="宋体"/>
          <w:color w:val="auto"/>
          <w:sz w:val="28"/>
          <w:szCs w:val="28"/>
          <w:highlight w:val="none"/>
          <w:u w:val="single"/>
          <w:lang w:val="zh-CN"/>
        </w:rPr>
      </w:r>
      <w:r>
        <w:rPr>
          <w:color w:val="auto"/>
          <w:highlight w:val="none"/>
        </w:rPr>
      </w:r>
    </w:p>
    <w:p>
      <w:pPr>
        <w:pStyle w:val="863"/>
        <w:ind w:firstLine="3080"/>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lang w:val="zh-CN" w:bidi="ar"/>
        </w:rPr>
        <w:t xml:space="preserve">法定代表人（签字或盖章）：</w:t>
      </w:r>
      <w:r>
        <w:rPr>
          <w:rFonts w:hint="eastAsia" w:ascii="宋体" w:hAnsi="宋体" w:cs="宋体"/>
          <w:color w:val="auto"/>
          <w:sz w:val="28"/>
          <w:szCs w:val="28"/>
          <w:highlight w:val="none"/>
          <w:u w:val="single"/>
          <w:lang w:val="zh-CN"/>
        </w:rPr>
      </w:r>
      <w:r>
        <w:rPr>
          <w:color w:val="auto"/>
          <w:highlight w:val="none"/>
        </w:rPr>
      </w:r>
    </w:p>
    <w:p>
      <w:pPr>
        <w:pStyle w:val="863"/>
        <w:ind w:firstLine="30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zh-CN" w:bidi="ar"/>
        </w:rPr>
        <w:t xml:space="preserve">时间：  年  月   日</w:t>
      </w:r>
      <w:r>
        <w:rPr>
          <w:rFonts w:hint="eastAsia" w:ascii="宋体" w:hAnsi="宋体" w:cs="宋体"/>
          <w:color w:val="auto"/>
          <w:sz w:val="28"/>
          <w:szCs w:val="28"/>
          <w:highlight w:val="none"/>
          <w:lang w:val="zh-CN"/>
        </w:rPr>
      </w:r>
      <w:r>
        <w:rPr>
          <w:color w:val="auto"/>
          <w:highlight w:val="none"/>
        </w:rPr>
      </w:r>
    </w:p>
    <w:p>
      <w:pPr>
        <w:pStyle w:val="863"/>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附件1</w:t>
      </w:r>
      <w:r>
        <w:rPr>
          <w:rFonts w:ascii="宋体" w:hAnsi="宋体" w:cs="宋体"/>
          <w:color w:val="auto"/>
          <w:sz w:val="32"/>
          <w:szCs w:val="32"/>
          <w:highlight w:val="none"/>
        </w:rPr>
        <w:t xml:space="preserve">2</w:t>
      </w:r>
      <w:r>
        <w:rPr>
          <w:rFonts w:hint="eastAsia" w:ascii="宋体" w:hAnsi="宋体" w:cs="宋体"/>
          <w:color w:val="auto"/>
          <w:sz w:val="32"/>
          <w:szCs w:val="32"/>
          <w:highlight w:val="none"/>
        </w:rPr>
      </w:r>
      <w:r>
        <w:rPr>
          <w:color w:val="auto"/>
          <w:highlight w:val="none"/>
        </w:rPr>
      </w:r>
    </w:p>
    <w:p>
      <w:pPr>
        <w:pStyle w:val="863"/>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质疑函范本</w:t>
      </w:r>
      <w:r>
        <w:rPr>
          <w:rFonts w:hint="eastAsia" w:ascii="宋体" w:hAnsi="宋体" w:cs="宋体"/>
          <w:bCs/>
          <w:color w:val="auto"/>
          <w:sz w:val="44"/>
          <w:szCs w:val="44"/>
          <w:highlight w:val="none"/>
        </w:rPr>
      </w:r>
      <w:r>
        <w:rPr>
          <w:color w:val="auto"/>
          <w:highlight w:val="none"/>
        </w:rPr>
      </w:r>
    </w:p>
    <w:p>
      <w:pPr>
        <w:pStyle w:val="863"/>
        <w:spacing w:before="312"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一、质疑供应商基本信息</w:t>
      </w:r>
      <w:r>
        <w:rPr>
          <w:rFonts w:hint="eastAsia" w:ascii="宋体" w:hAnsi="宋体" w:cs="宋体"/>
          <w:bCs/>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质疑供应商：</w:t>
      </w:r>
      <w:r>
        <w:rPr>
          <w:rFonts w:hint="eastAsia" w:ascii="宋体" w:hAnsi="宋体" w:cs="宋体"/>
          <w:color w:val="auto"/>
          <w:sz w:val="32"/>
          <w:szCs w:val="32"/>
          <w:highlight w:val="none"/>
          <w:u w:val="singl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地址：邮编：</w:t>
      </w:r>
      <w:r>
        <w:rPr>
          <w:rFonts w:hint="eastAsia" w:ascii="宋体" w:hAnsi="宋体" w:cs="宋体"/>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联系人：联系电话：</w:t>
      </w:r>
      <w:r>
        <w:rPr>
          <w:rFonts w:hint="eastAsia" w:ascii="宋体" w:hAnsi="宋体" w:cs="宋体"/>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授权代表：</w:t>
      </w:r>
      <w:r>
        <w:rPr>
          <w:rFonts w:hint="eastAsia" w:ascii="宋体" w:hAnsi="宋体" w:cs="宋体"/>
          <w:color w:val="auto"/>
          <w:sz w:val="32"/>
          <w:szCs w:val="32"/>
          <w:highlight w:val="none"/>
          <w:u w:val="singl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联系电话：</w:t>
      </w:r>
      <w:r>
        <w:rPr>
          <w:rFonts w:hint="eastAsia" w:ascii="宋体" w:hAnsi="宋体" w:cs="宋体"/>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地址：邮编：</w:t>
      </w:r>
      <w:r>
        <w:rPr>
          <w:rFonts w:hint="eastAsia" w:ascii="宋体" w:hAnsi="宋体" w:cs="宋体"/>
          <w:color w:val="auto"/>
          <w:sz w:val="32"/>
          <w:szCs w:val="32"/>
          <w:highlight w:val="none"/>
        </w:rPr>
      </w:r>
      <w:r>
        <w:rPr>
          <w:color w:val="auto"/>
          <w:highlight w:val="none"/>
        </w:rPr>
      </w:r>
    </w:p>
    <w:p>
      <w:pPr>
        <w:pStyle w:val="863"/>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二、质疑项目基本情况</w:t>
      </w:r>
      <w:r>
        <w:rPr>
          <w:rFonts w:hint="eastAsia" w:ascii="宋体" w:hAnsi="宋体" w:cs="宋体"/>
          <w:bCs/>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质疑项目的名称：</w:t>
      </w:r>
      <w:r>
        <w:rPr>
          <w:rFonts w:hint="eastAsia" w:ascii="宋体" w:hAnsi="宋体" w:cs="宋体"/>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质疑项目的编号：包号：</w:t>
      </w:r>
      <w:r>
        <w:rPr>
          <w:rFonts w:hint="eastAsia" w:ascii="宋体" w:hAnsi="宋体" w:cs="宋体"/>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采购人名称：</w:t>
      </w:r>
      <w:r>
        <w:rPr>
          <w:rFonts w:hint="eastAsia" w:ascii="宋体" w:hAnsi="宋体" w:cs="宋体"/>
          <w:color w:val="auto"/>
          <w:sz w:val="32"/>
          <w:szCs w:val="32"/>
          <w:highlight w:val="none"/>
          <w:u w:val="singl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采购文件获取日期：</w:t>
      </w:r>
      <w:r>
        <w:rPr>
          <w:rFonts w:hint="eastAsia" w:ascii="宋体" w:hAnsi="宋体" w:cs="宋体"/>
          <w:color w:val="auto"/>
          <w:sz w:val="32"/>
          <w:szCs w:val="32"/>
          <w:highlight w:val="none"/>
        </w:rPr>
      </w:r>
      <w:r>
        <w:rPr>
          <w:color w:val="auto"/>
          <w:highlight w:val="none"/>
        </w:rPr>
      </w:r>
    </w:p>
    <w:p>
      <w:pPr>
        <w:pStyle w:val="863"/>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三、质疑事项具体内容</w:t>
      </w:r>
      <w:r>
        <w:rPr>
          <w:rFonts w:hint="eastAsia" w:ascii="宋体" w:hAnsi="宋体" w:cs="宋体"/>
          <w:bCs/>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质疑事项1：</w:t>
      </w:r>
      <w:r>
        <w:rPr>
          <w:rFonts w:hint="eastAsia" w:ascii="宋体" w:hAnsi="宋体" w:cs="宋体"/>
          <w:color w:val="auto"/>
          <w:sz w:val="32"/>
          <w:szCs w:val="32"/>
          <w:highlight w:val="none"/>
          <w:u w:val="single"/>
        </w:rPr>
      </w:r>
      <w:r>
        <w:rPr>
          <w:color w:val="auto"/>
          <w:highlight w:val="none"/>
        </w:rPr>
      </w:r>
    </w:p>
    <w:p>
      <w:pPr>
        <w:pStyle w:val="863"/>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事实依据：</w:t>
      </w:r>
      <w:r>
        <w:rPr>
          <w:rFonts w:hint="eastAsia" w:ascii="宋体" w:hAnsi="宋体" w:cs="宋体"/>
          <w:color w:val="auto"/>
          <w:sz w:val="32"/>
          <w:szCs w:val="32"/>
          <w:highlight w:val="none"/>
          <w:u w:val="singl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法律依据：</w:t>
      </w:r>
      <w:r>
        <w:rPr>
          <w:rFonts w:hint="eastAsia" w:ascii="宋体" w:hAnsi="宋体" w:cs="宋体"/>
          <w:color w:val="auto"/>
          <w:sz w:val="32"/>
          <w:szCs w:val="32"/>
          <w:highlight w:val="none"/>
          <w:u w:val="single"/>
        </w:rPr>
      </w:r>
      <w:r>
        <w:rPr>
          <w:color w:val="auto"/>
          <w:highlight w:val="none"/>
        </w:rPr>
      </w:r>
    </w:p>
    <w:p>
      <w:pPr>
        <w:pStyle w:val="863"/>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u w:val="single"/>
        </w:rPr>
      </w:r>
      <w:r>
        <w:rPr>
          <w:color w:val="auto"/>
          <w:highlight w:val="none"/>
        </w:rPr>
      </w:r>
    </w:p>
    <w:p>
      <w:pPr>
        <w:pStyle w:val="863"/>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质疑事项2</w:t>
      </w:r>
      <w:r>
        <w:rPr>
          <w:rFonts w:hint="eastAsia" w:ascii="宋体" w:hAnsi="宋体" w:cs="宋体"/>
          <w:color w:val="auto"/>
          <w:sz w:val="32"/>
          <w:szCs w:val="32"/>
          <w:highlight w:val="none"/>
          <w:u w:val="singl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rPr>
      </w:r>
      <w:r>
        <w:rPr>
          <w:color w:val="auto"/>
          <w:highlight w:val="none"/>
        </w:rPr>
      </w:r>
    </w:p>
    <w:p>
      <w:pPr>
        <w:pStyle w:val="863"/>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四、与质疑事项相关的质疑请求</w:t>
      </w:r>
      <w:r>
        <w:rPr>
          <w:rFonts w:hint="eastAsia" w:ascii="宋体" w:hAnsi="宋体" w:cs="宋体"/>
          <w:bCs/>
          <w:color w:val="auto"/>
          <w:sz w:val="32"/>
          <w:szCs w:val="32"/>
          <w:highlight w:val="none"/>
        </w:rPr>
      </w:r>
      <w:r>
        <w:rPr>
          <w:color w:val="auto"/>
          <w:highlight w:val="none"/>
        </w:rPr>
      </w:r>
    </w:p>
    <w:p>
      <w:pPr>
        <w:pStyle w:val="863"/>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请求：</w:t>
      </w:r>
      <w:r>
        <w:rPr>
          <w:rFonts w:hint="eastAsia" w:ascii="宋体" w:hAnsi="宋体" w:cs="宋体"/>
          <w:color w:val="auto"/>
          <w:sz w:val="32"/>
          <w:szCs w:val="32"/>
          <w:highlight w:val="none"/>
          <w:u w:val="single"/>
        </w:rPr>
      </w:r>
      <w:r>
        <w:rPr>
          <w:color w:val="auto"/>
          <w:highlight w:val="none"/>
        </w:rPr>
      </w:r>
    </w:p>
    <w:p>
      <w:pPr>
        <w:pStyle w:val="863"/>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签字(签章)：                   公章：                      </w:t>
      </w:r>
      <w:r>
        <w:rPr>
          <w:rFonts w:hint="eastAsia" w:ascii="宋体" w:hAnsi="宋体" w:cs="宋体"/>
          <w:color w:val="auto"/>
          <w:sz w:val="30"/>
          <w:szCs w:val="30"/>
          <w:highlight w:val="none"/>
        </w:rPr>
      </w:r>
      <w:r>
        <w:rPr>
          <w:color w:val="auto"/>
          <w:highlight w:val="none"/>
        </w:rPr>
      </w:r>
    </w:p>
    <w:p>
      <w:pPr>
        <w:pStyle w:val="863"/>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w:t>
      </w:r>
      <w:r>
        <w:rPr>
          <w:rFonts w:hint="eastAsia" w:ascii="宋体" w:hAnsi="宋体" w:cs="宋体"/>
          <w:color w:val="auto"/>
          <w:sz w:val="30"/>
          <w:szCs w:val="30"/>
          <w:highlight w:val="none"/>
        </w:rPr>
      </w:r>
      <w:r>
        <w:rPr>
          <w:color w:val="auto"/>
          <w:highlight w:val="none"/>
        </w:rPr>
      </w:r>
    </w:p>
    <w:p>
      <w:pPr>
        <w:pStyle w:val="86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p>
    <w:p>
      <w:pPr>
        <w:pStyle w:val="863"/>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质疑函制作说明：</w:t>
      </w:r>
      <w:r>
        <w:rPr>
          <w:rFonts w:hint="eastAsia" w:ascii="宋体" w:hAnsi="宋体" w:cs="宋体"/>
          <w:b/>
          <w:color w:val="auto"/>
          <w:sz w:val="32"/>
          <w:szCs w:val="32"/>
          <w:highlight w:val="none"/>
        </w:rPr>
      </w:r>
      <w:r>
        <w:rPr>
          <w:color w:val="auto"/>
          <w:highlight w:val="none"/>
        </w:rPr>
      </w:r>
    </w:p>
    <w:p>
      <w:pPr>
        <w:pStyle w:val="863"/>
        <w:ind w:firstLine="640"/>
        <w:jc w:val="lef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1.供应商提出质疑时，应提交质疑函和必要的证明材料。</w:t>
      </w:r>
      <w:r>
        <w:rPr>
          <w:rFonts w:hint="eastAsia" w:ascii="宋体" w:hAnsi="宋体" w:cs="宋体"/>
          <w:color w:val="auto"/>
          <w:sz w:val="32"/>
          <w:szCs w:val="32"/>
          <w:highlight w:val="none"/>
        </w:rPr>
      </w:r>
      <w:r>
        <w:rPr>
          <w:color w:val="auto"/>
          <w:highlight w:val="none"/>
        </w:rPr>
      </w:r>
    </w:p>
    <w:p>
      <w:pPr>
        <w:pStyle w:val="863"/>
        <w:ind w:firstLine="640"/>
        <w:jc w:val="lef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2.质疑供应商若委托代理人进行质疑的，质疑函应按要求列明“授权代表”的有关内容，并在附件中提交由质疑</w:t>
      </w:r>
      <w:r>
        <w:rPr>
          <w:rFonts w:hint="eastAsia" w:ascii="宋体" w:hAnsi="宋体" w:cs="宋体"/>
          <w:color w:val="auto"/>
          <w:sz w:val="32"/>
          <w:szCs w:val="32"/>
          <w:highlight w:val="none"/>
        </w:rPr>
        <w:t xml:space="preserve">供应商签署的授权委托书。授权委托书应载明代理人的姓名或者名称、代理事项、具体权限、期限和相关事项。</w:t>
      </w:r>
      <w:r>
        <w:rPr>
          <w:rFonts w:hint="eastAsia" w:ascii="宋体" w:hAnsi="宋体" w:cs="宋体"/>
          <w:color w:val="auto"/>
          <w:sz w:val="32"/>
          <w:szCs w:val="32"/>
          <w:highlight w:val="none"/>
        </w:rPr>
      </w:r>
      <w:r>
        <w:rPr>
          <w:color w:val="auto"/>
          <w:highlight w:val="none"/>
        </w:rPr>
      </w:r>
    </w:p>
    <w:p>
      <w:pPr>
        <w:pStyle w:val="863"/>
        <w:ind w:firstLine="640"/>
        <w:jc w:val="lef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3.质疑供应商若对项目的某一分包进行质疑，质疑函中应列明具体分包号。</w:t>
      </w:r>
      <w:r>
        <w:rPr>
          <w:rFonts w:hint="eastAsia" w:ascii="宋体" w:hAnsi="宋体" w:cs="宋体"/>
          <w:color w:val="auto"/>
          <w:sz w:val="32"/>
          <w:szCs w:val="32"/>
          <w:highlight w:val="none"/>
        </w:rPr>
      </w:r>
      <w:r>
        <w:rPr>
          <w:color w:val="auto"/>
          <w:highlight w:val="none"/>
        </w:rPr>
      </w:r>
    </w:p>
    <w:p>
      <w:pPr>
        <w:pStyle w:val="863"/>
        <w:ind w:firstLine="640"/>
        <w:jc w:val="lef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4.质疑函的质疑事项应具体、明确，并有必要的事实依据和法律依据。</w:t>
      </w:r>
      <w:r>
        <w:rPr>
          <w:rFonts w:hint="eastAsia" w:ascii="宋体" w:hAnsi="宋体" w:cs="宋体"/>
          <w:color w:val="auto"/>
          <w:sz w:val="32"/>
          <w:szCs w:val="32"/>
          <w:highlight w:val="none"/>
        </w:rPr>
      </w:r>
      <w:r>
        <w:rPr>
          <w:color w:val="auto"/>
          <w:highlight w:val="none"/>
        </w:rPr>
      </w:r>
    </w:p>
    <w:p>
      <w:pPr>
        <w:pStyle w:val="863"/>
        <w:ind w:firstLine="640"/>
        <w:jc w:val="lef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5.质疑函的质疑请求应与质疑事项相关。</w:t>
      </w:r>
      <w:r>
        <w:rPr>
          <w:rFonts w:hint="eastAsia" w:ascii="宋体" w:hAnsi="宋体" w:cs="宋体"/>
          <w:color w:val="auto"/>
          <w:sz w:val="32"/>
          <w:szCs w:val="32"/>
          <w:highlight w:val="none"/>
        </w:rPr>
      </w:r>
      <w:r>
        <w:rPr>
          <w:color w:val="auto"/>
          <w:highlight w:val="none"/>
        </w:rPr>
      </w:r>
    </w:p>
    <w:p>
      <w:pPr>
        <w:pStyle w:val="863"/>
        <w:ind w:firstLine="640"/>
        <w:jc w:val="left"/>
        <w:widowControl/>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auto"/>
          <w:sz w:val="28"/>
          <w:szCs w:val="28"/>
          <w:highlight w:val="none"/>
        </w:rPr>
      </w:r>
      <w:r>
        <w:rPr>
          <w:color w:val="auto"/>
          <w:highlight w:val="none"/>
        </w:rPr>
      </w:r>
    </w:p>
    <w:sectPr>
      <w:footerReference w:type="default" r:id="rId9"/>
      <w:footnotePr/>
      <w:endnotePr/>
      <w:type w:val="nextPage"/>
      <w:pgSz w:w="11906" w:h="16838" w:orient="portrait"/>
      <w:pgMar w:top="1134" w:right="1077" w:bottom="1134"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华文细黑">
    <w:panose1 w:val="02010600040101010101"/>
  </w:font>
  <w:font w:name="Tahoma">
    <w:panose1 w:val="020B0604030504040204"/>
  </w:font>
  <w:font w:name="微软雅黑">
    <w:panose1 w:val="020B0503020204020204"/>
  </w:font>
  <w:font w:name="Calibri">
    <w:panose1 w:val="020F0502020204030204"/>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Fonts w:hint="eastAsia"/>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2639060</wp:posOffset>
              </wp:positionH>
              <wp:positionV relativeFrom="paragraph">
                <wp:posOffset>18415</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p>
                          <w:pPr>
                            <w:pStyle w:val="8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07.8pt;mso-position-horizontal:absolute;mso-position-vertical-relative:text;margin-top:1.4pt;mso-position-vertical:absolute;width:144.0pt;height:144.0pt;mso-wrap-distance-left:9.0pt;mso-wrap-distance-top:0.0pt;mso-wrap-distance-right:9.0pt;mso-wrap-distance-bottom:0.0pt;visibility:visible;" filled="f" stroked="f">
              <v:textbox inset="0,0,0,0">
                <w:txbxContent>
                  <w:p>
                    <w:pPr>
                      <w:pStyle w:val="904"/>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p>
                    <w:pPr>
                      <w:pStyle w:val="863"/>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6"/>
      <w:isLgl w:val="false"/>
      <w:suff w:val="tab"/>
      <w:lvlText w:val=""/>
      <w:lvlJc w:val="left"/>
      <w:pPr>
        <w:pStyle w:val="86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63"/>
        <w:ind w:left="960" w:hanging="480"/>
        <w:tabs>
          <w:tab w:val="num" w:pos="960" w:leader="none"/>
        </w:tabs>
      </w:pPr>
    </w:lvl>
    <w:lvl w:ilvl="2">
      <w:start w:val="1"/>
      <w:numFmt w:val="lowerRoman"/>
      <w:isLgl w:val="false"/>
      <w:suff w:val="tab"/>
      <w:lvlText w:val="%3."/>
      <w:lvlJc w:val="right"/>
      <w:pPr>
        <w:pStyle w:val="863"/>
        <w:ind w:left="1440" w:hanging="480"/>
        <w:tabs>
          <w:tab w:val="num" w:pos="1440" w:leader="none"/>
        </w:tabs>
      </w:pPr>
    </w:lvl>
    <w:lvl w:ilvl="3">
      <w:start w:val="1"/>
      <w:numFmt w:val="decimal"/>
      <w:isLgl w:val="false"/>
      <w:suff w:val="tab"/>
      <w:lvlText w:val="%4."/>
      <w:lvlJc w:val="left"/>
      <w:pPr>
        <w:pStyle w:val="863"/>
        <w:ind w:left="1920" w:hanging="480"/>
        <w:tabs>
          <w:tab w:val="num" w:pos="1920" w:leader="none"/>
        </w:tabs>
      </w:pPr>
    </w:lvl>
    <w:lvl w:ilvl="4">
      <w:start w:val="1"/>
      <w:numFmt w:val="ideographTraditional"/>
      <w:isLgl w:val="false"/>
      <w:suff w:val="tab"/>
      <w:lvlText w:val="%5、"/>
      <w:lvlJc w:val="left"/>
      <w:pPr>
        <w:pStyle w:val="863"/>
        <w:ind w:left="2400" w:hanging="480"/>
        <w:tabs>
          <w:tab w:val="num" w:pos="2400" w:leader="none"/>
        </w:tabs>
      </w:pPr>
    </w:lvl>
    <w:lvl w:ilvl="5">
      <w:start w:val="1"/>
      <w:numFmt w:val="lowerRoman"/>
      <w:isLgl w:val="false"/>
      <w:suff w:val="tab"/>
      <w:lvlText w:val="%6."/>
      <w:lvlJc w:val="right"/>
      <w:pPr>
        <w:pStyle w:val="863"/>
        <w:ind w:left="2880" w:hanging="480"/>
        <w:tabs>
          <w:tab w:val="num" w:pos="2880" w:leader="none"/>
        </w:tabs>
      </w:pPr>
    </w:lvl>
    <w:lvl w:ilvl="6">
      <w:start w:val="1"/>
      <w:numFmt w:val="decimal"/>
      <w:isLgl w:val="false"/>
      <w:suff w:val="tab"/>
      <w:lvlText w:val="%7."/>
      <w:lvlJc w:val="left"/>
      <w:pPr>
        <w:pStyle w:val="863"/>
        <w:ind w:left="3360" w:hanging="480"/>
        <w:tabs>
          <w:tab w:val="num" w:pos="3360" w:leader="none"/>
        </w:tabs>
      </w:pPr>
    </w:lvl>
    <w:lvl w:ilvl="7">
      <w:start w:val="1"/>
      <w:numFmt w:val="ideographTraditional"/>
      <w:isLgl w:val="false"/>
      <w:suff w:val="tab"/>
      <w:lvlText w:val="%8、"/>
      <w:lvlJc w:val="left"/>
      <w:pPr>
        <w:pStyle w:val="863"/>
        <w:ind w:left="3840" w:hanging="480"/>
        <w:tabs>
          <w:tab w:val="num" w:pos="3840" w:leader="none"/>
        </w:tabs>
      </w:pPr>
    </w:lvl>
    <w:lvl w:ilvl="8">
      <w:start w:val="1"/>
      <w:numFmt w:val="lowerRoman"/>
      <w:isLgl w:val="false"/>
      <w:suff w:val="tab"/>
      <w:lvlText w:val="%9."/>
      <w:lvlJc w:val="right"/>
      <w:pPr>
        <w:pStyle w:val="863"/>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3"/>
    <w:next w:val="863"/>
    <w:link w:val="686"/>
    <w:uiPriority w:val="9"/>
    <w:qFormat/>
    <w:pPr>
      <w:keepLines/>
      <w:keepNext/>
      <w:spacing w:before="480" w:after="200"/>
      <w:outlineLvl w:val="0"/>
    </w:pPr>
    <w:rPr>
      <w:rFonts w:ascii="Arial" w:hAnsi="Arial" w:eastAsia="Arial" w:cs="Arial"/>
      <w:sz w:val="40"/>
      <w:szCs w:val="40"/>
    </w:rPr>
  </w:style>
  <w:style w:type="character" w:styleId="686">
    <w:name w:val="Heading 1 Char"/>
    <w:link w:val="685"/>
    <w:uiPriority w:val="9"/>
    <w:rPr>
      <w:rFonts w:ascii="Arial" w:hAnsi="Arial" w:eastAsia="Arial" w:cs="Arial"/>
      <w:sz w:val="40"/>
      <w:szCs w:val="40"/>
    </w:rPr>
  </w:style>
  <w:style w:type="paragraph" w:styleId="687">
    <w:name w:val="Heading 2"/>
    <w:basedOn w:val="863"/>
    <w:next w:val="863"/>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link w:val="687"/>
    <w:uiPriority w:val="9"/>
    <w:rPr>
      <w:rFonts w:ascii="Arial" w:hAnsi="Arial" w:eastAsia="Arial" w:cs="Arial"/>
      <w:sz w:val="34"/>
    </w:rPr>
  </w:style>
  <w:style w:type="paragraph" w:styleId="689">
    <w:name w:val="Heading 3"/>
    <w:basedOn w:val="863"/>
    <w:next w:val="863"/>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link w:val="689"/>
    <w:uiPriority w:val="9"/>
    <w:rPr>
      <w:rFonts w:ascii="Arial" w:hAnsi="Arial" w:eastAsia="Arial" w:cs="Arial"/>
      <w:sz w:val="30"/>
      <w:szCs w:val="30"/>
    </w:rPr>
  </w:style>
  <w:style w:type="paragraph" w:styleId="691">
    <w:name w:val="Heading 4"/>
    <w:basedOn w:val="863"/>
    <w:next w:val="863"/>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link w:val="691"/>
    <w:uiPriority w:val="9"/>
    <w:rPr>
      <w:rFonts w:ascii="Arial" w:hAnsi="Arial" w:eastAsia="Arial" w:cs="Arial"/>
      <w:b/>
      <w:bCs/>
      <w:sz w:val="26"/>
      <w:szCs w:val="26"/>
    </w:rPr>
  </w:style>
  <w:style w:type="paragraph" w:styleId="693">
    <w:name w:val="Heading 5"/>
    <w:basedOn w:val="863"/>
    <w:next w:val="863"/>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link w:val="693"/>
    <w:uiPriority w:val="9"/>
    <w:rPr>
      <w:rFonts w:ascii="Arial" w:hAnsi="Arial" w:eastAsia="Arial" w:cs="Arial"/>
      <w:b/>
      <w:bCs/>
      <w:sz w:val="24"/>
      <w:szCs w:val="24"/>
    </w:rPr>
  </w:style>
  <w:style w:type="paragraph" w:styleId="695">
    <w:name w:val="Heading 6"/>
    <w:basedOn w:val="863"/>
    <w:next w:val="863"/>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link w:val="695"/>
    <w:uiPriority w:val="9"/>
    <w:rPr>
      <w:rFonts w:ascii="Arial" w:hAnsi="Arial" w:eastAsia="Arial" w:cs="Arial"/>
      <w:b/>
      <w:bCs/>
      <w:sz w:val="22"/>
      <w:szCs w:val="22"/>
    </w:rPr>
  </w:style>
  <w:style w:type="paragraph" w:styleId="697">
    <w:name w:val="Heading 7"/>
    <w:basedOn w:val="863"/>
    <w:next w:val="863"/>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link w:val="697"/>
    <w:uiPriority w:val="9"/>
    <w:rPr>
      <w:rFonts w:ascii="Arial" w:hAnsi="Arial" w:eastAsia="Arial" w:cs="Arial"/>
      <w:b/>
      <w:bCs/>
      <w:i/>
      <w:iCs/>
      <w:sz w:val="22"/>
      <w:szCs w:val="22"/>
    </w:rPr>
  </w:style>
  <w:style w:type="paragraph" w:styleId="699">
    <w:name w:val="Heading 8"/>
    <w:basedOn w:val="863"/>
    <w:next w:val="863"/>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link w:val="699"/>
    <w:uiPriority w:val="9"/>
    <w:rPr>
      <w:rFonts w:ascii="Arial" w:hAnsi="Arial" w:eastAsia="Arial" w:cs="Arial"/>
      <w:i/>
      <w:iCs/>
      <w:sz w:val="22"/>
      <w:szCs w:val="22"/>
    </w:rPr>
  </w:style>
  <w:style w:type="paragraph" w:styleId="701">
    <w:name w:val="Heading 9"/>
    <w:basedOn w:val="863"/>
    <w:next w:val="863"/>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link w:val="701"/>
    <w:uiPriority w:val="9"/>
    <w:rPr>
      <w:rFonts w:ascii="Arial" w:hAnsi="Arial" w:eastAsia="Arial" w:cs="Arial"/>
      <w:i/>
      <w:iCs/>
      <w:sz w:val="21"/>
      <w:szCs w:val="21"/>
    </w:rPr>
  </w:style>
  <w:style w:type="paragraph" w:styleId="703">
    <w:name w:val="List Paragraph"/>
    <w:basedOn w:val="863"/>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75"/>
    <w:link w:val="863"/>
    <w:qFormat/>
    <w:pPr>
      <w:jc w:val="both"/>
      <w:widowControl w:val="off"/>
    </w:pPr>
    <w:rPr>
      <w:sz w:val="21"/>
      <w:szCs w:val="24"/>
      <w:lang w:val="en-US" w:eastAsia="zh-CN" w:bidi="ar-SA"/>
    </w:rPr>
  </w:style>
  <w:style w:type="paragraph" w:styleId="864">
    <w:name w:val="标题 1"/>
    <w:basedOn w:val="863"/>
    <w:next w:val="863"/>
    <w:link w:val="879"/>
    <w:qFormat/>
    <w:pPr>
      <w:keepLines/>
      <w:keepNext/>
      <w:spacing w:before="340" w:after="330" w:line="578" w:lineRule="auto"/>
      <w:outlineLvl w:val="0"/>
    </w:pPr>
    <w:rPr>
      <w:b/>
      <w:bCs/>
      <w:sz w:val="44"/>
      <w:szCs w:val="44"/>
    </w:rPr>
  </w:style>
  <w:style w:type="paragraph" w:styleId="865">
    <w:name w:val="标题 2"/>
    <w:basedOn w:val="863"/>
    <w:next w:val="863"/>
    <w:link w:val="880"/>
    <w:qFormat/>
    <w:pPr>
      <w:keepLines/>
      <w:keepNext/>
      <w:spacing w:before="260" w:after="260" w:line="416" w:lineRule="auto"/>
      <w:outlineLvl w:val="1"/>
    </w:pPr>
    <w:rPr>
      <w:rFonts w:ascii="Arial" w:hAnsi="Arial" w:eastAsia="黑体"/>
      <w:b/>
      <w:bCs/>
      <w:sz w:val="32"/>
      <w:szCs w:val="32"/>
    </w:rPr>
  </w:style>
  <w:style w:type="paragraph" w:styleId="866">
    <w:name w:val="标题 3"/>
    <w:basedOn w:val="863"/>
    <w:next w:val="863"/>
    <w:link w:val="881"/>
    <w:qFormat/>
    <w:pPr>
      <w:keepLines/>
      <w:keepNext/>
      <w:spacing w:before="260" w:after="260" w:line="416" w:lineRule="auto"/>
      <w:outlineLvl w:val="2"/>
    </w:pPr>
    <w:rPr>
      <w:b/>
      <w:bCs/>
      <w:sz w:val="32"/>
      <w:szCs w:val="32"/>
    </w:rPr>
  </w:style>
  <w:style w:type="paragraph" w:styleId="867">
    <w:name w:val="标题 4"/>
    <w:basedOn w:val="863"/>
    <w:next w:val="863"/>
    <w:link w:val="882"/>
    <w:qFormat/>
    <w:pPr>
      <w:jc w:val="center"/>
      <w:keepNext/>
      <w:outlineLvl w:val="3"/>
    </w:pPr>
    <w:rPr>
      <w:rFonts w:eastAsia="新宋体"/>
      <w:sz w:val="30"/>
      <w:szCs w:val="21"/>
    </w:rPr>
  </w:style>
  <w:style w:type="paragraph" w:styleId="868">
    <w:name w:val="标题 5"/>
    <w:basedOn w:val="863"/>
    <w:next w:val="863"/>
    <w:link w:val="883"/>
    <w:qFormat/>
    <w:pPr>
      <w:keepLines/>
      <w:keepNext/>
      <w:spacing w:before="280" w:after="290" w:line="376" w:lineRule="auto"/>
      <w:outlineLvl w:val="4"/>
    </w:pPr>
    <w:rPr>
      <w:b/>
      <w:bCs/>
      <w:sz w:val="28"/>
      <w:szCs w:val="28"/>
    </w:rPr>
  </w:style>
  <w:style w:type="paragraph" w:styleId="869">
    <w:name w:val="标题 6"/>
    <w:basedOn w:val="863"/>
    <w:next w:val="885"/>
    <w:link w:val="884"/>
    <w:qFormat/>
    <w:pPr>
      <w:jc w:val="center"/>
      <w:keepNext/>
      <w:outlineLvl w:val="5"/>
    </w:pPr>
    <w:rPr>
      <w:b/>
      <w:sz w:val="44"/>
      <w:szCs w:val="20"/>
    </w:rPr>
  </w:style>
  <w:style w:type="paragraph" w:styleId="870">
    <w:name w:val="标题 7"/>
    <w:basedOn w:val="863"/>
    <w:next w:val="863"/>
    <w:link w:val="887"/>
    <w:qFormat/>
    <w:pPr>
      <w:keepLines/>
      <w:keepNext/>
      <w:spacing w:before="240" w:after="64" w:line="320" w:lineRule="auto"/>
      <w:outlineLvl w:val="6"/>
    </w:pPr>
    <w:rPr>
      <w:b/>
      <w:bCs/>
      <w:sz w:val="24"/>
    </w:rPr>
  </w:style>
  <w:style w:type="paragraph" w:styleId="871">
    <w:name w:val="标题 8"/>
    <w:basedOn w:val="863"/>
    <w:next w:val="863"/>
    <w:link w:val="888"/>
    <w:qFormat/>
    <w:pPr>
      <w:keepLines/>
      <w:keepNext/>
      <w:spacing w:before="240" w:after="64" w:line="320" w:lineRule="auto"/>
      <w:outlineLvl w:val="7"/>
    </w:pPr>
    <w:rPr>
      <w:rFonts w:ascii="Arial" w:hAnsi="Arial" w:eastAsia="黑体"/>
      <w:sz w:val="24"/>
    </w:rPr>
  </w:style>
  <w:style w:type="paragraph" w:styleId="872">
    <w:name w:val="标题 9"/>
    <w:basedOn w:val="863"/>
    <w:next w:val="863"/>
    <w:link w:val="889"/>
    <w:qFormat/>
    <w:pPr>
      <w:keepLines/>
      <w:keepNext/>
      <w:spacing w:before="240" w:after="64" w:line="320" w:lineRule="auto"/>
      <w:outlineLvl w:val="8"/>
    </w:pPr>
    <w:rPr>
      <w:rFonts w:ascii="Arial" w:hAnsi="Arial" w:eastAsia="黑体"/>
      <w:sz w:val="24"/>
      <w:szCs w:val="21"/>
    </w:rPr>
  </w:style>
  <w:style w:type="character" w:styleId="873">
    <w:name w:val="默认段落字体"/>
    <w:next w:val="873"/>
    <w:link w:val="863"/>
    <w:uiPriority w:val="1"/>
    <w:unhideWhenUsed/>
  </w:style>
  <w:style w:type="table" w:styleId="874">
    <w:name w:val="普通表格"/>
    <w:next w:val="874"/>
    <w:link w:val="863"/>
    <w:uiPriority w:val="99"/>
    <w:unhideWhenUsed/>
    <w:qFormat/>
    <w:tblPr/>
  </w:style>
  <w:style w:type="paragraph" w:styleId="875">
    <w:name w:val="正文文本"/>
    <w:basedOn w:val="863"/>
    <w:next w:val="877"/>
    <w:link w:val="876"/>
    <w:rPr>
      <w:rFonts w:ascii="仿宋_GB2312" w:eastAsia="仿宋_GB2312"/>
      <w:sz w:val="24"/>
      <w:szCs w:val="20"/>
    </w:rPr>
  </w:style>
  <w:style w:type="character" w:styleId="876">
    <w:name w:val="正文文本 字符"/>
    <w:next w:val="876"/>
    <w:link w:val="875"/>
    <w:rPr>
      <w:rFonts w:ascii="仿宋_GB2312" w:hAnsi="Times New Roman" w:eastAsia="仿宋_GB2312" w:cs="Times New Roman"/>
      <w:sz w:val="24"/>
      <w:szCs w:val="20"/>
    </w:rPr>
  </w:style>
  <w:style w:type="paragraph" w:styleId="877">
    <w:name w:val="style4"/>
    <w:basedOn w:val="863"/>
    <w:next w:val="878"/>
    <w:link w:val="863"/>
    <w:qFormat/>
    <w:pPr>
      <w:spacing w:before="280" w:after="280"/>
      <w:widowControl/>
    </w:pPr>
    <w:rPr>
      <w:rFonts w:ascii="宋体"/>
      <w:sz w:val="18"/>
    </w:rPr>
  </w:style>
  <w:style w:type="paragraph" w:styleId="878">
    <w:name w:val="2"/>
    <w:next w:val="863"/>
    <w:link w:val="863"/>
    <w:uiPriority w:val="99"/>
    <w:qFormat/>
    <w:pPr>
      <w:jc w:val="both"/>
      <w:widowControl w:val="off"/>
    </w:pPr>
    <w:rPr>
      <w:sz w:val="21"/>
      <w:szCs w:val="21"/>
      <w:lang w:val="en-US" w:eastAsia="zh-CN" w:bidi="ar-SA"/>
    </w:rPr>
  </w:style>
  <w:style w:type="character" w:styleId="879">
    <w:name w:val="标题 1 字符"/>
    <w:next w:val="879"/>
    <w:link w:val="864"/>
    <w:rPr>
      <w:rFonts w:ascii="Times New Roman" w:hAnsi="Times New Roman" w:eastAsia="宋体" w:cs="Times New Roman"/>
      <w:b/>
      <w:bCs/>
      <w:sz w:val="44"/>
      <w:szCs w:val="44"/>
    </w:rPr>
  </w:style>
  <w:style w:type="character" w:styleId="880">
    <w:name w:val="标题 2 字符"/>
    <w:next w:val="880"/>
    <w:link w:val="865"/>
    <w:rPr>
      <w:rFonts w:ascii="Arial" w:hAnsi="Arial" w:eastAsia="黑体" w:cs="Times New Roman"/>
      <w:b/>
      <w:bCs/>
      <w:sz w:val="32"/>
      <w:szCs w:val="32"/>
    </w:rPr>
  </w:style>
  <w:style w:type="character" w:styleId="881">
    <w:name w:val="标题 3 字符"/>
    <w:next w:val="881"/>
    <w:link w:val="866"/>
    <w:rPr>
      <w:rFonts w:ascii="Times New Roman" w:hAnsi="Times New Roman" w:eastAsia="宋体" w:cs="Times New Roman"/>
      <w:b/>
      <w:bCs/>
      <w:sz w:val="32"/>
      <w:szCs w:val="32"/>
    </w:rPr>
  </w:style>
  <w:style w:type="character" w:styleId="882">
    <w:name w:val="标题 4 字符"/>
    <w:next w:val="882"/>
    <w:link w:val="867"/>
    <w:rPr>
      <w:rFonts w:ascii="Times New Roman" w:hAnsi="Times New Roman" w:eastAsia="新宋体" w:cs="Times New Roman"/>
      <w:sz w:val="30"/>
      <w:szCs w:val="21"/>
    </w:rPr>
  </w:style>
  <w:style w:type="character" w:styleId="883">
    <w:name w:val="标题 5 字符"/>
    <w:next w:val="883"/>
    <w:link w:val="868"/>
    <w:rPr>
      <w:rFonts w:ascii="Times New Roman" w:hAnsi="Times New Roman" w:eastAsia="宋体" w:cs="Times New Roman"/>
      <w:b/>
      <w:bCs/>
      <w:sz w:val="28"/>
      <w:szCs w:val="28"/>
    </w:rPr>
  </w:style>
  <w:style w:type="character" w:styleId="884">
    <w:name w:val="标题 6 字符"/>
    <w:next w:val="884"/>
    <w:link w:val="869"/>
    <w:rPr>
      <w:rFonts w:ascii="Times New Roman" w:hAnsi="Times New Roman" w:eastAsia="宋体" w:cs="Times New Roman"/>
      <w:b/>
      <w:sz w:val="44"/>
      <w:szCs w:val="20"/>
    </w:rPr>
  </w:style>
  <w:style w:type="paragraph" w:styleId="885">
    <w:name w:val="正文缩进"/>
    <w:basedOn w:val="863"/>
    <w:next w:val="885"/>
    <w:link w:val="886"/>
    <w:pPr>
      <w:ind w:firstLine="420"/>
    </w:pPr>
    <w:rPr>
      <w:sz w:val="20"/>
      <w:szCs w:val="20"/>
    </w:rPr>
  </w:style>
  <w:style w:type="character" w:styleId="886">
    <w:name w:val="正文缩进 字符"/>
    <w:next w:val="886"/>
    <w:link w:val="885"/>
    <w:rPr>
      <w:rFonts w:ascii="Times New Roman" w:hAnsi="Times New Roman" w:eastAsia="宋体" w:cs="Times New Roman"/>
      <w:sz w:val="20"/>
      <w:szCs w:val="20"/>
    </w:rPr>
  </w:style>
  <w:style w:type="character" w:styleId="887">
    <w:name w:val="标题 7 字符"/>
    <w:next w:val="887"/>
    <w:link w:val="870"/>
    <w:rPr>
      <w:rFonts w:ascii="Times New Roman" w:hAnsi="Times New Roman" w:eastAsia="宋体" w:cs="Times New Roman"/>
      <w:b/>
      <w:bCs/>
      <w:sz w:val="24"/>
      <w:szCs w:val="24"/>
    </w:rPr>
  </w:style>
  <w:style w:type="character" w:styleId="888">
    <w:name w:val="标题 8 字符"/>
    <w:next w:val="888"/>
    <w:link w:val="871"/>
    <w:rPr>
      <w:rFonts w:ascii="Arial" w:hAnsi="Arial" w:eastAsia="黑体" w:cs="Times New Roman"/>
      <w:sz w:val="24"/>
      <w:szCs w:val="24"/>
    </w:rPr>
  </w:style>
  <w:style w:type="character" w:styleId="889">
    <w:name w:val="标题 9 字符"/>
    <w:next w:val="889"/>
    <w:link w:val="872"/>
    <w:rPr>
      <w:rFonts w:ascii="Arial" w:hAnsi="Arial" w:eastAsia="黑体" w:cs="Times New Roman"/>
      <w:sz w:val="24"/>
      <w:szCs w:val="21"/>
    </w:rPr>
  </w:style>
  <w:style w:type="paragraph" w:styleId="890">
    <w:name w:val="文档结构图"/>
    <w:basedOn w:val="863"/>
    <w:next w:val="890"/>
    <w:link w:val="891"/>
    <w:semiHidden/>
    <w:pPr>
      <w:shd w:val="clear" w:color="auto" w:fill="000080"/>
    </w:pPr>
    <w:rPr>
      <w:sz w:val="20"/>
    </w:rPr>
  </w:style>
  <w:style w:type="character" w:styleId="891">
    <w:name w:val="文档结构图 字符"/>
    <w:next w:val="891"/>
    <w:link w:val="890"/>
    <w:semiHidden/>
    <w:rPr>
      <w:szCs w:val="24"/>
      <w:shd w:val="clear" w:color="auto" w:fill="000080"/>
    </w:rPr>
  </w:style>
  <w:style w:type="paragraph" w:styleId="892">
    <w:name w:val="正文文本 3"/>
    <w:basedOn w:val="863"/>
    <w:next w:val="892"/>
    <w:link w:val="893"/>
    <w:pPr>
      <w:spacing w:after="120"/>
    </w:pPr>
    <w:rPr>
      <w:sz w:val="16"/>
      <w:szCs w:val="16"/>
    </w:rPr>
  </w:style>
  <w:style w:type="character" w:styleId="893">
    <w:name w:val="正文文本 3 字符"/>
    <w:next w:val="893"/>
    <w:link w:val="892"/>
    <w:rPr>
      <w:rFonts w:ascii="Times New Roman" w:hAnsi="Times New Roman" w:eastAsia="宋体" w:cs="Times New Roman"/>
      <w:sz w:val="16"/>
      <w:szCs w:val="16"/>
    </w:rPr>
  </w:style>
  <w:style w:type="paragraph" w:styleId="894">
    <w:name w:val="正文文本缩进"/>
    <w:basedOn w:val="863"/>
    <w:next w:val="894"/>
    <w:link w:val="895"/>
    <w:pPr>
      <w:ind w:left="765"/>
    </w:pPr>
    <w:rPr>
      <w:rFonts w:ascii="仿宋_GB2312" w:eastAsia="仿宋_GB2312"/>
      <w:sz w:val="28"/>
      <w:szCs w:val="20"/>
    </w:rPr>
  </w:style>
  <w:style w:type="character" w:styleId="895">
    <w:name w:val="正文文本缩进 字符"/>
    <w:next w:val="895"/>
    <w:link w:val="894"/>
    <w:rPr>
      <w:rFonts w:ascii="仿宋_GB2312" w:hAnsi="Times New Roman" w:eastAsia="仿宋_GB2312" w:cs="Times New Roman"/>
      <w:sz w:val="28"/>
      <w:szCs w:val="20"/>
    </w:rPr>
  </w:style>
  <w:style w:type="paragraph" w:styleId="896">
    <w:name w:val="纯文本"/>
    <w:basedOn w:val="863"/>
    <w:next w:val="896"/>
    <w:link w:val="897"/>
    <w:rPr>
      <w:rFonts w:ascii="宋体" w:hAnsi="Courier New"/>
      <w:sz w:val="20"/>
      <w:szCs w:val="21"/>
    </w:rPr>
  </w:style>
  <w:style w:type="character" w:styleId="897">
    <w:name w:val="纯文本 字符"/>
    <w:next w:val="897"/>
    <w:link w:val="896"/>
    <w:rPr>
      <w:rFonts w:ascii="宋体" w:hAnsi="Courier New" w:eastAsia="宋体" w:cs="Courier New"/>
      <w:szCs w:val="21"/>
    </w:rPr>
  </w:style>
  <w:style w:type="paragraph" w:styleId="898">
    <w:name w:val="日期"/>
    <w:basedOn w:val="863"/>
    <w:next w:val="863"/>
    <w:link w:val="899"/>
    <w:rPr>
      <w:sz w:val="24"/>
      <w:szCs w:val="20"/>
    </w:rPr>
  </w:style>
  <w:style w:type="character" w:styleId="899">
    <w:name w:val="日期 字符"/>
    <w:next w:val="899"/>
    <w:link w:val="898"/>
    <w:rPr>
      <w:rFonts w:ascii="Times New Roman" w:hAnsi="Times New Roman" w:eastAsia="宋体" w:cs="Times New Roman"/>
      <w:sz w:val="24"/>
      <w:szCs w:val="20"/>
    </w:rPr>
  </w:style>
  <w:style w:type="paragraph" w:styleId="900">
    <w:name w:val="正文文本缩进 2"/>
    <w:basedOn w:val="863"/>
    <w:next w:val="900"/>
    <w:link w:val="901"/>
    <w:pPr>
      <w:ind w:firstLine="560"/>
      <w:spacing w:line="500" w:lineRule="exact"/>
    </w:pPr>
    <w:rPr>
      <w:rFonts w:eastAsia="仿宋_GB2312"/>
      <w:sz w:val="28"/>
      <w:szCs w:val="20"/>
    </w:rPr>
  </w:style>
  <w:style w:type="character" w:styleId="901">
    <w:name w:val="正文文本缩进 2 字符"/>
    <w:next w:val="901"/>
    <w:link w:val="900"/>
    <w:rPr>
      <w:rFonts w:ascii="Times New Roman" w:hAnsi="Times New Roman" w:eastAsia="仿宋_GB2312" w:cs="Times New Roman"/>
      <w:sz w:val="28"/>
      <w:szCs w:val="20"/>
    </w:rPr>
  </w:style>
  <w:style w:type="paragraph" w:styleId="902">
    <w:name w:val="批注框文本"/>
    <w:basedOn w:val="863"/>
    <w:next w:val="902"/>
    <w:link w:val="903"/>
    <w:semiHidden/>
    <w:rPr>
      <w:sz w:val="18"/>
      <w:szCs w:val="18"/>
    </w:rPr>
  </w:style>
  <w:style w:type="character" w:styleId="903">
    <w:name w:val="批注框文本 字符"/>
    <w:next w:val="903"/>
    <w:link w:val="902"/>
    <w:semiHidden/>
    <w:rPr>
      <w:sz w:val="18"/>
      <w:szCs w:val="18"/>
    </w:rPr>
  </w:style>
  <w:style w:type="paragraph" w:styleId="904">
    <w:name w:val="页脚"/>
    <w:basedOn w:val="863"/>
    <w:next w:val="904"/>
    <w:link w:val="905"/>
    <w:uiPriority w:val="99"/>
    <w:pPr>
      <w:jc w:val="left"/>
      <w:tabs>
        <w:tab w:val="center" w:pos="4153" w:leader="none"/>
        <w:tab w:val="right" w:pos="8306" w:leader="none"/>
      </w:tabs>
    </w:pPr>
    <w:rPr>
      <w:sz w:val="18"/>
      <w:szCs w:val="20"/>
    </w:rPr>
  </w:style>
  <w:style w:type="character" w:styleId="905">
    <w:name w:val="页脚 字符"/>
    <w:next w:val="905"/>
    <w:link w:val="904"/>
    <w:uiPriority w:val="99"/>
    <w:rPr>
      <w:rFonts w:ascii="Times New Roman" w:hAnsi="Times New Roman" w:eastAsia="宋体" w:cs="Times New Roman"/>
      <w:sz w:val="18"/>
      <w:szCs w:val="20"/>
    </w:rPr>
  </w:style>
  <w:style w:type="paragraph" w:styleId="906">
    <w:name w:val="页眉"/>
    <w:basedOn w:val="863"/>
    <w:next w:val="906"/>
    <w:link w:val="907"/>
    <w:uiPriority w:val="99"/>
    <w:pPr>
      <w:jc w:val="center"/>
      <w:tabs>
        <w:tab w:val="center" w:pos="4153" w:leader="none"/>
        <w:tab w:val="right" w:pos="8306" w:leader="none"/>
      </w:tabs>
      <w:pBdr>
        <w:bottom w:val="single" w:color="000000" w:sz="6" w:space="1"/>
      </w:pBdr>
    </w:pPr>
    <w:rPr>
      <w:sz w:val="18"/>
      <w:szCs w:val="18"/>
    </w:rPr>
  </w:style>
  <w:style w:type="character" w:styleId="907">
    <w:name w:val="页眉 字符"/>
    <w:next w:val="907"/>
    <w:link w:val="906"/>
    <w:uiPriority w:val="99"/>
    <w:rPr>
      <w:rFonts w:ascii="Times New Roman" w:hAnsi="Times New Roman" w:eastAsia="宋体" w:cs="Times New Roman"/>
      <w:sz w:val="18"/>
      <w:szCs w:val="18"/>
    </w:rPr>
  </w:style>
  <w:style w:type="paragraph" w:styleId="908">
    <w:name w:val="目录 1"/>
    <w:basedOn w:val="863"/>
    <w:next w:val="863"/>
    <w:link w:val="863"/>
    <w:semiHidden/>
    <w:rPr>
      <w:sz w:val="24"/>
    </w:rPr>
  </w:style>
  <w:style w:type="paragraph" w:styleId="909">
    <w:name w:val="列表"/>
    <w:basedOn w:val="863"/>
    <w:next w:val="909"/>
    <w:link w:val="863"/>
    <w:pPr>
      <w:ind w:left="200" w:hanging="200"/>
    </w:pPr>
  </w:style>
  <w:style w:type="paragraph" w:styleId="910">
    <w:name w:val="正文文本缩进 3"/>
    <w:basedOn w:val="863"/>
    <w:next w:val="910"/>
    <w:link w:val="911"/>
    <w:pPr>
      <w:ind w:left="420"/>
      <w:spacing w:after="120"/>
    </w:pPr>
    <w:rPr>
      <w:sz w:val="16"/>
      <w:szCs w:val="16"/>
    </w:rPr>
  </w:style>
  <w:style w:type="character" w:styleId="911">
    <w:name w:val="正文文本缩进 3 字符"/>
    <w:next w:val="911"/>
    <w:link w:val="910"/>
    <w:rPr>
      <w:rFonts w:ascii="Times New Roman" w:hAnsi="Times New Roman" w:eastAsia="宋体" w:cs="Times New Roman"/>
      <w:sz w:val="16"/>
      <w:szCs w:val="16"/>
    </w:rPr>
  </w:style>
  <w:style w:type="paragraph" w:styleId="912">
    <w:name w:val="正文文本 2"/>
    <w:basedOn w:val="863"/>
    <w:next w:val="912"/>
    <w:link w:val="913"/>
    <w:rPr>
      <w:b/>
      <w:bCs/>
      <w:sz w:val="18"/>
    </w:rPr>
  </w:style>
  <w:style w:type="character" w:styleId="913">
    <w:name w:val="正文文本 2 字符"/>
    <w:next w:val="913"/>
    <w:link w:val="912"/>
    <w:rPr>
      <w:rFonts w:ascii="Times New Roman" w:hAnsi="Times New Roman" w:eastAsia="宋体" w:cs="Times New Roman"/>
      <w:b/>
      <w:bCs/>
      <w:sz w:val="18"/>
      <w:szCs w:val="24"/>
    </w:rPr>
  </w:style>
  <w:style w:type="paragraph" w:styleId="914">
    <w:name w:val="普通(网站)"/>
    <w:basedOn w:val="863"/>
    <w:next w:val="914"/>
    <w:link w:val="863"/>
    <w:pPr>
      <w:jc w:val="left"/>
      <w:spacing w:before="100" w:beforeAutospacing="1" w:after="100" w:afterAutospacing="1"/>
      <w:widowControl/>
    </w:pPr>
    <w:rPr>
      <w:rFonts w:ascii="宋体" w:hAnsi="宋体"/>
      <w:color w:val="000000"/>
      <w:sz w:val="24"/>
    </w:rPr>
  </w:style>
  <w:style w:type="paragraph" w:styleId="915">
    <w:name w:val="正文首行缩进"/>
    <w:basedOn w:val="875"/>
    <w:next w:val="915"/>
    <w:link w:val="916"/>
    <w:pPr>
      <w:ind w:firstLine="420"/>
      <w:spacing w:after="120"/>
    </w:pPr>
    <w:rPr>
      <w:rFonts w:ascii="Times New Roman" w:eastAsia="宋体"/>
      <w:szCs w:val="24"/>
    </w:rPr>
  </w:style>
  <w:style w:type="character" w:styleId="916">
    <w:name w:val="正文首行缩进 字符"/>
    <w:next w:val="916"/>
    <w:link w:val="915"/>
    <w:rPr>
      <w:rFonts w:ascii="Times New Roman" w:hAnsi="Times New Roman" w:eastAsia="宋体" w:cs="Times New Roman"/>
      <w:sz w:val="24"/>
      <w:szCs w:val="24"/>
    </w:rPr>
  </w:style>
  <w:style w:type="table" w:styleId="917">
    <w:name w:val="网格型"/>
    <w:basedOn w:val="874"/>
    <w:next w:val="917"/>
    <w:link w:val="863"/>
    <w:uiPriority w:val="59"/>
    <w:tblPr/>
  </w:style>
  <w:style w:type="character" w:styleId="918">
    <w:name w:val="要点"/>
    <w:next w:val="918"/>
    <w:link w:val="863"/>
    <w:qFormat/>
    <w:rPr>
      <w:b/>
      <w:bCs/>
    </w:rPr>
  </w:style>
  <w:style w:type="character" w:styleId="919">
    <w:name w:val="页码"/>
    <w:next w:val="919"/>
    <w:link w:val="863"/>
  </w:style>
  <w:style w:type="character" w:styleId="920">
    <w:name w:val="已访问的超链接"/>
    <w:next w:val="920"/>
    <w:link w:val="863"/>
    <w:uiPriority w:val="99"/>
    <w:rPr>
      <w:color w:val="800080"/>
      <w:u w:val="none"/>
    </w:rPr>
  </w:style>
  <w:style w:type="character" w:styleId="921">
    <w:name w:val="强调"/>
    <w:next w:val="921"/>
    <w:link w:val="863"/>
    <w:uiPriority w:val="20"/>
    <w:qFormat/>
    <w:rPr>
      <w:b/>
      <w:bCs/>
      <w:i w:val="0"/>
      <w:iCs w:val="0"/>
    </w:rPr>
  </w:style>
  <w:style w:type="character" w:styleId="922">
    <w:name w:val="HTML 定义"/>
    <w:next w:val="922"/>
    <w:link w:val="863"/>
    <w:uiPriority w:val="99"/>
    <w:unhideWhenUsed/>
    <w:rPr>
      <w:b w:val="0"/>
      <w:bCs w:val="0"/>
      <w:i w:val="0"/>
      <w:iCs w:val="0"/>
    </w:rPr>
  </w:style>
  <w:style w:type="character" w:styleId="923">
    <w:name w:val="HTML 打字机"/>
    <w:next w:val="923"/>
    <w:link w:val="863"/>
    <w:uiPriority w:val="99"/>
    <w:unhideWhenUsed/>
    <w:rPr>
      <w:rFonts w:ascii="monospace" w:hAnsi="monospace" w:eastAsia="monospace" w:cs="monospace"/>
      <w:sz w:val="20"/>
    </w:rPr>
  </w:style>
  <w:style w:type="character" w:styleId="924">
    <w:name w:val="HTML 缩写"/>
    <w:next w:val="924"/>
    <w:link w:val="863"/>
    <w:uiPriority w:val="99"/>
    <w:unhideWhenUsed/>
  </w:style>
  <w:style w:type="character" w:styleId="925">
    <w:name w:val="HTML 变量"/>
    <w:next w:val="925"/>
    <w:link w:val="863"/>
    <w:uiPriority w:val="99"/>
    <w:unhideWhenUsed/>
    <w:rPr>
      <w:b w:val="0"/>
      <w:bCs w:val="0"/>
      <w:i w:val="0"/>
      <w:iCs w:val="0"/>
    </w:rPr>
  </w:style>
  <w:style w:type="character" w:styleId="926">
    <w:name w:val="超链接"/>
    <w:next w:val="926"/>
    <w:link w:val="863"/>
    <w:uiPriority w:val="99"/>
    <w:rPr>
      <w:color w:val="0000ff"/>
      <w:u w:val="none"/>
    </w:rPr>
  </w:style>
  <w:style w:type="character" w:styleId="927">
    <w:name w:val="HTML 代码"/>
    <w:next w:val="927"/>
    <w:link w:val="863"/>
    <w:uiPriority w:val="99"/>
    <w:unhideWhenUsed/>
    <w:rPr>
      <w:rFonts w:ascii="monospace" w:hAnsi="monospace" w:eastAsia="monospace" w:cs="monospace"/>
      <w:b w:val="0"/>
      <w:bCs w:val="0"/>
      <w:i w:val="0"/>
      <w:iCs w:val="0"/>
      <w:sz w:val="20"/>
    </w:rPr>
  </w:style>
  <w:style w:type="character" w:styleId="928">
    <w:name w:val="HTML 引文"/>
    <w:next w:val="928"/>
    <w:link w:val="863"/>
    <w:uiPriority w:val="99"/>
    <w:unhideWhenUsed/>
    <w:rPr>
      <w:b w:val="0"/>
      <w:bCs w:val="0"/>
      <w:i w:val="0"/>
      <w:iCs w:val="0"/>
    </w:rPr>
  </w:style>
  <w:style w:type="character" w:styleId="929">
    <w:name w:val="HTML 键盘"/>
    <w:next w:val="929"/>
    <w:link w:val="863"/>
    <w:uiPriority w:val="99"/>
    <w:unhideWhenUsed/>
    <w:rPr>
      <w:rFonts w:ascii="monospace" w:hAnsi="monospace" w:eastAsia="monospace" w:cs="monospace"/>
      <w:sz w:val="20"/>
    </w:rPr>
  </w:style>
  <w:style w:type="character" w:styleId="930">
    <w:name w:val="HTML 样本"/>
    <w:next w:val="930"/>
    <w:link w:val="863"/>
    <w:uiPriority w:val="99"/>
    <w:unhideWhenUsed/>
    <w:rPr>
      <w:rFonts w:ascii="monospace" w:hAnsi="monospace" w:eastAsia="monospace" w:cs="monospace"/>
    </w:rPr>
  </w:style>
  <w:style w:type="character" w:styleId="931">
    <w:name w:val="列出段落 字符"/>
    <w:next w:val="931"/>
    <w:link w:val="932"/>
    <w:uiPriority w:val="99"/>
  </w:style>
  <w:style w:type="paragraph" w:styleId="932">
    <w:name w:val="列出段落"/>
    <w:basedOn w:val="863"/>
    <w:next w:val="932"/>
    <w:link w:val="931"/>
    <w:uiPriority w:val="99"/>
    <w:qFormat/>
    <w:pPr>
      <w:ind w:firstLine="420"/>
    </w:pPr>
    <w:rPr>
      <w:sz w:val="20"/>
      <w:szCs w:val="20"/>
    </w:rPr>
  </w:style>
  <w:style w:type="character" w:styleId="933">
    <w:name w:val="文档结构图 Char1"/>
    <w:next w:val="933"/>
    <w:link w:val="863"/>
    <w:uiPriority w:val="99"/>
    <w:semiHidden/>
    <w:rPr>
      <w:rFonts w:ascii="宋体" w:hAnsi="Times New Roman" w:eastAsia="宋体" w:cs="Times New Roman"/>
      <w:sz w:val="18"/>
      <w:szCs w:val="18"/>
    </w:rPr>
  </w:style>
  <w:style w:type="character" w:styleId="934">
    <w:name w:val="普通正文 Char"/>
    <w:next w:val="934"/>
    <w:link w:val="935"/>
    <w:rPr>
      <w:rFonts w:ascii="Arial" w:hAnsi="Arial"/>
      <w:sz w:val="24"/>
      <w:szCs w:val="24"/>
    </w:rPr>
  </w:style>
  <w:style w:type="paragraph" w:styleId="935">
    <w:name w:val="普通正文"/>
    <w:basedOn w:val="863"/>
    <w:next w:val="935"/>
    <w:link w:val="934"/>
    <w:pPr>
      <w:ind w:left="-2" w:right="120" w:firstLine="480"/>
      <w:jc w:val="center"/>
      <w:spacing w:before="120" w:after="120" w:line="360" w:lineRule="auto"/>
    </w:pPr>
    <w:rPr>
      <w:rFonts w:ascii="Arial" w:hAnsi="Arial"/>
      <w:sz w:val="24"/>
    </w:rPr>
  </w:style>
  <w:style w:type="character" w:styleId="936">
    <w:name w:val="FA正文 Char"/>
    <w:next w:val="936"/>
    <w:link w:val="937"/>
    <w:rPr>
      <w:rFonts w:ascii="宋体" w:hAnsi="宋体" w:eastAsia="宋体" w:cs="Times New Roman"/>
      <w:sz w:val="28"/>
      <w:szCs w:val="28"/>
    </w:rPr>
  </w:style>
  <w:style w:type="paragraph" w:styleId="937">
    <w:name w:val="FA正文"/>
    <w:basedOn w:val="863"/>
    <w:next w:val="937"/>
    <w:link w:val="936"/>
    <w:pPr>
      <w:ind w:firstLine="538"/>
      <w:spacing w:line="440" w:lineRule="atLeast"/>
      <w:tabs>
        <w:tab w:val="left" w:pos="3375" w:leader="none"/>
      </w:tabs>
    </w:pPr>
    <w:rPr>
      <w:rFonts w:ascii="宋体" w:hAnsi="宋体"/>
      <w:sz w:val="28"/>
      <w:szCs w:val="28"/>
    </w:rPr>
  </w:style>
  <w:style w:type="character" w:styleId="938">
    <w:name w:val="正文缩进2格 Char"/>
    <w:next w:val="938"/>
    <w:link w:val="939"/>
    <w:rPr>
      <w:rFonts w:ascii="仿宋_GB2312" w:hAnsi="宋体" w:eastAsia="仿宋_GB2312" w:cs="Times New Roman"/>
      <w:sz w:val="31"/>
      <w:szCs w:val="28"/>
    </w:rPr>
  </w:style>
  <w:style w:type="paragraph" w:styleId="939">
    <w:name w:val="正文缩进2格"/>
    <w:basedOn w:val="863"/>
    <w:next w:val="939"/>
    <w:link w:val="938"/>
    <w:pPr>
      <w:ind w:firstLine="639"/>
      <w:spacing w:line="600" w:lineRule="exact"/>
    </w:pPr>
    <w:rPr>
      <w:rFonts w:ascii="仿宋_GB2312" w:hAnsi="宋体" w:eastAsia="仿宋_GB2312"/>
      <w:sz w:val="31"/>
      <w:szCs w:val="28"/>
    </w:rPr>
  </w:style>
  <w:style w:type="character" w:styleId="940">
    <w:name w:val="cn_text1"/>
    <w:next w:val="940"/>
    <w:link w:val="863"/>
    <w:rPr>
      <w:rFonts w:ascii="ˎ̥" w:hAnsi="ˎ̥"/>
      <w:color w:val="003399"/>
      <w:spacing w:val="15"/>
      <w:sz w:val="18"/>
      <w:szCs w:val="18"/>
    </w:rPr>
  </w:style>
  <w:style w:type="character" w:styleId="941">
    <w:name w:val="ssss Char"/>
    <w:next w:val="941"/>
    <w:link w:val="863"/>
    <w:rPr>
      <w:rFonts w:eastAsia="宋体"/>
      <w:sz w:val="24"/>
      <w:szCs w:val="24"/>
      <w:lang w:val="en-US" w:eastAsia="zh-CN" w:bidi="ar-SA"/>
    </w:rPr>
  </w:style>
  <w:style w:type="character" w:styleId="942">
    <w:name w:val="ssss Char1"/>
    <w:next w:val="942"/>
    <w:link w:val="943"/>
    <w:rPr>
      <w:rFonts w:ascii="Times New Roman" w:hAnsi="Times New Roman" w:eastAsia="宋体" w:cs="Times New Roman"/>
      <w:sz w:val="24"/>
      <w:szCs w:val="24"/>
    </w:rPr>
  </w:style>
  <w:style w:type="paragraph" w:styleId="943">
    <w:name w:val="ssss"/>
    <w:basedOn w:val="863"/>
    <w:next w:val="943"/>
    <w:link w:val="942"/>
    <w:pPr>
      <w:ind w:firstLine="480"/>
      <w:spacing w:line="360" w:lineRule="auto"/>
    </w:pPr>
    <w:rPr>
      <w:sz w:val="24"/>
    </w:rPr>
  </w:style>
  <w:style w:type="character" w:styleId="944">
    <w:name w:val="标题 4 Char1,H4 Char,heading 4 Char,h4 Char,PIM 4 Char,bullet Char,bl Char,bb Char,H41 Char,H42 Char,H43 Char,H44 Char,H45 Char,H46 Char,H47 Char,H48 Char,H49 Char,H410 Char,H411 Char,H421 Char,H431 Char,H441 Char,H451 Char,H461 Char,H471 Char,H481 Char"/>
    <w:next w:val="944"/>
    <w:link w:val="863"/>
    <w:rPr>
      <w:rFonts w:ascii="Arial" w:hAnsi="Arial" w:eastAsia="黑体"/>
      <w:b/>
      <w:bCs/>
      <w:sz w:val="28"/>
      <w:szCs w:val="28"/>
      <w:lang w:val="en-US" w:eastAsia="zh-CN" w:bidi="ar-SA"/>
    </w:rPr>
  </w:style>
  <w:style w:type="character" w:styleId="945">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45"/>
    <w:link w:val="863"/>
    <w:uiPriority w:val="34"/>
    <w:qFormat/>
    <w:rPr>
      <w:rFonts w:ascii="Calibri" w:hAnsi="Calibri"/>
      <w:sz w:val="21"/>
      <w:szCs w:val="22"/>
    </w:rPr>
  </w:style>
  <w:style w:type="character" w:styleId="946">
    <w:name w:val="批注框文本 Char1"/>
    <w:next w:val="946"/>
    <w:link w:val="863"/>
    <w:uiPriority w:val="99"/>
    <w:semiHidden/>
    <w:rPr>
      <w:rFonts w:ascii="Times New Roman" w:hAnsi="Times New Roman" w:eastAsia="宋体" w:cs="Times New Roman"/>
      <w:sz w:val="18"/>
      <w:szCs w:val="18"/>
    </w:rPr>
  </w:style>
  <w:style w:type="character" w:styleId="947">
    <w:name w:val="样式 ssss + 宋体 五号1 Char"/>
    <w:next w:val="947"/>
    <w:link w:val="948"/>
    <w:rPr>
      <w:rFonts w:ascii="宋体" w:hAnsi="宋体" w:eastAsia="宋体" w:cs="Times New Roman"/>
      <w:sz w:val="24"/>
      <w:szCs w:val="24"/>
    </w:rPr>
  </w:style>
  <w:style w:type="paragraph" w:styleId="948">
    <w:name w:val="样式 ssss + 宋体 五号1"/>
    <w:basedOn w:val="943"/>
    <w:next w:val="948"/>
    <w:link w:val="947"/>
    <w:rPr>
      <w:rFonts w:ascii="宋体" w:hAnsi="宋体"/>
    </w:rPr>
  </w:style>
  <w:style w:type="character" w:styleId="949">
    <w:name w:val="point_normal1"/>
    <w:next w:val="949"/>
    <w:link w:val="863"/>
    <w:rPr>
      <w:rFonts w:ascii="Arial" w:hAnsi="Arial" w:cs="Arial"/>
      <w:sz w:val="16"/>
      <w:szCs w:val="16"/>
    </w:rPr>
  </w:style>
  <w:style w:type="paragraph" w:styleId="950">
    <w:name w:val="样式 正文文本缩进 3 + 四号"/>
    <w:basedOn w:val="910"/>
    <w:next w:val="950"/>
    <w:link w:val="863"/>
    <w:pPr>
      <w:ind w:left="0" w:firstLine="437"/>
      <w:spacing w:after="0" w:line="360" w:lineRule="auto"/>
    </w:pPr>
    <w:rPr>
      <w:sz w:val="24"/>
      <w:szCs w:val="21"/>
    </w:rPr>
  </w:style>
  <w:style w:type="paragraph" w:styleId="951">
    <w:name w:val="2cxsplast"/>
    <w:basedOn w:val="863"/>
    <w:next w:val="951"/>
    <w:link w:val="863"/>
    <w:pPr>
      <w:jc w:val="left"/>
      <w:spacing w:before="100" w:beforeAutospacing="1" w:after="100" w:afterAutospacing="1"/>
      <w:widowControl/>
    </w:pPr>
    <w:rPr>
      <w:rFonts w:ascii="宋体" w:hAnsi="宋体" w:cs="宋体"/>
      <w:sz w:val="24"/>
    </w:rPr>
  </w:style>
  <w:style w:type="paragraph" w:styleId="952">
    <w:name w:val="ec_msonormal"/>
    <w:basedOn w:val="863"/>
    <w:next w:val="952"/>
    <w:link w:val="863"/>
    <w:pPr>
      <w:jc w:val="left"/>
      <w:spacing w:before="100" w:beforeAutospacing="1" w:after="100" w:afterAutospacing="1"/>
      <w:widowControl/>
    </w:pPr>
    <w:rPr>
      <w:rFonts w:ascii="宋体" w:hAnsi="宋体"/>
      <w:sz w:val="24"/>
    </w:rPr>
  </w:style>
  <w:style w:type="paragraph" w:styleId="953">
    <w:name w:val=" Char Char Char Char"/>
    <w:basedOn w:val="863"/>
    <w:next w:val="953"/>
    <w:link w:val="863"/>
    <w:rPr>
      <w:rFonts w:ascii="Tahoma" w:hAnsi="Tahoma"/>
      <w:sz w:val="24"/>
      <w:szCs w:val="20"/>
    </w:rPr>
  </w:style>
  <w:style w:type="paragraph" w:styleId="954">
    <w:name w:val=" Char Char Char Char Char Char Char Char Char Char Char Char Char"/>
    <w:basedOn w:val="863"/>
    <w:next w:val="954"/>
    <w:link w:val="863"/>
  </w:style>
  <w:style w:type="paragraph" w:styleId="955">
    <w:name w:val="表格正文"/>
    <w:basedOn w:val="863"/>
    <w:next w:val="955"/>
    <w:link w:val="863"/>
    <w:pPr>
      <w:jc w:val="left"/>
      <w:spacing w:line="360" w:lineRule="auto"/>
    </w:pPr>
    <w:rPr>
      <w:rFonts w:ascii="Calibri" w:hAnsi="Calibri"/>
      <w:color w:val="000000"/>
      <w:szCs w:val="28"/>
    </w:rPr>
  </w:style>
  <w:style w:type="paragraph" w:styleId="956">
    <w:name w:val="Normal1"/>
    <w:next w:val="956"/>
    <w:link w:val="863"/>
    <w:pPr>
      <w:jc w:val="both"/>
      <w:spacing w:line="315" w:lineRule="atLeast"/>
      <w:widowControl w:val="off"/>
    </w:pPr>
    <w:rPr>
      <w:rFonts w:ascii="宋体"/>
      <w:sz w:val="24"/>
      <w:lang w:val="en-US" w:eastAsia="zh-CN" w:bidi="ar-SA"/>
    </w:rPr>
  </w:style>
  <w:style w:type="paragraph" w:styleId="957">
    <w:name w:val="Char Char Char Char"/>
    <w:basedOn w:val="863"/>
    <w:next w:val="957"/>
    <w:link w:val="863"/>
    <w:rPr>
      <w:rFonts w:ascii="Tahoma" w:hAnsi="Tahoma"/>
      <w:sz w:val="24"/>
      <w:szCs w:val="20"/>
    </w:rPr>
  </w:style>
  <w:style w:type="paragraph" w:styleId="958">
    <w:name w:val="Char Char Char"/>
    <w:basedOn w:val="863"/>
    <w:next w:val="958"/>
    <w:link w:val="863"/>
    <w:rPr>
      <w:rFonts w:ascii="Tahoma" w:hAnsi="Tahoma"/>
      <w:sz w:val="24"/>
      <w:szCs w:val="20"/>
    </w:rPr>
  </w:style>
  <w:style w:type="paragraph" w:styleId="959">
    <w:name w:val="标题-----3"/>
    <w:basedOn w:val="866"/>
    <w:next w:val="959"/>
    <w:link w:val="863"/>
    <w:pPr>
      <w:spacing w:before="0" w:after="0" w:line="240" w:lineRule="auto"/>
      <w:outlineLvl w:val="0"/>
    </w:pPr>
    <w:rPr>
      <w:rFonts w:ascii="宋体" w:hAnsi="宋体"/>
      <w:b w:val="0"/>
      <w:bCs w:val="0"/>
      <w:sz w:val="28"/>
      <w:szCs w:val="28"/>
    </w:rPr>
  </w:style>
  <w:style w:type="paragraph" w:styleId="960">
    <w:name w:val="样式 ssss + 居中"/>
    <w:basedOn w:val="943"/>
    <w:next w:val="960"/>
    <w:link w:val="863"/>
    <w:pPr>
      <w:jc w:val="center"/>
    </w:pPr>
    <w:rPr>
      <w:rFonts w:cs="宋体"/>
      <w:szCs w:val="20"/>
    </w:rPr>
  </w:style>
  <w:style w:type="paragraph" w:styleId="961">
    <w:name w:val="样式 宋体 四号 黑色 左侧:  0.74 厘米 首行缩进:  0.74 厘米 行距: 1.5 倍行距"/>
    <w:basedOn w:val="863"/>
    <w:next w:val="961"/>
    <w:link w:val="863"/>
    <w:pPr>
      <w:ind w:firstLine="420"/>
      <w:spacing w:line="360" w:lineRule="auto"/>
    </w:pPr>
    <w:rPr>
      <w:rFonts w:ascii="宋体"/>
      <w:color w:val="000000"/>
      <w:sz w:val="24"/>
      <w:szCs w:val="21"/>
    </w:rPr>
  </w:style>
  <w:style w:type="paragraph" w:styleId="962">
    <w:name w:val="样式 样式 ssss + 宋体 五号 + 首行缩进:  2 字符"/>
    <w:basedOn w:val="963"/>
    <w:next w:val="962"/>
    <w:link w:val="863"/>
    <w:pPr>
      <w:ind w:firstLine="480"/>
    </w:pPr>
  </w:style>
  <w:style w:type="paragraph" w:styleId="963">
    <w:name w:val="样式 ssss + 宋体 五号"/>
    <w:basedOn w:val="943"/>
    <w:next w:val="963"/>
    <w:link w:val="863"/>
    <w:pPr>
      <w:ind w:firstLine="420"/>
    </w:pPr>
    <w:rPr>
      <w:rFonts w:ascii="宋体" w:hAnsi="宋体" w:cs="宋体"/>
      <w:szCs w:val="20"/>
    </w:rPr>
  </w:style>
  <w:style w:type="paragraph" w:styleId="964">
    <w:name w:val="msonormalcxsplast"/>
    <w:basedOn w:val="863"/>
    <w:next w:val="964"/>
    <w:link w:val="863"/>
    <w:pPr>
      <w:jc w:val="left"/>
      <w:spacing w:before="100" w:beforeAutospacing="1" w:after="100" w:afterAutospacing="1"/>
      <w:widowControl/>
    </w:pPr>
    <w:rPr>
      <w:rFonts w:ascii="宋体" w:hAnsi="宋体" w:cs="宋体"/>
      <w:sz w:val="24"/>
    </w:rPr>
  </w:style>
  <w:style w:type="paragraph" w:styleId="965">
    <w:name w:val=" Char"/>
    <w:basedOn w:val="863"/>
    <w:next w:val="965"/>
    <w:link w:val="863"/>
    <w:rPr>
      <w:rFonts w:ascii="Tahoma" w:hAnsi="Tahoma"/>
      <w:sz w:val="24"/>
      <w:szCs w:val="20"/>
    </w:rPr>
  </w:style>
  <w:style w:type="paragraph" w:styleId="966">
    <w:name w:val="xl25"/>
    <w:basedOn w:val="863"/>
    <w:next w:val="966"/>
    <w:link w:val="863"/>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67">
    <w:name w:val="标题------4"/>
    <w:basedOn w:val="867"/>
    <w:next w:val="967"/>
    <w:link w:val="863"/>
    <w:pPr>
      <w:ind w:left="960" w:hanging="420"/>
      <w:jc w:val="both"/>
      <w:keepLines/>
      <w:spacing w:line="360" w:lineRule="auto"/>
    </w:pPr>
    <w:rPr>
      <w:rFonts w:ascii="仿宋_GB2312" w:hAnsi="宋体" w:eastAsia="仿宋_GB2312" w:cs="仿宋_GB2312"/>
      <w:b/>
      <w:sz w:val="28"/>
      <w:szCs w:val="28"/>
      <w:lang w:val="zh-CN"/>
    </w:rPr>
  </w:style>
  <w:style w:type="paragraph" w:styleId="968">
    <w:name w:val="msonormalcxspmiddle"/>
    <w:basedOn w:val="863"/>
    <w:next w:val="968"/>
    <w:link w:val="863"/>
    <w:pPr>
      <w:jc w:val="left"/>
      <w:spacing w:before="100" w:beforeAutospacing="1" w:after="100" w:afterAutospacing="1"/>
      <w:widowControl/>
    </w:pPr>
    <w:rPr>
      <w:rFonts w:ascii="宋体" w:hAnsi="宋体" w:cs="宋体"/>
      <w:sz w:val="24"/>
    </w:rPr>
  </w:style>
  <w:style w:type="paragraph" w:styleId="969">
    <w:name w:val="Char Char Char Char Char Char Char Char Char Char Char Char Char"/>
    <w:basedOn w:val="863"/>
    <w:next w:val="969"/>
    <w:link w:val="863"/>
    <w:rPr>
      <w:sz w:val="24"/>
    </w:rPr>
  </w:style>
  <w:style w:type="paragraph" w:styleId="970">
    <w:name w:val="表格"/>
    <w:basedOn w:val="863"/>
    <w:next w:val="970"/>
    <w:link w:val="863"/>
    <w:rPr>
      <w:rFonts w:ascii="Arial" w:hAnsi="Arial"/>
      <w:sz w:val="24"/>
    </w:rPr>
  </w:style>
  <w:style w:type="paragraph" w:styleId="971">
    <w:name w:val="正文样式1"/>
    <w:basedOn w:val="863"/>
    <w:next w:val="971"/>
    <w:link w:val="863"/>
    <w:pPr>
      <w:ind w:firstLine="480"/>
      <w:spacing w:before="120" w:after="120" w:line="360" w:lineRule="auto"/>
    </w:pPr>
    <w:rPr>
      <w:sz w:val="24"/>
      <w:szCs w:val="20"/>
    </w:rPr>
  </w:style>
  <w:style w:type="paragraph" w:styleId="972">
    <w:name w:val=" Char Char1 Char Char Char Char Char Char"/>
    <w:basedOn w:val="863"/>
    <w:next w:val="972"/>
    <w:link w:val="863"/>
    <w:pPr>
      <w:jc w:val="left"/>
      <w:spacing w:after="160" w:line="240" w:lineRule="exact"/>
      <w:widowControl/>
    </w:pPr>
    <w:rPr>
      <w:rFonts w:ascii="Verdana" w:hAnsi="Verdana" w:eastAsia="仿宋_GB2312"/>
      <w:sz w:val="24"/>
      <w:szCs w:val="20"/>
      <w:lang w:eastAsia="en-US"/>
    </w:rPr>
  </w:style>
  <w:style w:type="paragraph" w:styleId="973">
    <w:name w:val="Char Char Char Char Char Char Char Char Char Char"/>
    <w:basedOn w:val="863"/>
    <w:next w:val="973"/>
    <w:link w:val="863"/>
    <w:rPr>
      <w:rFonts w:ascii="Tahoma" w:hAnsi="Tahoma"/>
      <w:sz w:val="24"/>
      <w:szCs w:val="20"/>
    </w:rPr>
  </w:style>
  <w:style w:type="paragraph" w:styleId="974">
    <w:name w:val="Char"/>
    <w:basedOn w:val="863"/>
    <w:next w:val="974"/>
    <w:link w:val="863"/>
    <w:pPr>
      <w:tabs>
        <w:tab w:val="left" w:pos="360" w:leader="none"/>
      </w:tabs>
    </w:pPr>
    <w:rPr>
      <w:sz w:val="24"/>
    </w:rPr>
  </w:style>
  <w:style w:type="paragraph" w:styleId="975">
    <w:name w:val="标题1"/>
    <w:basedOn w:val="863"/>
    <w:next w:val="863"/>
    <w:link w:val="863"/>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name w:val="Header2"/>
    <w:basedOn w:val="863"/>
    <w:next w:val="976"/>
    <w:link w:val="863"/>
    <w:pPr>
      <w:numPr>
        <w:ilvl w:val="0"/>
        <w:numId w:val="1"/>
      </w:numPr>
      <w:tabs>
        <w:tab w:val="left" w:pos="480" w:leader="none"/>
      </w:tabs>
    </w:pPr>
  </w:style>
  <w:style w:type="paragraph" w:styleId="977">
    <w:name w:val=" Char Char 字元 字元 字元 Char Char Char Char"/>
    <w:basedOn w:val="863"/>
    <w:next w:val="977"/>
    <w:link w:val="863"/>
    <w:pPr>
      <w:spacing w:line="360" w:lineRule="auto"/>
    </w:pPr>
    <w:rPr>
      <w:sz w:val="24"/>
      <w:szCs w:val="20"/>
    </w:rPr>
  </w:style>
  <w:style w:type="paragraph" w:styleId="978">
    <w:name w:val="2cxspmiddle"/>
    <w:basedOn w:val="863"/>
    <w:next w:val="978"/>
    <w:link w:val="863"/>
    <w:pPr>
      <w:jc w:val="left"/>
      <w:spacing w:before="100" w:beforeAutospacing="1" w:after="100" w:afterAutospacing="1"/>
      <w:widowControl/>
    </w:pPr>
    <w:rPr>
      <w:rFonts w:ascii="宋体" w:hAnsi="宋体" w:cs="宋体"/>
      <w:sz w:val="24"/>
    </w:rPr>
  </w:style>
  <w:style w:type="paragraph" w:styleId="979">
    <w:name w:val="正文_0_0"/>
    <w:next w:val="979"/>
    <w:link w:val="863"/>
    <w:qFormat/>
    <w:pPr>
      <w:jc w:val="both"/>
      <w:widowControl w:val="off"/>
    </w:pPr>
    <w:rPr>
      <w:sz w:val="21"/>
      <w:szCs w:val="24"/>
      <w:lang w:val="en-US" w:eastAsia="zh-CN" w:bidi="ar-SA"/>
    </w:rPr>
  </w:style>
  <w:style w:type="paragraph" w:styleId="980">
    <w:name w:val="正文_1_0"/>
    <w:next w:val="980"/>
    <w:link w:val="863"/>
    <w:qFormat/>
    <w:pPr>
      <w:jc w:val="both"/>
      <w:widowControl w:val="off"/>
    </w:pPr>
    <w:rPr>
      <w:sz w:val="21"/>
      <w:szCs w:val="24"/>
      <w:lang w:val="en-US" w:eastAsia="zh-CN" w:bidi="ar-SA"/>
    </w:rPr>
  </w:style>
  <w:style w:type="table" w:styleId="981">
    <w:name w:val="网格型1"/>
    <w:basedOn w:val="874"/>
    <w:next w:val="981"/>
    <w:link w:val="863"/>
    <w:uiPriority w:val="39"/>
    <w:rPr>
      <w:rFonts w:ascii="等线" w:hAnsi="等线" w:eastAsia="等线" w:cs="Times New Roman"/>
      <w:sz w:val="21"/>
      <w:szCs w:val="22"/>
    </w:rPr>
    <w:tblPr/>
  </w:style>
  <w:style w:type="character" w:styleId="982">
    <w:name w:val="font121"/>
    <w:next w:val="982"/>
    <w:link w:val="863"/>
    <w:rPr>
      <w:rFonts w:hint="eastAsia" w:ascii="宋体" w:hAnsi="宋体" w:eastAsia="宋体" w:cs="宋体"/>
      <w:b/>
      <w:bCs/>
      <w:i w:val="0"/>
      <w:iCs w:val="0"/>
      <w:color w:val="000000"/>
      <w:sz w:val="20"/>
      <w:szCs w:val="20"/>
      <w:u w:val="none"/>
    </w:rPr>
  </w:style>
  <w:style w:type="character" w:styleId="983">
    <w:name w:val="font151"/>
    <w:next w:val="983"/>
    <w:link w:val="863"/>
    <w:rPr>
      <w:rFonts w:hint="eastAsia" w:ascii="宋体" w:hAnsi="宋体" w:eastAsia="宋体" w:cs="宋体"/>
      <w:i w:val="0"/>
      <w:iCs w:val="0"/>
      <w:color w:val="000000"/>
      <w:sz w:val="20"/>
      <w:szCs w:val="20"/>
      <w:u w:val="none"/>
    </w:rPr>
  </w:style>
  <w:style w:type="character" w:styleId="984">
    <w:name w:val="font51"/>
    <w:next w:val="984"/>
    <w:link w:val="863"/>
    <w:rPr>
      <w:rFonts w:hint="eastAsia" w:ascii="宋体" w:hAnsi="宋体" w:eastAsia="宋体" w:cs="宋体"/>
      <w:i w:val="0"/>
      <w:iCs w:val="0"/>
      <w:color w:val="000000"/>
      <w:sz w:val="20"/>
      <w:szCs w:val="20"/>
      <w:u w:val="none"/>
    </w:rPr>
  </w:style>
  <w:style w:type="character" w:styleId="985">
    <w:name w:val="mini-outputtext1"/>
    <w:next w:val="985"/>
    <w:link w:val="863"/>
  </w:style>
  <w:style w:type="paragraph" w:styleId="986">
    <w:name w:val="msonormal"/>
    <w:basedOn w:val="863"/>
    <w:next w:val="986"/>
    <w:link w:val="863"/>
    <w:pPr>
      <w:jc w:val="left"/>
      <w:spacing w:before="100" w:beforeAutospacing="1" w:after="100" w:afterAutospacing="1"/>
      <w:widowControl/>
    </w:pPr>
    <w:rPr>
      <w:rFonts w:ascii="宋体" w:hAnsi="宋体" w:cs="宋体"/>
      <w:sz w:val="24"/>
    </w:rPr>
  </w:style>
  <w:style w:type="paragraph" w:styleId="987">
    <w:name w:val="font5"/>
    <w:basedOn w:val="863"/>
    <w:next w:val="987"/>
    <w:link w:val="863"/>
    <w:pPr>
      <w:jc w:val="left"/>
      <w:spacing w:before="100" w:beforeAutospacing="1" w:after="100" w:afterAutospacing="1"/>
      <w:widowControl/>
    </w:pPr>
    <w:rPr>
      <w:rFonts w:ascii="Arial" w:hAnsi="Arial" w:cs="Arial"/>
      <w:color w:val="000000"/>
      <w:sz w:val="22"/>
      <w:szCs w:val="22"/>
    </w:rPr>
  </w:style>
  <w:style w:type="paragraph" w:styleId="988">
    <w:name w:val="font6"/>
    <w:basedOn w:val="863"/>
    <w:next w:val="988"/>
    <w:link w:val="863"/>
    <w:pPr>
      <w:jc w:val="left"/>
      <w:spacing w:before="100" w:beforeAutospacing="1" w:after="100" w:afterAutospacing="1"/>
      <w:widowControl/>
    </w:pPr>
    <w:rPr>
      <w:rFonts w:ascii="仿宋" w:hAnsi="仿宋" w:eastAsia="仿宋" w:cs="宋体"/>
      <w:color w:val="000000"/>
      <w:sz w:val="22"/>
      <w:szCs w:val="22"/>
    </w:rPr>
  </w:style>
  <w:style w:type="paragraph" w:styleId="989">
    <w:name w:val="xl66"/>
    <w:basedOn w:val="863"/>
    <w:next w:val="989"/>
    <w:link w:val="863"/>
    <w:pPr>
      <w:jc w:val="center"/>
      <w:spacing w:before="100" w:beforeAutospacing="1" w:after="100" w:afterAutospacing="1"/>
      <w:widowControl/>
    </w:pPr>
    <w:rPr>
      <w:rFonts w:ascii="宋体" w:hAnsi="宋体" w:cs="宋体"/>
      <w:color w:val="000000"/>
      <w:sz w:val="22"/>
      <w:szCs w:val="22"/>
    </w:rPr>
  </w:style>
  <w:style w:type="paragraph" w:styleId="990">
    <w:name w:val="xl67"/>
    <w:basedOn w:val="863"/>
    <w:next w:val="990"/>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991">
    <w:name w:val="xl68"/>
    <w:basedOn w:val="863"/>
    <w:next w:val="991"/>
    <w:link w:val="8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2"/>
      <w:szCs w:val="22"/>
    </w:rPr>
  </w:style>
  <w:style w:type="paragraph" w:styleId="992">
    <w:name w:val="xl69"/>
    <w:basedOn w:val="863"/>
    <w:next w:val="992"/>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993">
    <w:name w:val="xl70"/>
    <w:basedOn w:val="863"/>
    <w:next w:val="993"/>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94">
    <w:name w:val="xl71"/>
    <w:basedOn w:val="863"/>
    <w:next w:val="994"/>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995">
    <w:name w:val="xl72"/>
    <w:basedOn w:val="863"/>
    <w:next w:val="995"/>
    <w:link w:val="8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2"/>
      <w:szCs w:val="22"/>
    </w:rPr>
  </w:style>
  <w:style w:type="paragraph" w:styleId="996">
    <w:name w:val="xl73"/>
    <w:basedOn w:val="863"/>
    <w:next w:val="996"/>
    <w:link w:val="8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997">
    <w:name w:val="xl74"/>
    <w:basedOn w:val="863"/>
    <w:next w:val="997"/>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98">
    <w:name w:val="xl75"/>
    <w:basedOn w:val="863"/>
    <w:next w:val="998"/>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999">
    <w:name w:val="xl76"/>
    <w:basedOn w:val="863"/>
    <w:next w:val="999"/>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1000">
    <w:name w:val="xl77"/>
    <w:basedOn w:val="863"/>
    <w:next w:val="1000"/>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2"/>
      <w:szCs w:val="22"/>
    </w:rPr>
  </w:style>
  <w:style w:type="paragraph" w:styleId="1001">
    <w:name w:val="xl78"/>
    <w:basedOn w:val="863"/>
    <w:next w:val="1001"/>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2">
    <w:name w:val="xl79"/>
    <w:basedOn w:val="863"/>
    <w:next w:val="1002"/>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3">
    <w:name w:val="xl80"/>
    <w:basedOn w:val="863"/>
    <w:next w:val="1003"/>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004">
    <w:name w:val="xl81"/>
    <w:basedOn w:val="863"/>
    <w:next w:val="1004"/>
    <w:link w:val="8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005">
    <w:name w:val="xl82"/>
    <w:basedOn w:val="863"/>
    <w:next w:val="1005"/>
    <w:link w:val="863"/>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006">
    <w:name w:val="xl83"/>
    <w:basedOn w:val="863"/>
    <w:next w:val="1006"/>
    <w:link w:val="8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007">
    <w:name w:val="xl84"/>
    <w:basedOn w:val="863"/>
    <w:next w:val="1007"/>
    <w:link w:val="86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008">
    <w:name w:val="xl85"/>
    <w:basedOn w:val="863"/>
    <w:next w:val="1008"/>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009">
    <w:name w:val="xl86"/>
    <w:basedOn w:val="863"/>
    <w:next w:val="1009"/>
    <w:link w:val="8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010">
    <w:name w:val="xl87"/>
    <w:basedOn w:val="863"/>
    <w:next w:val="1010"/>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11">
    <w:name w:val="xl88"/>
    <w:basedOn w:val="863"/>
    <w:next w:val="1011"/>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2"/>
      <w:szCs w:val="22"/>
    </w:rPr>
  </w:style>
  <w:style w:type="paragraph" w:styleId="1012">
    <w:name w:val="xl89"/>
    <w:basedOn w:val="863"/>
    <w:next w:val="1012"/>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3">
    <w:name w:val="xl90"/>
    <w:basedOn w:val="863"/>
    <w:next w:val="1013"/>
    <w:link w:val="8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4">
    <w:name w:val="xl91"/>
    <w:basedOn w:val="863"/>
    <w:next w:val="1014"/>
    <w:link w:val="863"/>
    <w:pPr>
      <w:jc w:val="center"/>
      <w:spacing w:before="100" w:beforeAutospacing="1" w:after="100" w:afterAutospacing="1"/>
      <w:shd w:val="clear" w:color="000000" w:fill="ffff00"/>
      <w:widowControl/>
      <w:pBdr>
        <w:top w:val="single" w:color="000000" w:sz="4" w:space="0"/>
        <w:bottom w:val="single" w:color="000000" w:sz="4" w:space="0"/>
        <w:right w:val="single" w:color="000000" w:sz="4" w:space="0"/>
      </w:pBdr>
    </w:pPr>
    <w:rPr>
      <w:rFonts w:ascii="宋体" w:hAnsi="宋体" w:cs="宋体"/>
      <w:sz w:val="24"/>
    </w:rPr>
  </w:style>
  <w:style w:type="paragraph" w:styleId="1015">
    <w:name w:val="xl92"/>
    <w:basedOn w:val="863"/>
    <w:next w:val="1015"/>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016">
    <w:name w:val="xl93"/>
    <w:basedOn w:val="863"/>
    <w:next w:val="1016"/>
    <w:link w:val="8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017">
    <w:name w:val="xl94"/>
    <w:basedOn w:val="863"/>
    <w:next w:val="1017"/>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018">
    <w:name w:val="NormalCharacter1"/>
    <w:next w:val="1018"/>
    <w:link w:val="863"/>
    <w:qFormat/>
    <w:rPr>
      <w:rFonts w:ascii="Calibri" w:hAnsi="Calibri"/>
      <w:sz w:val="21"/>
      <w:lang w:val="en-US" w:eastAsia="zh-CN" w:bidi="ar-SA"/>
    </w:rPr>
  </w:style>
  <w:style w:type="character" w:styleId="1019">
    <w:name w:val="font71"/>
    <w:next w:val="1019"/>
    <w:link w:val="863"/>
    <w:rPr>
      <w:rFonts w:ascii="Arial" w:hAnsi="Arial" w:cs="Arial"/>
      <w:i w:val="0"/>
      <w:iCs w:val="0"/>
      <w:color w:val="000000"/>
      <w:sz w:val="28"/>
      <w:szCs w:val="28"/>
      <w:u w:val="single"/>
    </w:rPr>
  </w:style>
  <w:style w:type="character" w:styleId="1020">
    <w:name w:val="font61"/>
    <w:next w:val="1020"/>
    <w:link w:val="863"/>
    <w:rPr>
      <w:rFonts w:hint="eastAsia" w:ascii="宋体" w:hAnsi="宋体" w:eastAsia="宋体" w:cs="宋体"/>
      <w:i w:val="0"/>
      <w:iCs w:val="0"/>
      <w:color w:val="000000"/>
      <w:sz w:val="28"/>
      <w:szCs w:val="28"/>
      <w:u w:val="single"/>
    </w:rPr>
  </w:style>
  <w:style w:type="character" w:styleId="1021">
    <w:name w:val="font41"/>
    <w:next w:val="1021"/>
    <w:link w:val="863"/>
    <w:rPr>
      <w:rFonts w:hint="eastAsia" w:ascii="宋体" w:hAnsi="宋体" w:eastAsia="宋体" w:cs="宋体"/>
      <w:i w:val="0"/>
      <w:iCs w:val="0"/>
      <w:color w:val="000000"/>
      <w:sz w:val="28"/>
      <w:szCs w:val="28"/>
      <w:u w:val="none"/>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 Id="rId11" Type="http://schemas.openxmlformats.org/officeDocument/2006/relationships/oleObject" Target="embeddings/oleObject1.bin"/><Relationship Id="rId1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东北</dc:creator>
  <cp:lastModifiedBy>朱鹏飞</cp:lastModifiedBy>
  <cp:revision>17</cp:revision>
  <dcterms:created xsi:type="dcterms:W3CDTF">2023-05-09T04:33:00Z</dcterms:created>
  <dcterms:modified xsi:type="dcterms:W3CDTF">2024-02-02T03:43:33Z</dcterms:modified>
</cp:coreProperties>
</file>