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eastAsia="宋体" w:cs="宋体"/>
          <w:b/>
          <w:bCs/>
          <w:sz w:val="32"/>
          <w:szCs w:val="32"/>
          <w:highlight w:val="none"/>
          <w:lang w:val="en-US" w:eastAsia="zh-CN"/>
        </w:rPr>
      </w:pPr>
      <w:bookmarkStart w:id="0" w:name="_GoBack"/>
      <w:r>
        <w:rPr>
          <w:rFonts w:hint="eastAsia" w:ascii="宋体" w:hAnsi="宋体" w:eastAsia="宋体" w:cs="宋体"/>
          <w:b/>
          <w:bCs/>
          <w:sz w:val="32"/>
          <w:szCs w:val="32"/>
          <w:highlight w:val="none"/>
          <w:lang w:val="en-US" w:eastAsia="zh-CN"/>
        </w:rPr>
        <w:t>采购需求</w:t>
      </w:r>
    </w:p>
    <w:bookmarkEnd w:id="0"/>
    <w:p>
      <w:p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一、项目概况</w:t>
      </w:r>
    </w:p>
    <w:p>
      <w:pPr>
        <w:spacing w:line="360" w:lineRule="auto"/>
        <w:jc w:val="both"/>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lang w:val="en-US"/>
        </w:rPr>
        <w:t>为提高</w:t>
      </w:r>
      <w:r>
        <w:rPr>
          <w:rFonts w:hint="eastAsia" w:ascii="宋体" w:hAnsi="宋体" w:eastAsia="宋体" w:cs="宋体"/>
          <w:color w:val="auto"/>
          <w:sz w:val="24"/>
          <w:szCs w:val="24"/>
          <w:highlight w:val="none"/>
          <w:lang w:val="en-US" w:eastAsia="zh-CN"/>
        </w:rPr>
        <w:t>丹徒区</w:t>
      </w:r>
      <w:r>
        <w:rPr>
          <w:rFonts w:hint="eastAsia" w:ascii="宋体" w:hAnsi="宋体" w:eastAsia="宋体" w:cs="宋体"/>
          <w:color w:val="auto"/>
          <w:sz w:val="24"/>
          <w:szCs w:val="24"/>
          <w:highlight w:val="none"/>
          <w:lang w:val="en-US"/>
        </w:rPr>
        <w:t>老年群体及困难群体居家养老服务水平，助推</w:t>
      </w:r>
      <w:r>
        <w:rPr>
          <w:rFonts w:hint="eastAsia" w:ascii="宋体" w:hAnsi="宋体" w:eastAsia="宋体" w:cs="宋体"/>
          <w:color w:val="auto"/>
          <w:sz w:val="24"/>
          <w:szCs w:val="24"/>
          <w:highlight w:val="none"/>
          <w:lang w:val="en-US" w:eastAsia="zh-CN"/>
        </w:rPr>
        <w:t>丹徒区</w:t>
      </w:r>
      <w:r>
        <w:rPr>
          <w:rFonts w:hint="eastAsia" w:ascii="宋体" w:hAnsi="宋体" w:eastAsia="宋体" w:cs="宋体"/>
          <w:color w:val="auto"/>
          <w:sz w:val="24"/>
          <w:szCs w:val="24"/>
          <w:highlight w:val="none"/>
          <w:lang w:val="en-US"/>
        </w:rPr>
        <w:t>养老服务事业发展，对丹徒区老人居家养老服务公开招标采购，</w:t>
      </w:r>
      <w:r>
        <w:rPr>
          <w:rFonts w:hint="eastAsia" w:ascii="宋体" w:hAnsi="宋体" w:eastAsia="宋体" w:cs="宋体"/>
          <w:sz w:val="24"/>
          <w:szCs w:val="24"/>
          <w:highlight w:val="none"/>
        </w:rPr>
        <w:t>每个服务范围选定1名</w:t>
      </w:r>
      <w:r>
        <w:rPr>
          <w:rFonts w:hint="eastAsia" w:ascii="宋体" w:hAnsi="宋体" w:eastAsia="宋体" w:cs="宋体"/>
          <w:color w:val="000000" w:themeColor="text1"/>
          <w:sz w:val="24"/>
          <w:szCs w:val="24"/>
          <w:highlight w:val="none"/>
          <w:lang w:val="en-US" w:eastAsia="zh-CN"/>
          <w14:textFill>
            <w14:solidFill>
              <w14:schemeClr w14:val="tx1"/>
            </w14:solidFill>
          </w14:textFill>
        </w:rPr>
        <w:t>中标单位</w:t>
      </w:r>
      <w:r>
        <w:rPr>
          <w:rFonts w:hint="eastAsia" w:ascii="宋体" w:hAnsi="宋体" w:eastAsia="宋体" w:cs="宋体"/>
          <w:color w:val="auto"/>
          <w:sz w:val="24"/>
          <w:szCs w:val="24"/>
          <w:highlight w:val="none"/>
          <w:lang w:val="en-US"/>
        </w:rPr>
        <w:t>负责</w:t>
      </w:r>
      <w:r>
        <w:rPr>
          <w:rFonts w:hint="eastAsia" w:ascii="宋体" w:hAnsi="宋体" w:eastAsia="宋体" w:cs="宋体"/>
          <w:color w:val="auto"/>
          <w:sz w:val="24"/>
          <w:szCs w:val="24"/>
          <w:highlight w:val="none"/>
          <w:lang w:val="en-US" w:eastAsia="zh-CN"/>
        </w:rPr>
        <w:t>丹徒区</w:t>
      </w:r>
      <w:r>
        <w:rPr>
          <w:rFonts w:hint="eastAsia" w:ascii="宋体" w:hAnsi="宋体" w:eastAsia="宋体" w:cs="宋体"/>
          <w:color w:val="auto"/>
          <w:sz w:val="24"/>
          <w:szCs w:val="24"/>
          <w:highlight w:val="none"/>
          <w:lang w:val="en-US"/>
        </w:rPr>
        <w:t>上门居家养老服务工作。</w:t>
      </w:r>
    </w:p>
    <w:p>
      <w:pPr>
        <w:bidi w:val="0"/>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000000"/>
          <w:sz w:val="24"/>
          <w:szCs w:val="24"/>
          <w:highlight w:val="none"/>
        </w:rPr>
        <w:t>（二）项目预算</w:t>
      </w:r>
      <w:r>
        <w:rPr>
          <w:rFonts w:hint="eastAsia" w:ascii="宋体" w:hAnsi="宋体" w:eastAsia="宋体" w:cs="宋体"/>
          <w:color w:val="000000"/>
          <w:sz w:val="24"/>
          <w:szCs w:val="24"/>
          <w:highlight w:val="none"/>
          <w:lang w:eastAsia="zh-CN"/>
        </w:rPr>
        <w:t>：</w:t>
      </w:r>
      <w:r>
        <w:rPr>
          <w:rFonts w:hint="eastAsia" w:ascii="宋体" w:hAnsi="宋体" w:eastAsia="宋体" w:cs="宋体"/>
          <w:sz w:val="24"/>
          <w:szCs w:val="24"/>
          <w:highlight w:val="none"/>
          <w:lang w:val="en-US" w:eastAsia="zh-CN"/>
        </w:rPr>
        <w:t>500</w:t>
      </w:r>
      <w:r>
        <w:rPr>
          <w:rFonts w:hint="eastAsia" w:ascii="宋体" w:hAnsi="宋体" w:eastAsia="宋体" w:cs="宋体"/>
          <w:sz w:val="24"/>
          <w:szCs w:val="24"/>
          <w:highlight w:val="none"/>
          <w:lang w:val="en-US"/>
        </w:rPr>
        <w:t>万元/年。</w:t>
      </w:r>
      <w:r>
        <w:rPr>
          <w:rFonts w:hint="eastAsia" w:ascii="宋体" w:hAnsi="宋体" w:eastAsia="宋体" w:cs="宋体"/>
          <w:sz w:val="24"/>
          <w:szCs w:val="24"/>
          <w:highlight w:val="none"/>
        </w:rPr>
        <w:t>投标人报价超过各标段预算金额的为无效报价，按照无效响应处理。</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具体按实际服务量结算服务费用</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val="en-US"/>
        </w:rPr>
        <w:t>。</w:t>
      </w:r>
    </w:p>
    <w:p>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三</w:t>
      </w:r>
      <w:r>
        <w:rPr>
          <w:rFonts w:hint="eastAsia" w:ascii="宋体" w:hAnsi="宋体" w:eastAsia="宋体" w:cs="宋体"/>
          <w:sz w:val="24"/>
          <w:szCs w:val="24"/>
          <w:highlight w:val="none"/>
        </w:rPr>
        <w:t>）确定中标人数量：每个服务范围选定1名中标人。</w:t>
      </w:r>
    </w:p>
    <w:p>
      <w:pPr>
        <w:spacing w:line="36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四</w:t>
      </w:r>
      <w:r>
        <w:rPr>
          <w:rFonts w:hint="eastAsia" w:ascii="宋体" w:hAnsi="宋体" w:eastAsia="宋体" w:cs="宋体"/>
          <w:sz w:val="24"/>
          <w:szCs w:val="24"/>
          <w:highlight w:val="none"/>
        </w:rPr>
        <w:t>）项目所属行业：</w:t>
      </w:r>
      <w:r>
        <w:rPr>
          <w:rFonts w:hint="eastAsia" w:ascii="宋体" w:hAnsi="宋体" w:eastAsia="宋体" w:cs="宋体"/>
          <w:color w:val="000000"/>
          <w:sz w:val="24"/>
          <w:szCs w:val="24"/>
          <w:highlight w:val="none"/>
        </w:rPr>
        <w:t>其他未列明行业</w:t>
      </w:r>
      <w:r>
        <w:rPr>
          <w:rFonts w:hint="eastAsia" w:ascii="宋体" w:hAnsi="宋体" w:eastAsia="宋体" w:cs="宋体"/>
          <w:color w:val="auto"/>
          <w:sz w:val="24"/>
          <w:szCs w:val="24"/>
          <w:highlight w:val="none"/>
          <w:u w:val="none"/>
          <w:shd w:val="clear" w:color="auto" w:fill="FFFFFF"/>
          <w:lang w:eastAsia="zh-CN"/>
        </w:rPr>
        <w:t>。</w:t>
      </w:r>
    </w:p>
    <w:p>
      <w:p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二、采购标的汇总表</w:t>
      </w:r>
    </w:p>
    <w:p>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（一） 采购标的</w:t>
      </w:r>
    </w:p>
    <w:p>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eastAsia="zh-CN"/>
        </w:rPr>
        <w:t>服务</w:t>
      </w:r>
      <w:r>
        <w:rPr>
          <w:rFonts w:hint="eastAsia" w:ascii="宋体" w:hAnsi="宋体" w:eastAsia="宋体" w:cs="宋体"/>
          <w:sz w:val="24"/>
          <w:szCs w:val="24"/>
          <w:highlight w:val="none"/>
        </w:rPr>
        <w:t>类标的</w:t>
      </w:r>
    </w:p>
    <w:tbl>
      <w:tblPr>
        <w:tblStyle w:val="3"/>
        <w:tblW w:w="10277" w:type="dxa"/>
        <w:jc w:val="center"/>
        <w:tblCellSpacing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27"/>
        <w:gridCol w:w="3795"/>
        <w:gridCol w:w="1350"/>
        <w:gridCol w:w="1350"/>
        <w:gridCol w:w="1365"/>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62" w:hRule="atLeast"/>
          <w:tblCellSpacing w:w="0" w:type="dxa"/>
          <w:jc w:val="center"/>
        </w:trPr>
        <w:tc>
          <w:tcPr>
            <w:tcW w:w="1027"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序号</w:t>
            </w:r>
          </w:p>
        </w:tc>
        <w:tc>
          <w:tcPr>
            <w:tcW w:w="3795"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lang w:eastAsia="zh-CN"/>
              </w:rPr>
              <w:t>服务</w:t>
            </w:r>
            <w:r>
              <w:rPr>
                <w:rFonts w:hint="eastAsia" w:ascii="宋体" w:hAnsi="宋体" w:eastAsia="宋体" w:cs="宋体"/>
                <w:b w:val="0"/>
                <w:bCs w:val="0"/>
                <w:sz w:val="24"/>
                <w:szCs w:val="24"/>
                <w:highlight w:val="none"/>
              </w:rPr>
              <w:t>类标的名称</w:t>
            </w:r>
          </w:p>
        </w:tc>
        <w:tc>
          <w:tcPr>
            <w:tcW w:w="1350"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计量单位</w:t>
            </w:r>
          </w:p>
        </w:tc>
        <w:tc>
          <w:tcPr>
            <w:tcW w:w="1350"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数量</w:t>
            </w:r>
          </w:p>
        </w:tc>
        <w:tc>
          <w:tcPr>
            <w:tcW w:w="1365"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是否进口</w:t>
            </w:r>
          </w:p>
        </w:tc>
        <w:tc>
          <w:tcPr>
            <w:tcW w:w="1390"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88" w:hRule="atLeast"/>
          <w:tblCellSpacing w:w="0" w:type="dxa"/>
          <w:jc w:val="center"/>
        </w:trPr>
        <w:tc>
          <w:tcPr>
            <w:tcW w:w="1027" w:type="dxa"/>
            <w:noWrap/>
            <w:vAlign w:val="center"/>
          </w:tcPr>
          <w:p>
            <w:pPr>
              <w:spacing w:line="360" w:lineRule="auto"/>
              <w:jc w:val="center"/>
              <w:rPr>
                <w:rFonts w:hint="eastAsia" w:ascii="宋体" w:hAnsi="宋体" w:eastAsia="宋体" w:cs="宋体"/>
                <w:b w:val="0"/>
                <w:bCs w:val="0"/>
                <w:color w:val="000000"/>
                <w:sz w:val="24"/>
                <w:szCs w:val="24"/>
                <w:highlight w:val="none"/>
                <w:lang w:val="en-US"/>
              </w:rPr>
            </w:pPr>
            <w:r>
              <w:rPr>
                <w:rFonts w:hint="eastAsia" w:ascii="宋体" w:hAnsi="宋体" w:eastAsia="宋体" w:cs="宋体"/>
                <w:b w:val="0"/>
                <w:bCs w:val="0"/>
                <w:color w:val="000000"/>
                <w:sz w:val="24"/>
                <w:szCs w:val="24"/>
                <w:highlight w:val="none"/>
                <w:lang w:val="en-US"/>
              </w:rPr>
              <w:t>1</w:t>
            </w:r>
          </w:p>
        </w:tc>
        <w:tc>
          <w:tcPr>
            <w:tcW w:w="3795" w:type="dxa"/>
            <w:noWrap/>
            <w:vAlign w:val="center"/>
          </w:tcPr>
          <w:p>
            <w:pPr>
              <w:pStyle w:val="5"/>
              <w:spacing w:line="360" w:lineRule="auto"/>
              <w:jc w:val="center"/>
              <w:rPr>
                <w:rFonts w:hint="eastAsia" w:ascii="宋体" w:hAnsi="宋体" w:eastAsia="宋体" w:cs="宋体"/>
                <w:b w:val="0"/>
                <w:bCs w:val="0"/>
                <w:sz w:val="24"/>
                <w:szCs w:val="24"/>
                <w:highlight w:val="none"/>
                <w:lang w:eastAsia="zh-CN"/>
              </w:rPr>
            </w:pPr>
            <w:r>
              <w:rPr>
                <w:rFonts w:hint="eastAsia" w:ascii="宋体" w:hAnsi="宋体" w:eastAsia="宋体" w:cs="宋体"/>
                <w:b w:val="0"/>
                <w:bCs w:val="0"/>
                <w:color w:val="auto"/>
                <w:sz w:val="24"/>
                <w:szCs w:val="24"/>
                <w:highlight w:val="none"/>
                <w:u w:val="none"/>
                <w:lang w:val="en-US" w:eastAsia="zh-CN"/>
              </w:rPr>
              <w:t>镇江市丹徒区政府购买居家养老服务项目</w:t>
            </w:r>
          </w:p>
        </w:tc>
        <w:tc>
          <w:tcPr>
            <w:tcW w:w="1350" w:type="dxa"/>
            <w:noWrap/>
            <w:vAlign w:val="center"/>
          </w:tcPr>
          <w:p>
            <w:pPr>
              <w:pStyle w:val="5"/>
              <w:spacing w:line="360" w:lineRule="auto"/>
              <w:jc w:val="center"/>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年</w:t>
            </w:r>
          </w:p>
        </w:tc>
        <w:tc>
          <w:tcPr>
            <w:tcW w:w="1350" w:type="dxa"/>
            <w:noWrap/>
            <w:vAlign w:val="center"/>
          </w:tcPr>
          <w:p>
            <w:pPr>
              <w:pStyle w:val="5"/>
              <w:spacing w:line="360" w:lineRule="auto"/>
              <w:jc w:val="center"/>
              <w:rPr>
                <w:rFonts w:hint="eastAsia" w:ascii="宋体" w:hAnsi="宋体" w:eastAsia="宋体" w:cs="宋体"/>
                <w:b w:val="0"/>
                <w:bCs w:val="0"/>
                <w:color w:val="333333"/>
                <w:sz w:val="24"/>
                <w:szCs w:val="24"/>
                <w:highlight w:val="none"/>
              </w:rPr>
            </w:pPr>
            <w:r>
              <w:rPr>
                <w:rFonts w:hint="eastAsia" w:ascii="宋体" w:hAnsi="宋体" w:eastAsia="宋体" w:cs="宋体"/>
                <w:b w:val="0"/>
                <w:bCs w:val="0"/>
                <w:color w:val="333333"/>
                <w:sz w:val="24"/>
                <w:szCs w:val="24"/>
                <w:highlight w:val="none"/>
                <w:lang w:val="en-US" w:eastAsia="zh-CN"/>
              </w:rPr>
              <w:t>2</w:t>
            </w:r>
            <w:r>
              <w:rPr>
                <w:rFonts w:hint="eastAsia" w:ascii="宋体" w:hAnsi="宋体" w:eastAsia="宋体" w:cs="宋体"/>
                <w:b w:val="0"/>
                <w:bCs w:val="0"/>
                <w:color w:val="333333"/>
                <w:sz w:val="24"/>
                <w:szCs w:val="24"/>
                <w:highlight w:val="none"/>
              </w:rPr>
              <w:t>.0</w:t>
            </w:r>
          </w:p>
        </w:tc>
        <w:tc>
          <w:tcPr>
            <w:tcW w:w="1365" w:type="dxa"/>
            <w:noWrap/>
            <w:vAlign w:val="center"/>
          </w:tcPr>
          <w:p>
            <w:pPr>
              <w:pStyle w:val="5"/>
              <w:spacing w:line="360" w:lineRule="auto"/>
              <w:jc w:val="center"/>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否</w:t>
            </w:r>
          </w:p>
        </w:tc>
        <w:tc>
          <w:tcPr>
            <w:tcW w:w="1390" w:type="dxa"/>
            <w:noWrap/>
            <w:vAlign w:val="center"/>
          </w:tcPr>
          <w:p>
            <w:pPr>
              <w:pStyle w:val="5"/>
              <w:spacing w:line="360" w:lineRule="auto"/>
              <w:jc w:val="center"/>
              <w:rPr>
                <w:rFonts w:hint="eastAsia" w:ascii="宋体" w:hAnsi="宋体" w:eastAsia="宋体" w:cs="宋体"/>
                <w:b w:val="0"/>
                <w:bCs w:val="0"/>
                <w:color w:val="333333"/>
                <w:sz w:val="24"/>
                <w:szCs w:val="24"/>
                <w:highlight w:val="none"/>
              </w:rPr>
            </w:pPr>
          </w:p>
        </w:tc>
      </w:tr>
    </w:tbl>
    <w:p>
      <w:p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三、</w:t>
      </w:r>
      <w:r>
        <w:rPr>
          <w:rFonts w:hint="eastAsia" w:ascii="宋体" w:hAnsi="宋体" w:eastAsia="宋体" w:cs="宋体"/>
          <w:b/>
          <w:bCs/>
          <w:color w:val="auto"/>
          <w:sz w:val="24"/>
          <w:szCs w:val="24"/>
          <w:highlight w:val="none"/>
          <w:lang w:val="en-US"/>
        </w:rPr>
        <w:t>上门服务对象</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rPr>
        <w:t>1、</w:t>
      </w:r>
      <w:r>
        <w:rPr>
          <w:rFonts w:hint="eastAsia" w:ascii="宋体" w:hAnsi="宋体" w:eastAsia="宋体" w:cs="宋体"/>
          <w:color w:val="auto"/>
          <w:sz w:val="24"/>
          <w:szCs w:val="24"/>
          <w:highlight w:val="none"/>
        </w:rPr>
        <w:t>困难对象</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rPr>
        <w:t>（1）</w:t>
      </w:r>
      <w:r>
        <w:rPr>
          <w:rFonts w:hint="eastAsia" w:ascii="宋体" w:hAnsi="宋体" w:eastAsia="宋体" w:cs="宋体"/>
          <w:color w:val="auto"/>
          <w:sz w:val="24"/>
          <w:szCs w:val="24"/>
          <w:highlight w:val="none"/>
        </w:rPr>
        <w:t>60周岁以上低保、计划生育特殊家庭、重点优抚对象中的半失能和失能老年人。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rPr>
        <w:t>2</w:t>
      </w:r>
      <w:r>
        <w:rPr>
          <w:rFonts w:hint="eastAsia" w:ascii="宋体" w:hAnsi="宋体" w:eastAsia="宋体" w:cs="宋体"/>
          <w:color w:val="auto"/>
          <w:sz w:val="24"/>
          <w:szCs w:val="24"/>
          <w:highlight w:val="none"/>
        </w:rPr>
        <w:t>）60周岁以上低保和低保边缘家庭(低保标准1.5倍以内)中的失独自理老年人以及80周岁以上低保自理老年人。</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rPr>
        <w:t>3</w:t>
      </w:r>
      <w:r>
        <w:rPr>
          <w:rFonts w:hint="eastAsia" w:ascii="宋体" w:hAnsi="宋体" w:eastAsia="宋体" w:cs="宋体"/>
          <w:color w:val="auto"/>
          <w:sz w:val="24"/>
          <w:szCs w:val="24"/>
          <w:highlight w:val="none"/>
        </w:rPr>
        <w:t>）60周岁以上低保边缘家庭中的半失能和失能老年人。</w:t>
      </w:r>
    </w:p>
    <w:p>
      <w:pPr>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 xml:space="preserve">    （4）</w:t>
      </w:r>
      <w:r>
        <w:rPr>
          <w:rFonts w:hint="eastAsia" w:ascii="宋体" w:hAnsi="宋体" w:eastAsia="宋体" w:cs="宋体"/>
          <w:color w:val="auto"/>
          <w:sz w:val="24"/>
          <w:szCs w:val="24"/>
          <w:highlight w:val="none"/>
        </w:rPr>
        <w:t>自理、半失能、失能的分散供养特困人员。</w:t>
      </w:r>
    </w:p>
    <w:p>
      <w:pPr>
        <w:spacing w:line="360" w:lineRule="auto"/>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2、普惠对象</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rPr>
        <w:t xml:space="preserve">    丹徒区</w:t>
      </w:r>
      <w:r>
        <w:rPr>
          <w:rFonts w:hint="eastAsia" w:ascii="宋体" w:hAnsi="宋体" w:eastAsia="宋体" w:cs="宋体"/>
          <w:color w:val="auto"/>
          <w:sz w:val="24"/>
          <w:szCs w:val="24"/>
          <w:highlight w:val="none"/>
        </w:rPr>
        <w:t>户籍且在</w:t>
      </w:r>
      <w:r>
        <w:rPr>
          <w:rFonts w:hint="eastAsia" w:ascii="宋体" w:hAnsi="宋体" w:eastAsia="宋体" w:cs="宋体"/>
          <w:color w:val="auto"/>
          <w:sz w:val="24"/>
          <w:szCs w:val="24"/>
          <w:highlight w:val="none"/>
          <w:lang w:val="en-US"/>
        </w:rPr>
        <w:t>镇江市区</w:t>
      </w:r>
      <w:r>
        <w:rPr>
          <w:rFonts w:hint="eastAsia" w:ascii="宋体" w:hAnsi="宋体" w:eastAsia="宋体" w:cs="宋体"/>
          <w:color w:val="auto"/>
          <w:sz w:val="24"/>
          <w:szCs w:val="24"/>
          <w:highlight w:val="none"/>
        </w:rPr>
        <w:t>居住的80周岁以上老年人。</w:t>
      </w:r>
    </w:p>
    <w:p>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rPr>
        <w:t>3、</w:t>
      </w:r>
      <w:r>
        <w:rPr>
          <w:rFonts w:hint="eastAsia" w:ascii="宋体" w:hAnsi="宋体" w:eastAsia="宋体" w:cs="宋体"/>
          <w:color w:val="auto"/>
          <w:sz w:val="24"/>
          <w:szCs w:val="24"/>
          <w:highlight w:val="none"/>
        </w:rPr>
        <w:t>人才父母</w:t>
      </w:r>
    </w:p>
    <w:p>
      <w:pPr>
        <w:spacing w:line="360" w:lineRule="auto"/>
        <w:ind w:firstLine="480" w:firstLineChars="200"/>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rPr>
        <w:t>市区A-E类人才及其配偶年满60周岁的父母，在我市居家养老的。</w:t>
      </w:r>
    </w:p>
    <w:p>
      <w:pPr>
        <w:pStyle w:val="6"/>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四、</w:t>
      </w:r>
      <w:r>
        <w:rPr>
          <w:rFonts w:hint="eastAsia" w:ascii="宋体" w:hAnsi="宋体" w:eastAsia="宋体" w:cs="宋体"/>
          <w:b/>
          <w:bCs/>
          <w:color w:val="auto"/>
          <w:sz w:val="24"/>
          <w:szCs w:val="24"/>
          <w:highlight w:val="none"/>
        </w:rPr>
        <w:t>居家</w:t>
      </w:r>
      <w:r>
        <w:rPr>
          <w:rFonts w:hint="eastAsia" w:ascii="宋体" w:hAnsi="宋体" w:eastAsia="宋体" w:cs="宋体"/>
          <w:b/>
          <w:bCs/>
          <w:color w:val="auto"/>
          <w:sz w:val="24"/>
          <w:szCs w:val="24"/>
          <w:highlight w:val="none"/>
          <w:lang w:val="en-US"/>
        </w:rPr>
        <w:t>养老</w:t>
      </w:r>
      <w:r>
        <w:rPr>
          <w:rFonts w:hint="eastAsia" w:ascii="宋体" w:hAnsi="宋体" w:eastAsia="宋体" w:cs="宋体"/>
          <w:b/>
          <w:bCs/>
          <w:color w:val="auto"/>
          <w:sz w:val="24"/>
          <w:szCs w:val="24"/>
          <w:highlight w:val="none"/>
        </w:rPr>
        <w:t>上门</w:t>
      </w:r>
      <w:r>
        <w:rPr>
          <w:rFonts w:hint="eastAsia" w:ascii="宋体" w:hAnsi="宋体" w:eastAsia="宋体" w:cs="宋体"/>
          <w:b/>
          <w:bCs/>
          <w:color w:val="auto"/>
          <w:sz w:val="24"/>
          <w:szCs w:val="24"/>
          <w:highlight w:val="none"/>
          <w:lang w:val="en-US"/>
        </w:rPr>
        <w:t>服务内容</w:t>
      </w:r>
    </w:p>
    <w:p>
      <w:pPr>
        <w:widowControl/>
        <w:spacing w:line="360" w:lineRule="auto"/>
        <w:ind w:firstLine="470"/>
        <w:rPr>
          <w:rFonts w:hint="eastAsia" w:ascii="宋体" w:hAnsi="宋体" w:eastAsia="宋体" w:cs="宋体"/>
          <w:sz w:val="24"/>
          <w:szCs w:val="24"/>
          <w:highlight w:val="none"/>
        </w:rPr>
      </w:pPr>
      <w:r>
        <w:rPr>
          <w:rFonts w:hint="eastAsia" w:ascii="宋体" w:hAnsi="宋体" w:eastAsia="宋体" w:cs="宋体"/>
          <w:sz w:val="24"/>
          <w:szCs w:val="24"/>
          <w:highlight w:val="none"/>
        </w:rPr>
        <w:t>根据镇江市民政局印发《镇江市区政府购买居家养老服务管理规定（试行）》（镇民发〔2021〕29号 ）要求，政府购买居家养老服务内容主要包括：生活护理、助餐、助浴、助洁、助行、代办、助医、相谈、探访、智能手机辅导、助农、援助等 12 类服务。居家服务机构在上门进行服务登记时，应向服务对象家庭发放服务清单，并详细讲解、充分沟通，便于其选择适合的服务项目。建立服务预约制度，助老员每次服务前，应提前向服务对象预约服务项目，并做好相关服务准备，实现服务需求与服务供给的无缝对接。提供服务时，助老员应着装统一、挂牌上岗，并根据老年人服务需求、购买服务时间等情况，每次提供单项或数项服务。所有居家助老员应持有健康证。参照镇江市民政局、镇江市财政局发布的《关于进一步完善市区政府购买养老服务工作的通知》（镇民福〔2018〕7号镇财社〔2018〕100号）工作流程要求开展入户调查、能力评估、信息登记、代办审批等工作。</w:t>
      </w:r>
    </w:p>
    <w:p>
      <w:pPr>
        <w:pStyle w:val="6"/>
        <w:spacing w:line="360" w:lineRule="auto"/>
        <w:rPr>
          <w:rFonts w:hint="eastAsia" w:ascii="宋体" w:hAnsi="宋体" w:eastAsia="宋体" w:cs="宋体"/>
          <w:b/>
          <w:bCs/>
          <w:sz w:val="24"/>
          <w:szCs w:val="24"/>
          <w:highlight w:val="none"/>
          <w:lang w:val="en-US"/>
        </w:rPr>
      </w:pPr>
      <w:r>
        <w:rPr>
          <w:rFonts w:hint="eastAsia" w:ascii="宋体" w:hAnsi="宋体" w:eastAsia="宋体" w:cs="宋体"/>
          <w:b/>
          <w:bCs/>
          <w:sz w:val="24"/>
          <w:szCs w:val="24"/>
          <w:highlight w:val="none"/>
          <w:lang w:val="en-US"/>
        </w:rPr>
        <w:t>五、</w:t>
      </w:r>
      <w:r>
        <w:rPr>
          <w:rFonts w:hint="eastAsia" w:ascii="宋体" w:hAnsi="宋体" w:eastAsia="宋体" w:cs="宋体"/>
          <w:b/>
          <w:bCs/>
          <w:sz w:val="24"/>
          <w:szCs w:val="24"/>
          <w:highlight w:val="none"/>
        </w:rPr>
        <w:t>服务范围及数量</w:t>
      </w:r>
    </w:p>
    <w:p>
      <w:pPr>
        <w:spacing w:line="360" w:lineRule="auto"/>
        <w:ind w:firstLine="560"/>
        <w:rPr>
          <w:rFonts w:hint="eastAsia" w:ascii="宋体" w:hAnsi="宋体" w:eastAsia="宋体" w:cs="宋体"/>
          <w:sz w:val="24"/>
          <w:szCs w:val="24"/>
          <w:highlight w:val="none"/>
        </w:rPr>
      </w:pPr>
      <w:r>
        <w:rPr>
          <w:rFonts w:hint="eastAsia" w:ascii="宋体" w:hAnsi="宋体" w:eastAsia="宋体" w:cs="宋体"/>
          <w:sz w:val="24"/>
          <w:szCs w:val="24"/>
          <w:highlight w:val="none"/>
        </w:rPr>
        <w:t>服务人数</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共约</w:t>
      </w:r>
      <w:r>
        <w:rPr>
          <w:rFonts w:hint="eastAsia" w:ascii="宋体" w:hAnsi="宋体" w:eastAsia="宋体" w:cs="宋体"/>
          <w:sz w:val="24"/>
          <w:szCs w:val="24"/>
          <w:highlight w:val="none"/>
          <w:lang w:val="en-US" w:eastAsia="zh-CN"/>
        </w:rPr>
        <w:t>10299</w:t>
      </w:r>
      <w:r>
        <w:rPr>
          <w:rFonts w:hint="eastAsia" w:ascii="宋体" w:hAnsi="宋体" w:eastAsia="宋体" w:cs="宋体"/>
          <w:sz w:val="24"/>
          <w:szCs w:val="24"/>
          <w:highlight w:val="none"/>
        </w:rPr>
        <w:t>人（</w:t>
      </w:r>
      <w:r>
        <w:rPr>
          <w:rFonts w:hint="eastAsia" w:ascii="宋体" w:hAnsi="宋体" w:eastAsia="宋体" w:cs="宋体"/>
          <w:b/>
          <w:sz w:val="24"/>
          <w:szCs w:val="24"/>
          <w:highlight w:val="none"/>
        </w:rPr>
        <w:t>具体结算金额按实际上门服务的数量、</w:t>
      </w:r>
      <w:r>
        <w:rPr>
          <w:rFonts w:hint="eastAsia" w:ascii="宋体" w:hAnsi="宋体" w:eastAsia="宋体" w:cs="宋体"/>
          <w:b/>
          <w:sz w:val="24"/>
          <w:szCs w:val="24"/>
          <w:highlight w:val="none"/>
          <w:lang w:eastAsia="zh-CN"/>
        </w:rPr>
        <w:t>服务质量评价</w:t>
      </w:r>
      <w:r>
        <w:rPr>
          <w:rFonts w:hint="eastAsia" w:ascii="宋体" w:hAnsi="宋体" w:eastAsia="宋体" w:cs="宋体"/>
          <w:b/>
          <w:sz w:val="24"/>
          <w:szCs w:val="24"/>
          <w:highlight w:val="none"/>
        </w:rPr>
        <w:t>结果计算</w:t>
      </w:r>
      <w:r>
        <w:rPr>
          <w:rFonts w:hint="eastAsia" w:ascii="宋体" w:hAnsi="宋体" w:eastAsia="宋体" w:cs="宋体"/>
          <w:sz w:val="24"/>
          <w:szCs w:val="24"/>
          <w:highlight w:val="none"/>
        </w:rPr>
        <w:t>）</w:t>
      </w:r>
    </w:p>
    <w:p>
      <w:pPr>
        <w:spacing w:line="360" w:lineRule="auto"/>
        <w:ind w:firstLine="560"/>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其中</w:t>
      </w:r>
      <w:r>
        <w:rPr>
          <w:rFonts w:hint="eastAsia" w:ascii="宋体" w:hAnsi="宋体" w:eastAsia="宋体" w:cs="宋体"/>
          <w:sz w:val="24"/>
          <w:szCs w:val="24"/>
          <w:highlight w:val="none"/>
          <w:lang w:eastAsia="zh-CN"/>
        </w:rPr>
        <w:t>：</w:t>
      </w:r>
    </w:p>
    <w:p>
      <w:pPr>
        <w:spacing w:line="360" w:lineRule="auto"/>
        <w:ind w:firstLine="56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sz w:val="24"/>
          <w:szCs w:val="24"/>
          <w:highlight w:val="none"/>
        </w:rPr>
        <w:t>服务范围1</w:t>
      </w:r>
      <w:r>
        <w:rPr>
          <w:rFonts w:hint="eastAsia" w:ascii="宋体" w:hAnsi="宋体" w:eastAsia="宋体" w:cs="宋体"/>
          <w:sz w:val="24"/>
          <w:szCs w:val="24"/>
          <w:highlight w:val="none"/>
          <w:lang w:eastAsia="zh-CN"/>
        </w:rPr>
        <w:t>：</w:t>
      </w:r>
      <w:r>
        <w:rPr>
          <w:rFonts w:hint="eastAsia" w:ascii="宋体" w:hAnsi="宋体" w:eastAsia="宋体" w:cs="宋体"/>
          <w:color w:val="000000" w:themeColor="text1"/>
          <w:sz w:val="24"/>
          <w:szCs w:val="24"/>
          <w:highlight w:val="none"/>
          <w:lang w:eastAsia="zh-CN"/>
          <w14:textFill>
            <w14:solidFill>
              <w14:schemeClr w14:val="tx1"/>
            </w14:solidFill>
          </w14:textFill>
        </w:rPr>
        <w:t>上党镇、高资街道，共约</w:t>
      </w:r>
      <w:r>
        <w:rPr>
          <w:rFonts w:hint="eastAsia" w:ascii="宋体" w:hAnsi="宋体" w:eastAsia="宋体" w:cs="宋体"/>
          <w:color w:val="000000" w:themeColor="text1"/>
          <w:sz w:val="24"/>
          <w:szCs w:val="24"/>
          <w:highlight w:val="none"/>
          <w:lang w:val="en-US" w:eastAsia="zh-CN"/>
          <w14:textFill>
            <w14:solidFill>
              <w14:schemeClr w14:val="tx1"/>
            </w14:solidFill>
          </w14:textFill>
        </w:rPr>
        <w:t>3234人。</w:t>
      </w:r>
    </w:p>
    <w:p>
      <w:pPr>
        <w:spacing w:line="360" w:lineRule="auto"/>
        <w:ind w:firstLine="56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服务范围2</w:t>
      </w:r>
      <w:r>
        <w:rPr>
          <w:rFonts w:hint="eastAsia" w:ascii="宋体" w:hAnsi="宋体" w:eastAsia="宋体" w:cs="宋体"/>
          <w:color w:val="000000" w:themeColor="text1"/>
          <w:sz w:val="24"/>
          <w:szCs w:val="24"/>
          <w:highlight w:val="none"/>
          <w:lang w:eastAsia="zh-CN"/>
          <w14:textFill>
            <w14:solidFill>
              <w14:schemeClr w14:val="tx1"/>
            </w14:solidFill>
          </w14:textFill>
        </w:rPr>
        <w:t>：辛丰镇、宜城街道，共约</w:t>
      </w:r>
      <w:r>
        <w:rPr>
          <w:rFonts w:hint="eastAsia" w:ascii="宋体" w:hAnsi="宋体" w:eastAsia="宋体" w:cs="宋体"/>
          <w:color w:val="000000" w:themeColor="text1"/>
          <w:sz w:val="24"/>
          <w:szCs w:val="24"/>
          <w:highlight w:val="none"/>
          <w:lang w:val="en-US" w:eastAsia="zh-CN"/>
          <w14:textFill>
            <w14:solidFill>
              <w14:schemeClr w14:val="tx1"/>
            </w14:solidFill>
          </w14:textFill>
        </w:rPr>
        <w:t>2453人。</w:t>
      </w:r>
    </w:p>
    <w:p>
      <w:pPr>
        <w:spacing w:line="360" w:lineRule="auto"/>
        <w:ind w:firstLine="56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服务范围3</w:t>
      </w:r>
      <w:r>
        <w:rPr>
          <w:rFonts w:hint="eastAsia" w:ascii="宋体" w:hAnsi="宋体" w:eastAsia="宋体" w:cs="宋体"/>
          <w:color w:val="000000" w:themeColor="text1"/>
          <w:sz w:val="24"/>
          <w:szCs w:val="24"/>
          <w:highlight w:val="none"/>
          <w:lang w:eastAsia="zh-CN"/>
          <w14:textFill>
            <w14:solidFill>
              <w14:schemeClr w14:val="tx1"/>
            </w14:solidFill>
          </w14:textFill>
        </w:rPr>
        <w:t>：宝堰镇、荣炳盐资源区，共约</w:t>
      </w:r>
      <w:r>
        <w:rPr>
          <w:rFonts w:hint="eastAsia" w:ascii="宋体" w:hAnsi="宋体" w:eastAsia="宋体" w:cs="宋体"/>
          <w:color w:val="000000" w:themeColor="text1"/>
          <w:sz w:val="24"/>
          <w:szCs w:val="24"/>
          <w:highlight w:val="none"/>
          <w:lang w:val="en-US" w:eastAsia="zh-CN"/>
          <w14:textFill>
            <w14:solidFill>
              <w14:schemeClr w14:val="tx1"/>
            </w14:solidFill>
          </w14:textFill>
        </w:rPr>
        <w:t>1696人。</w:t>
      </w:r>
    </w:p>
    <w:p>
      <w:pPr>
        <w:spacing w:line="360" w:lineRule="auto"/>
        <w:ind w:firstLine="560"/>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服务范围4</w:t>
      </w:r>
      <w:r>
        <w:rPr>
          <w:rFonts w:hint="eastAsia" w:ascii="宋体" w:hAnsi="宋体" w:eastAsia="宋体" w:cs="宋体"/>
          <w:color w:val="000000" w:themeColor="text1"/>
          <w:sz w:val="24"/>
          <w:szCs w:val="24"/>
          <w:highlight w:val="none"/>
          <w:lang w:eastAsia="zh-CN"/>
          <w14:textFill>
            <w14:solidFill>
              <w14:schemeClr w14:val="tx1"/>
            </w14:solidFill>
          </w14:textFill>
        </w:rPr>
        <w:t>：谷阳镇、世业镇，共约</w:t>
      </w:r>
      <w:r>
        <w:rPr>
          <w:rFonts w:hint="eastAsia" w:ascii="宋体" w:hAnsi="宋体" w:eastAsia="宋体" w:cs="宋体"/>
          <w:color w:val="000000" w:themeColor="text1"/>
          <w:sz w:val="24"/>
          <w:szCs w:val="24"/>
          <w:highlight w:val="none"/>
          <w:lang w:val="en-US" w:eastAsia="zh-CN"/>
          <w14:textFill>
            <w14:solidFill>
              <w14:schemeClr w14:val="tx1"/>
            </w14:solidFill>
          </w14:textFill>
        </w:rPr>
        <w:t>1601人。</w:t>
      </w:r>
    </w:p>
    <w:p>
      <w:pPr>
        <w:spacing w:line="360" w:lineRule="auto"/>
        <w:ind w:firstLine="560"/>
        <w:rPr>
          <w:rFonts w:hint="eastAsia" w:ascii="宋体" w:hAnsi="宋体" w:eastAsia="宋体" w:cs="宋体"/>
          <w:color w:val="000000" w:themeColor="text1"/>
          <w:sz w:val="24"/>
          <w:szCs w:val="24"/>
          <w:highlight w:val="none"/>
          <w:lang w:val="en-U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服务范围5</w:t>
      </w:r>
      <w:r>
        <w:rPr>
          <w:rFonts w:hint="eastAsia" w:ascii="宋体" w:hAnsi="宋体" w:eastAsia="宋体" w:cs="宋体"/>
          <w:color w:val="000000" w:themeColor="text1"/>
          <w:sz w:val="24"/>
          <w:szCs w:val="24"/>
          <w:highlight w:val="none"/>
          <w:lang w:eastAsia="zh-CN"/>
          <w14:textFill>
            <w14:solidFill>
              <w14:schemeClr w14:val="tx1"/>
            </w14:solidFill>
          </w14:textFill>
        </w:rPr>
        <w:t>：高桥镇、江心生态农业园区，共约</w:t>
      </w:r>
      <w:r>
        <w:rPr>
          <w:rFonts w:hint="eastAsia" w:ascii="宋体" w:hAnsi="宋体" w:eastAsia="宋体" w:cs="宋体"/>
          <w:color w:val="000000" w:themeColor="text1"/>
          <w:sz w:val="24"/>
          <w:szCs w:val="24"/>
          <w:highlight w:val="none"/>
          <w:lang w:val="en-US" w:eastAsia="zh-CN"/>
          <w14:textFill>
            <w14:solidFill>
              <w14:schemeClr w14:val="tx1"/>
            </w14:solidFill>
          </w14:textFill>
        </w:rPr>
        <w:t>1315人。</w:t>
      </w:r>
    </w:p>
    <w:p>
      <w:pPr>
        <w:spacing w:line="360" w:lineRule="auto"/>
        <w:rPr>
          <w:rFonts w:hint="eastAsia" w:ascii="宋体" w:hAnsi="宋体" w:eastAsia="宋体" w:cs="宋体"/>
          <w:b/>
          <w:bCs/>
          <w:color w:val="auto"/>
          <w:sz w:val="24"/>
          <w:szCs w:val="24"/>
          <w:highlight w:val="none"/>
          <w:lang w:val="en-US"/>
        </w:rPr>
      </w:pPr>
      <w:r>
        <w:rPr>
          <w:rFonts w:hint="eastAsia" w:ascii="宋体" w:hAnsi="宋体" w:eastAsia="宋体" w:cs="宋体"/>
          <w:b/>
          <w:bCs/>
          <w:color w:val="000000"/>
          <w:sz w:val="24"/>
          <w:szCs w:val="24"/>
          <w:highlight w:val="none"/>
        </w:rPr>
        <w:t>六、</w:t>
      </w:r>
      <w:r>
        <w:rPr>
          <w:rFonts w:hint="eastAsia" w:ascii="宋体" w:hAnsi="宋体" w:eastAsia="宋体" w:cs="宋体"/>
          <w:b/>
          <w:bCs/>
          <w:color w:val="auto"/>
          <w:sz w:val="24"/>
          <w:szCs w:val="24"/>
          <w:highlight w:val="none"/>
          <w:lang w:val="en-US"/>
        </w:rPr>
        <w:t>参照文件</w:t>
      </w:r>
    </w:p>
    <w:p>
      <w:pPr>
        <w:spacing w:line="360" w:lineRule="auto"/>
        <w:ind w:firstLine="560"/>
        <w:rPr>
          <w:rFonts w:hint="eastAsia" w:ascii="宋体" w:hAnsi="宋体" w:eastAsia="宋体" w:cs="宋体"/>
          <w:sz w:val="24"/>
          <w:szCs w:val="24"/>
          <w:highlight w:val="none"/>
        </w:rPr>
      </w:pPr>
      <w:r>
        <w:rPr>
          <w:rFonts w:hint="eastAsia" w:ascii="宋体" w:hAnsi="宋体" w:eastAsia="宋体" w:cs="宋体"/>
          <w:sz w:val="24"/>
          <w:szCs w:val="24"/>
          <w:highlight w:val="none"/>
        </w:rPr>
        <w:t>根据《关于进一步完善市区政府购买养老服务工作的通知》（镇民福〔2018〕7号，镇财社〔2018〕100号），《市政府办公室关于加快推进我市居家和社区养老服务高质量发展的议案审议办理方案的通知》（镇政办函〔2021〕25号），《镇江市区政府购买居家养老服务管理规定（试行）》（镇民发〔2021〕29号）等各级相关文件要求提供居家养老服务。若有新文件发布实施，按照最新文件执行；</w:t>
      </w:r>
    </w:p>
    <w:p>
      <w:pPr>
        <w:spacing w:line="36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bCs/>
          <w:sz w:val="24"/>
          <w:szCs w:val="24"/>
          <w:highlight w:val="none"/>
        </w:rPr>
        <w:t>七、</w:t>
      </w:r>
      <w:r>
        <w:rPr>
          <w:rFonts w:hint="eastAsia" w:ascii="宋体" w:hAnsi="宋体" w:eastAsia="宋体" w:cs="宋体"/>
          <w:b/>
          <w:color w:val="auto"/>
          <w:sz w:val="24"/>
          <w:szCs w:val="24"/>
          <w:highlight w:val="none"/>
        </w:rPr>
        <w:t>对中标供应商的</w:t>
      </w:r>
      <w:r>
        <w:rPr>
          <w:rFonts w:hint="eastAsia" w:ascii="宋体" w:hAnsi="宋体" w:eastAsia="宋体" w:cs="宋体"/>
          <w:b/>
          <w:color w:val="000000" w:themeColor="text1"/>
          <w:sz w:val="24"/>
          <w:szCs w:val="24"/>
          <w:highlight w:val="none"/>
          <w:lang w:val="en-US" w:eastAsia="zh-CN"/>
          <w14:textFill>
            <w14:solidFill>
              <w14:schemeClr w14:val="tx1"/>
            </w14:solidFill>
          </w14:textFill>
        </w:rPr>
        <w:t>监管</w:t>
      </w:r>
      <w:r>
        <w:rPr>
          <w:rFonts w:hint="eastAsia" w:ascii="宋体" w:hAnsi="宋体" w:eastAsia="宋体" w:cs="宋体"/>
          <w:b/>
          <w:color w:val="000000" w:themeColor="text1"/>
          <w:sz w:val="24"/>
          <w:szCs w:val="24"/>
          <w:highlight w:val="none"/>
          <w14:textFill>
            <w14:solidFill>
              <w14:schemeClr w14:val="tx1"/>
            </w14:solidFill>
          </w14:textFill>
        </w:rPr>
        <w:t>办法</w:t>
      </w:r>
    </w:p>
    <w:p>
      <w:p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rPr>
        <w:t>丹徒区</w:t>
      </w:r>
      <w:r>
        <w:rPr>
          <w:rFonts w:hint="eastAsia" w:ascii="宋体" w:hAnsi="宋体" w:eastAsia="宋体" w:cs="宋体"/>
          <w:color w:val="auto"/>
          <w:sz w:val="24"/>
          <w:szCs w:val="24"/>
          <w:highlight w:val="none"/>
        </w:rPr>
        <w:t>民政局将委托其他</w:t>
      </w:r>
      <w:r>
        <w:rPr>
          <w:rFonts w:hint="eastAsia" w:ascii="宋体" w:hAnsi="宋体" w:eastAsia="宋体" w:cs="宋体"/>
          <w:color w:val="000000" w:themeColor="text1"/>
          <w:sz w:val="24"/>
          <w:szCs w:val="24"/>
          <w:highlight w:val="none"/>
          <w14:textFill>
            <w14:solidFill>
              <w14:schemeClr w14:val="tx1"/>
            </w14:solidFill>
          </w14:textFill>
        </w:rPr>
        <w:t>专业</w:t>
      </w:r>
      <w:r>
        <w:rPr>
          <w:rFonts w:hint="eastAsia" w:ascii="宋体" w:hAnsi="宋体" w:eastAsia="宋体" w:cs="宋体"/>
          <w:color w:val="000000" w:themeColor="text1"/>
          <w:sz w:val="24"/>
          <w:szCs w:val="24"/>
          <w:highlight w:val="none"/>
          <w:lang w:val="en-US" w:eastAsia="zh-CN"/>
          <w14:textFill>
            <w14:solidFill>
              <w14:schemeClr w14:val="tx1"/>
            </w14:solidFill>
          </w14:textFill>
        </w:rPr>
        <w:t>第三方</w:t>
      </w:r>
      <w:r>
        <w:rPr>
          <w:rFonts w:hint="eastAsia" w:ascii="宋体" w:hAnsi="宋体" w:eastAsia="宋体" w:cs="宋体"/>
          <w:color w:val="auto"/>
          <w:sz w:val="24"/>
          <w:szCs w:val="24"/>
          <w:highlight w:val="none"/>
        </w:rPr>
        <w:t>对中标单位进行外部监管。</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一是通过受托方智慧养老服务平台、服务对象家中二维码以及居家助老员手机APP的互联互通，对上门服务时间进行监管；</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二是通过受托方对被服务对象的电话回访、上门走访和满意度测评等方式，对服务质量进行监督；</w:t>
      </w:r>
    </w:p>
    <w:p>
      <w:pPr>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三是综合服务时间、服务质量以及即查即改情况，受托方定期对成交单位作出</w:t>
      </w:r>
      <w:r>
        <w:rPr>
          <w:rFonts w:hint="eastAsia" w:ascii="宋体" w:hAnsi="宋体" w:eastAsia="宋体" w:cs="宋体"/>
          <w:color w:val="auto"/>
          <w:sz w:val="24"/>
          <w:szCs w:val="24"/>
          <w:highlight w:val="none"/>
          <w:lang w:eastAsia="zh-CN"/>
        </w:rPr>
        <w:t>服务质量评价</w:t>
      </w:r>
      <w:r>
        <w:rPr>
          <w:rFonts w:hint="eastAsia" w:ascii="宋体" w:hAnsi="宋体" w:eastAsia="宋体" w:cs="宋体"/>
          <w:color w:val="auto"/>
          <w:sz w:val="24"/>
          <w:szCs w:val="24"/>
          <w:highlight w:val="none"/>
        </w:rPr>
        <w:t>，评价结果将与资金拨付挂钩。</w:t>
      </w:r>
    </w:p>
    <w:p>
      <w:pPr>
        <w:spacing w:line="360" w:lineRule="auto"/>
        <w:rPr>
          <w:rFonts w:hint="eastAsia" w:ascii="宋体" w:hAnsi="宋体" w:eastAsia="宋体" w:cs="宋体"/>
          <w:b/>
          <w:color w:val="auto"/>
          <w:sz w:val="24"/>
          <w:szCs w:val="24"/>
          <w:highlight w:val="none"/>
        </w:rPr>
      </w:pPr>
      <w:r>
        <w:rPr>
          <w:rFonts w:hint="eastAsia" w:ascii="宋体" w:hAnsi="宋体" w:eastAsia="宋体" w:cs="宋体"/>
          <w:b/>
          <w:bCs/>
          <w:sz w:val="24"/>
          <w:szCs w:val="24"/>
          <w:highlight w:val="none"/>
          <w:lang w:eastAsia="zh-CN"/>
        </w:rPr>
        <w:t>八、</w:t>
      </w:r>
      <w:r>
        <w:rPr>
          <w:rFonts w:hint="eastAsia" w:ascii="宋体" w:hAnsi="宋体" w:eastAsia="宋体" w:cs="宋体"/>
          <w:b/>
          <w:color w:val="auto"/>
          <w:sz w:val="24"/>
          <w:szCs w:val="24"/>
          <w:highlight w:val="none"/>
        </w:rPr>
        <w:t>服务团队要求</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rPr>
        <w:t>供应商</w:t>
      </w:r>
      <w:r>
        <w:rPr>
          <w:rFonts w:hint="eastAsia" w:ascii="宋体" w:hAnsi="宋体" w:eastAsia="宋体" w:cs="宋体"/>
          <w:color w:val="auto"/>
          <w:sz w:val="24"/>
          <w:szCs w:val="24"/>
          <w:highlight w:val="none"/>
        </w:rPr>
        <w:t>单位服务团队必须涵盖专业社工（具备社会工作师证书）、心理健康咨询管理人员（具备心理咨询师证书）、医护人员（具备医师或护士等相关执业证书）、养老护理员（具备养老护理员证书）。结合本项目服务对象户数和服务时间要求，拟投入服务团队须至少有1名全职的专业社工和</w:t>
      </w:r>
      <w:r>
        <w:rPr>
          <w:rFonts w:hint="eastAsia" w:ascii="宋体" w:hAnsi="宋体" w:eastAsia="宋体" w:cs="宋体"/>
          <w:color w:val="000000" w:themeColor="text1"/>
          <w:sz w:val="24"/>
          <w:szCs w:val="24"/>
          <w:highlight w:val="none"/>
          <w:lang w:val="en-US" w:eastAsia="zh-CN"/>
          <w14:textFill>
            <w14:solidFill>
              <w14:schemeClr w14:val="tx1"/>
            </w14:solidFill>
          </w14:textFill>
        </w:rPr>
        <w:t>15</w:t>
      </w:r>
      <w:r>
        <w:rPr>
          <w:rFonts w:hint="eastAsia" w:ascii="宋体" w:hAnsi="宋体" w:eastAsia="宋体" w:cs="宋体"/>
          <w:color w:val="000000" w:themeColor="text1"/>
          <w:sz w:val="24"/>
          <w:szCs w:val="24"/>
          <w:highlight w:val="none"/>
          <w14:textFill>
            <w14:solidFill>
              <w14:schemeClr w14:val="tx1"/>
            </w14:solidFill>
          </w14:textFill>
        </w:rPr>
        <w:t>名专业</w:t>
      </w:r>
      <w:r>
        <w:rPr>
          <w:rFonts w:hint="eastAsia" w:ascii="宋体" w:hAnsi="宋体" w:eastAsia="宋体" w:cs="宋体"/>
          <w:color w:val="auto"/>
          <w:sz w:val="24"/>
          <w:szCs w:val="24"/>
          <w:highlight w:val="none"/>
        </w:rPr>
        <w:t>的养老护理员参与项目执行。</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合理配备管理人员及服务人员，人员不少于投标文件中拟配备的人员数量，项目负责人具有居家养老服务经验，配备科学合理的服务人员团队，优选本地服务人员，确保养老服务项目的正常实施；</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充分了解居家养老服务的政策，不定时调研居家养老服务市场情况、老人具体需求，对不同区域、不同类别、特殊服务对象制定专业、科学的服务措施，制定完善的管理制度和保障机制（包括考核、培训、应急处置等），合理配备组织架构；</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所有上门服务人员须具有健康证和上岗服务证；特殊行业，还应具有相应的操作证等，符合所在行业规范要求；做好教育培训工作，为老人提供服务的助老员需具备合格的业务能力，熟悉服务内容，切实开展为老服务；服务人员每月接受不少于1次培训；</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居家养老上门服务工作开展要严格按照镇江市智慧民政服务平台进行操作，同步上传信息内容包括服务对象姓名、服务对象身份证号码、服务对象类别、服务标准、居住地址、服务对象联系方式、服务人员姓名、服务项目、服务工时或价格、线上服务等，做到积极响应并接受采购人监督；</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6、自中标后，须与属地街道、园区等做好对接工作，并服从考核，从合同签订日起开始连续为老人服务至合同终止，期间不能间断；</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、服务质量方面，服务人员应服务到位，服务态度诚恳，礼仪得当，能够设身处地关心老年人，给予人性化的服务，服务周到细致；</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、合理配备管理人员，投标人需配备若干名管理员，管理员按服务老人人数配备标准为：每1000人至少配备1名管理人员（不满1000人按1000人计算），管理员必须在在职年龄段内；</w:t>
      </w:r>
    </w:p>
    <w:p>
      <w:pPr>
        <w:tabs>
          <w:tab w:val="left" w:pos="284"/>
        </w:tabs>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9</w:t>
      </w:r>
      <w:r>
        <w:rPr>
          <w:rFonts w:hint="eastAsia" w:ascii="宋体" w:hAnsi="宋体" w:eastAsia="宋体" w:cs="宋体"/>
          <w:sz w:val="24"/>
          <w:szCs w:val="24"/>
          <w:highlight w:val="none"/>
        </w:rPr>
        <w:t>、确保养老服务项目的正常实施，合理配备一线服务人员，一线服务人员按服务老人人数配备标准为：每80人至少配备1名一线服务人员；</w:t>
      </w:r>
    </w:p>
    <w:p>
      <w:pPr>
        <w:spacing w:line="360" w:lineRule="auto"/>
        <w:rPr>
          <w:rFonts w:hint="eastAsia" w:ascii="宋体" w:hAnsi="宋体" w:eastAsia="宋体" w:cs="宋体"/>
          <w:b/>
          <w:color w:val="auto"/>
          <w:sz w:val="24"/>
          <w:szCs w:val="24"/>
          <w:highlight w:val="none"/>
        </w:rPr>
      </w:pPr>
      <w:r>
        <w:rPr>
          <w:rFonts w:hint="eastAsia" w:ascii="宋体" w:hAnsi="宋体" w:eastAsia="宋体" w:cs="宋体"/>
          <w:b/>
          <w:bCs/>
          <w:sz w:val="24"/>
          <w:szCs w:val="24"/>
          <w:highlight w:val="none"/>
        </w:rPr>
        <w:t>九、</w:t>
      </w:r>
      <w:r>
        <w:rPr>
          <w:rFonts w:hint="eastAsia" w:ascii="宋体" w:hAnsi="宋体" w:eastAsia="宋体" w:cs="宋体"/>
          <w:b/>
          <w:color w:val="auto"/>
          <w:sz w:val="24"/>
          <w:szCs w:val="24"/>
          <w:highlight w:val="none"/>
        </w:rPr>
        <w:t>服务期限和服务频次</w:t>
      </w:r>
    </w:p>
    <w:p>
      <w:pPr>
        <w:tabs>
          <w:tab w:val="left" w:pos="284"/>
        </w:tabs>
        <w:spacing w:line="360" w:lineRule="auto"/>
        <w:rPr>
          <w:rFonts w:hint="eastAsia" w:ascii="宋体" w:hAnsi="宋体" w:eastAsia="宋体" w:cs="宋体"/>
          <w:bCs/>
          <w:color w:val="000000" w:themeColor="text1"/>
          <w:sz w:val="24"/>
          <w:szCs w:val="24"/>
          <w:highlight w:val="none"/>
          <w14:textFill>
            <w14:solidFill>
              <w14:schemeClr w14:val="tx1"/>
            </w14:solidFill>
          </w14:textFill>
        </w:rPr>
      </w:pPr>
      <w:r>
        <w:rPr>
          <w:rFonts w:hint="eastAsia" w:ascii="宋体" w:hAnsi="宋体" w:eastAsia="宋体" w:cs="宋体"/>
          <w:bCs/>
          <w:color w:val="000000" w:themeColor="text1"/>
          <w:sz w:val="24"/>
          <w:szCs w:val="24"/>
          <w:highlight w:val="none"/>
          <w14:textFill>
            <w14:solidFill>
              <w14:schemeClr w14:val="tx1"/>
            </w14:solidFill>
          </w14:textFill>
        </w:rPr>
        <w:t>1、服务期限：</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两</w:t>
      </w:r>
      <w:r>
        <w:rPr>
          <w:rFonts w:hint="eastAsia" w:ascii="宋体" w:hAnsi="宋体" w:eastAsia="宋体" w:cs="宋体"/>
          <w:bCs/>
          <w:color w:val="000000" w:themeColor="text1"/>
          <w:sz w:val="24"/>
          <w:szCs w:val="24"/>
          <w:highlight w:val="none"/>
          <w:lang w:val="en-US"/>
          <w14:textFill>
            <w14:solidFill>
              <w14:schemeClr w14:val="tx1"/>
            </w14:solidFill>
          </w14:textFill>
        </w:rPr>
        <w:t>年</w:t>
      </w:r>
      <w:r>
        <w:rPr>
          <w:rFonts w:hint="eastAsia" w:ascii="宋体" w:hAnsi="宋体" w:eastAsia="宋体" w:cs="宋体"/>
          <w:bCs/>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合同一年一签。</w:t>
      </w:r>
      <w:r>
        <w:rPr>
          <w:rFonts w:hint="eastAsia" w:ascii="宋体" w:hAnsi="宋体" w:eastAsia="宋体" w:cs="宋体"/>
          <w:color w:val="000000" w:themeColor="text1"/>
          <w:sz w:val="24"/>
          <w:szCs w:val="24"/>
          <w:highlight w:val="none"/>
          <w14:textFill>
            <w14:solidFill>
              <w14:schemeClr w14:val="tx1"/>
            </w14:solidFill>
          </w14:textFill>
        </w:rPr>
        <w:t>合同期满</w:t>
      </w:r>
      <w:r>
        <w:rPr>
          <w:rFonts w:hint="eastAsia" w:ascii="宋体" w:hAnsi="宋体" w:eastAsia="宋体" w:cs="宋体"/>
          <w:color w:val="000000" w:themeColor="text1"/>
          <w:sz w:val="24"/>
          <w:szCs w:val="24"/>
          <w:highlight w:val="none"/>
          <w:lang w:eastAsia="zh-CN"/>
          <w14:textFill>
            <w14:solidFill>
              <w14:schemeClr w14:val="tx1"/>
            </w14:solidFill>
          </w14:textFill>
        </w:rPr>
        <w:t>乙方履行合同甲方满意</w:t>
      </w:r>
      <w:r>
        <w:rPr>
          <w:rFonts w:hint="eastAsia" w:ascii="宋体" w:hAnsi="宋体" w:eastAsia="宋体" w:cs="宋体"/>
          <w:color w:val="000000" w:themeColor="text1"/>
          <w:sz w:val="24"/>
          <w:szCs w:val="24"/>
          <w:highlight w:val="none"/>
          <w14:textFill>
            <w14:solidFill>
              <w14:schemeClr w14:val="tx1"/>
            </w14:solidFill>
          </w14:textFill>
        </w:rPr>
        <w:t>续签下一年度合同</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pPr>
        <w:pStyle w:val="7"/>
        <w:spacing w:after="0" w:line="360" w:lineRule="auto"/>
        <w:ind w:left="0" w:firstLine="0"/>
        <w:rPr>
          <w:rFonts w:hint="eastAsia" w:ascii="宋体" w:hAnsi="宋体" w:eastAsia="宋体" w:cs="宋体"/>
          <w:b/>
          <w:color w:val="000000" w:themeColor="text1"/>
          <w:sz w:val="24"/>
          <w:szCs w:val="24"/>
          <w:highlight w:val="none"/>
          <w:u w:val="singl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2、服务频次：</w:t>
      </w:r>
      <w:r>
        <w:rPr>
          <w:rFonts w:hint="eastAsia" w:ascii="宋体" w:hAnsi="宋体" w:eastAsia="宋体" w:cs="宋体"/>
          <w:color w:val="000000" w:themeColor="text1"/>
          <w:sz w:val="24"/>
          <w:szCs w:val="24"/>
          <w:highlight w:val="none"/>
          <w:u w:val="none"/>
          <w:lang w:eastAsia="zh-CN"/>
          <w14:textFill>
            <w14:solidFill>
              <w14:schemeClr w14:val="tx1"/>
            </w14:solidFill>
          </w14:textFill>
        </w:rPr>
        <w:t>根据不同人员类别提供不同频次上门服务。</w:t>
      </w:r>
    </w:p>
    <w:p>
      <w:pPr>
        <w:widowControl/>
        <w:spacing w:line="360" w:lineRule="auto"/>
        <w:rPr>
          <w:rFonts w:hint="eastAsia" w:ascii="宋体" w:hAnsi="宋体" w:eastAsia="宋体" w:cs="宋体"/>
          <w:sz w:val="24"/>
          <w:szCs w:val="24"/>
          <w:highlight w:val="none"/>
        </w:rPr>
      </w:pPr>
      <w:r>
        <w:rPr>
          <w:rFonts w:hint="eastAsia" w:ascii="宋体" w:hAnsi="宋体" w:eastAsia="宋体" w:cs="宋体"/>
          <w:b/>
          <w:bCs/>
          <w:color w:val="000000"/>
          <w:sz w:val="24"/>
          <w:szCs w:val="24"/>
          <w:highlight w:val="none"/>
          <w:lang w:eastAsia="zh-CN"/>
        </w:rPr>
        <w:t>十、</w:t>
      </w:r>
      <w:r>
        <w:rPr>
          <w:rFonts w:hint="eastAsia" w:ascii="宋体" w:hAnsi="宋体" w:eastAsia="宋体" w:cs="宋体"/>
          <w:b/>
          <w:bCs/>
          <w:color w:val="000000"/>
          <w:sz w:val="24"/>
          <w:szCs w:val="24"/>
          <w:highlight w:val="none"/>
        </w:rPr>
        <w:t>服务单价和预算金额</w:t>
      </w:r>
    </w:p>
    <w:p>
      <w:pPr>
        <w:widowControl/>
        <w:spacing w:line="360" w:lineRule="auto"/>
        <w:ind w:firstLine="470"/>
        <w:rPr>
          <w:rFonts w:hint="eastAsia" w:ascii="宋体" w:hAnsi="宋体" w:eastAsia="宋体" w:cs="宋体"/>
          <w:sz w:val="24"/>
          <w:szCs w:val="24"/>
          <w:highlight w:val="none"/>
        </w:rPr>
      </w:pPr>
      <w:r>
        <w:rPr>
          <w:rFonts w:hint="eastAsia" w:ascii="宋体" w:hAnsi="宋体" w:eastAsia="宋体" w:cs="宋体"/>
          <w:sz w:val="24"/>
          <w:szCs w:val="24"/>
          <w:highlight w:val="none"/>
        </w:rPr>
        <w:t>1、服务单价为</w:t>
      </w:r>
      <w:r>
        <w:rPr>
          <w:rFonts w:hint="eastAsia" w:ascii="宋体" w:hAnsi="宋体" w:eastAsia="宋体" w:cs="宋体"/>
          <w:sz w:val="24"/>
          <w:szCs w:val="24"/>
          <w:highlight w:val="none"/>
          <w:lang w:val="en-US" w:eastAsia="zh-CN"/>
        </w:rPr>
        <w:t>25</w:t>
      </w:r>
      <w:r>
        <w:rPr>
          <w:rFonts w:hint="eastAsia" w:ascii="宋体" w:hAnsi="宋体" w:eastAsia="宋体" w:cs="宋体"/>
          <w:sz w:val="24"/>
          <w:szCs w:val="24"/>
          <w:highlight w:val="none"/>
        </w:rPr>
        <w:t>元/</w:t>
      </w:r>
      <w:r>
        <w:rPr>
          <w:rFonts w:hint="eastAsia" w:ascii="宋体" w:hAnsi="宋体" w:eastAsia="宋体" w:cs="宋体"/>
          <w:sz w:val="24"/>
          <w:szCs w:val="24"/>
          <w:highlight w:val="none"/>
        </w:rPr>
        <w:t>小时，</w:t>
      </w:r>
      <w:r>
        <w:rPr>
          <w:rFonts w:hint="eastAsia" w:ascii="宋体" w:hAnsi="宋体" w:eastAsia="宋体" w:cs="宋体"/>
          <w:sz w:val="24"/>
          <w:szCs w:val="24"/>
          <w:highlight w:val="none"/>
          <w:u w:val="none"/>
          <w:lang w:eastAsia="zh-CN"/>
        </w:rPr>
        <w:t>根据不同人员类别提供不同频次居家养老上门服务。</w:t>
      </w:r>
      <w:r>
        <w:rPr>
          <w:rFonts w:hint="eastAsia" w:ascii="宋体" w:hAnsi="宋体" w:eastAsia="宋体" w:cs="宋体"/>
          <w:sz w:val="24"/>
          <w:szCs w:val="24"/>
          <w:highlight w:val="none"/>
        </w:rPr>
        <w:t>服务单价为固定价格，投标供应商投标时必须响应此服务单价，否则按未实质响应磋商文件，其投标文件作废标处理。</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2、本项目预算金额为</w:t>
      </w:r>
      <w:r>
        <w:rPr>
          <w:rFonts w:hint="eastAsia" w:ascii="宋体" w:hAnsi="宋体" w:eastAsia="宋体" w:cs="宋体"/>
          <w:sz w:val="24"/>
          <w:szCs w:val="24"/>
          <w:highlight w:val="none"/>
          <w:lang w:val="en-US" w:eastAsia="zh-CN"/>
        </w:rPr>
        <w:t>500</w:t>
      </w:r>
      <w:r>
        <w:rPr>
          <w:rFonts w:hint="eastAsia" w:ascii="宋体" w:hAnsi="宋体" w:eastAsia="宋体" w:cs="宋体"/>
          <w:sz w:val="24"/>
          <w:szCs w:val="24"/>
          <w:highlight w:val="none"/>
          <w:lang w:val="en-US"/>
        </w:rPr>
        <w:t>万元/年</w:t>
      </w:r>
      <w:r>
        <w:rPr>
          <w:rFonts w:hint="eastAsia" w:ascii="宋体" w:hAnsi="宋体" w:eastAsia="宋体" w:cs="宋体"/>
          <w:sz w:val="24"/>
          <w:szCs w:val="24"/>
          <w:highlight w:val="none"/>
        </w:rPr>
        <w:t>，服务期为</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年。具体结算金额按实际上门服务的人数、</w:t>
      </w:r>
      <w:r>
        <w:rPr>
          <w:rFonts w:hint="eastAsia" w:ascii="宋体" w:hAnsi="宋体" w:eastAsia="宋体" w:cs="宋体"/>
          <w:sz w:val="24"/>
          <w:szCs w:val="24"/>
          <w:highlight w:val="none"/>
          <w:lang w:eastAsia="zh-CN"/>
        </w:rPr>
        <w:t>服务质量评价</w:t>
      </w:r>
      <w:r>
        <w:rPr>
          <w:rFonts w:hint="eastAsia" w:ascii="宋体" w:hAnsi="宋体" w:eastAsia="宋体" w:cs="宋体"/>
          <w:sz w:val="24"/>
          <w:szCs w:val="24"/>
          <w:highlight w:val="none"/>
        </w:rPr>
        <w:t>结果计算。</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Y0NjEyNGUzZTk2YjBkNjE3NmFjODZlOWRkNjMxMGMifQ=="/>
  </w:docVars>
  <w:rsids>
    <w:rsidRoot w:val="70223FCF"/>
    <w:rsid w:val="470A4433"/>
    <w:rsid w:val="594F55F2"/>
    <w:rsid w:val="70223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1"/>
    <w:next w:val="1"/>
    <w:qFormat/>
    <w:uiPriority w:val="0"/>
    <w:pPr>
      <w:spacing w:after="120"/>
      <w:ind w:left="200" w:leftChars="200" w:firstLine="200" w:firstLineChars="200"/>
    </w:pPr>
    <w:rPr>
      <w:rFonts w:ascii="Arial" w:hAnsi="Arial" w:eastAsia="方正仿宋_GBK" w:cs="Arial"/>
      <w:sz w:val="21"/>
      <w:szCs w:val="24"/>
    </w:rPr>
  </w:style>
  <w:style w:type="paragraph" w:customStyle="1" w:styleId="5">
    <w:name w:val="普通(网站)1"/>
    <w:basedOn w:val="1"/>
    <w:qFormat/>
    <w:uiPriority w:val="0"/>
    <w:pPr>
      <w:widowControl/>
      <w:spacing w:before="100" w:beforeAutospacing="1" w:after="100" w:afterAutospacing="1"/>
      <w:jc w:val="left"/>
    </w:pPr>
    <w:rPr>
      <w:rFonts w:ascii="宋体" w:cs="宋体"/>
      <w:color w:val="000000"/>
      <w:kern w:val="0"/>
      <w:sz w:val="24"/>
    </w:rPr>
  </w:style>
  <w:style w:type="paragraph" w:customStyle="1" w:styleId="6">
    <w:name w:val="标题 211"/>
    <w:basedOn w:val="1"/>
    <w:autoRedefine/>
    <w:qFormat/>
    <w:uiPriority w:val="0"/>
    <w:pPr>
      <w:outlineLvl w:val="1"/>
    </w:pPr>
  </w:style>
  <w:style w:type="paragraph" w:customStyle="1" w:styleId="7">
    <w:name w:val="正文文本缩进1"/>
    <w:basedOn w:val="1"/>
    <w:autoRedefine/>
    <w:qFormat/>
    <w:uiPriority w:val="0"/>
    <w:pPr>
      <w:ind w:firstLine="645"/>
    </w:pPr>
    <w:rPr>
      <w:rFonts w:ascii="楷体_GB2312" w:eastAsia="楷体_GB2312"/>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2024-03-12T01:41:00Z</dcterms:created>
  <dc:creator>a1</dc:creator>
  <cp:lastModifiedBy>a1</cp:lastModifiedBy>
  <dcterms:modified xsi:type="dcterms:W3CDTF">2024-03-12T01:42:06Z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991FC09012B34A9F83DB8C68C36B3EDA_11</vt:lpwstr>
  </property>
</Properties>
</file>